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B1A" w:rsidP="00013B1A">
      <w:pPr>
        <w:pStyle w:val="Title"/>
      </w:pPr>
      <w:r>
        <w:fldChar w:fldCharType="begin"/>
      </w:r>
      <w:r>
        <w:instrText xml:space="preserve"> TITLE   \* MERGEFORMAT </w:instrText>
      </w:r>
      <w:r>
        <w:fldChar w:fldCharType="separate"/>
      </w:r>
      <w:r>
        <w:t>CPPDSM4025A Advise on performance of asset</w:t>
      </w:r>
      <w:r>
        <w:fldChar w:fldCharType="end"/>
      </w:r>
    </w:p>
    <w:p w:rsidR="00013B1A" w:rsidP="00013B1A">
      <w:pPr>
        <w:pStyle w:val="Version"/>
        <w:sectPr w:rsidSect="00D15F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F82" w:rsidP="00D15F82">
      <w:pPr>
        <w:pStyle w:val="SuperHeading"/>
      </w:pPr>
      <w:r w:rsidRPr="00D15F82">
        <w:t>CPPDSM4025A Advise on performance of asset</w:t>
      </w:r>
    </w:p>
    <w:p w:rsidR="00000000" w:rsidRPr="00D15F82" w:rsidP="00D15F82">
      <w:pPr>
        <w:pStyle w:val="Heading1"/>
      </w:pPr>
      <w:bookmarkStart w:id="1" w:name="O_270058"/>
      <w:bookmarkEnd w:id="1"/>
      <w:r w:rsidRPr="00D15F82">
        <w:t>Modification History</w:t>
      </w:r>
    </w:p>
    <w:p w:rsidR="00000000" w:rsidRPr="00D15F82" w:rsidP="00D15F82">
      <w:pPr>
        <w:pStyle w:val="BodyText"/>
      </w:pPr>
      <w:r w:rsidRPr="00D15F82">
        <w:t>Not Applicable</w:t>
      </w:r>
    </w:p>
    <w:p w:rsidR="00000000" w:rsidRPr="00D15F82" w:rsidP="00D15F82">
      <w:pPr>
        <w:pStyle w:val="AllowPageBreak"/>
      </w:pPr>
    </w:p>
    <w:p w:rsidR="00000000" w:rsidRPr="00D15F82" w:rsidP="00D15F82">
      <w:pPr>
        <w:pStyle w:val="Heading1"/>
      </w:pPr>
      <w:bookmarkStart w:id="2" w:name="O_200988"/>
      <w:bookmarkEnd w:id="2"/>
      <w:r w:rsidRPr="00D15F82">
        <w:t>Unit Descriptor</w:t>
      </w:r>
    </w:p>
    <w:tbl>
      <w:tblPr>
        <w:tblW w:w="0" w:type="auto"/>
        <w:tblLayout w:type="fixed"/>
        <w:tblCellMar>
          <w:left w:w="62" w:type="dxa"/>
          <w:right w:w="62" w:type="dxa"/>
        </w:tblCellMar>
        <w:tblLook w:val="0000"/>
      </w:tblPr>
      <w:tblGrid>
        <w:gridCol w:w="2911"/>
        <w:gridCol w:w="5611"/>
      </w:tblGrid>
      <w:tr w:rsidTr="00013B1A">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D15F82" w:rsidP="00D15F82">
            <w:pPr>
              <w:pStyle w:val="BodyText"/>
            </w:pPr>
            <w:r w:rsidRPr="00D15F82">
              <w:t>This unit of competency specifies the outcomes required to provide advice on current property investments. I</w:t>
            </w:r>
            <w:r w:rsidRPr="00D15F82">
              <w:t>t requires the ability to collect and analyse appropriate market and financial data from a range of sources and provide advice to clients.</w:t>
            </w:r>
          </w:p>
          <w:p w:rsidR="00000000" w:rsidRPr="00D15F82" w:rsidP="00D15F82">
            <w:pPr>
              <w:pStyle w:val="BodyText"/>
            </w:pPr>
            <w:r w:rsidRPr="00D15F82">
              <w:t>The unit may form part of the licensing requirements for persons working in the property industry, including in the r</w:t>
            </w:r>
            <w:r w:rsidRPr="00D15F82">
              <w:t>eal estate, business broking, stock and station agency and property operations and development sectors, in those States and Territories where these are regulated activities.</w:t>
            </w:r>
          </w:p>
        </w:tc>
      </w:tr>
    </w:tbl>
    <w:p w:rsidR="00013B1A" w:rsidP="00D15F82">
      <w:pPr>
        <w:pStyle w:val="BodyText"/>
      </w:pPr>
    </w:p>
    <w:p w:rsidR="00013B1A" w:rsidP="00D15F82">
      <w:pPr>
        <w:pStyle w:val="BodyText"/>
      </w:pPr>
    </w:p>
    <w:p w:rsidR="00000000" w:rsidRPr="00D15F82" w:rsidP="00D15F82">
      <w:pPr>
        <w:pStyle w:val="Heading1"/>
      </w:pPr>
      <w:bookmarkStart w:id="3" w:name="O_200991"/>
      <w:bookmarkEnd w:id="3"/>
      <w:r w:rsidRPr="00D15F82">
        <w:t>Application of the Unit</w:t>
      </w:r>
    </w:p>
    <w:tbl>
      <w:tblPr>
        <w:tblW w:w="0" w:type="auto"/>
        <w:tblLayout w:type="fixed"/>
        <w:tblCellMar>
          <w:left w:w="62" w:type="dxa"/>
          <w:right w:w="62" w:type="dxa"/>
        </w:tblCellMar>
        <w:tblLook w:val="0000"/>
      </w:tblPr>
      <w:tblGrid>
        <w:gridCol w:w="2911"/>
        <w:gridCol w:w="5611"/>
      </w:tblGrid>
      <w:tr w:rsidTr="00013B1A">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D15F82" w:rsidP="00D15F82">
            <w:pPr>
              <w:pStyle w:val="BodyText"/>
            </w:pPr>
            <w:r w:rsidRPr="00D15F82">
              <w:t>This unit of competency supports the work of those involved in providing advice on current property investments.</w:t>
            </w:r>
          </w:p>
        </w:tc>
      </w:tr>
    </w:tbl>
    <w:p w:rsidR="00013B1A" w:rsidP="00D15F82">
      <w:pPr>
        <w:pStyle w:val="BodyText"/>
      </w:pPr>
    </w:p>
    <w:p w:rsidR="00013B1A" w:rsidP="00D15F82">
      <w:pPr>
        <w:pStyle w:val="BodyText"/>
      </w:pPr>
    </w:p>
    <w:p w:rsidR="00000000" w:rsidRPr="00D15F82" w:rsidP="00D15F82">
      <w:pPr>
        <w:pStyle w:val="Heading1"/>
      </w:pPr>
      <w:bookmarkStart w:id="4" w:name="O_278318"/>
      <w:bookmarkEnd w:id="4"/>
      <w:r w:rsidRPr="00D15F82">
        <w:t>Licensing/Regulatory Information</w:t>
      </w:r>
    </w:p>
    <w:p w:rsidR="00000000" w:rsidRPr="00D15F82" w:rsidP="00D15F82">
      <w:pPr>
        <w:pStyle w:val="BodyText"/>
      </w:pPr>
      <w:r w:rsidRPr="00D15F82">
        <w:t>Refer to Unit Descriptor</w:t>
      </w:r>
    </w:p>
    <w:p w:rsidR="00000000" w:rsidRPr="00D15F82" w:rsidP="00D15F82">
      <w:pPr>
        <w:pStyle w:val="AllowPageBreak"/>
      </w:pPr>
    </w:p>
    <w:p w:rsidR="00000000" w:rsidRPr="00D15F82" w:rsidP="00D15F82">
      <w:pPr>
        <w:pStyle w:val="Heading1"/>
      </w:pPr>
      <w:bookmarkStart w:id="5" w:name="O_200990"/>
      <w:bookmarkEnd w:id="5"/>
      <w:r w:rsidRPr="00D15F82">
        <w:t>Pre-Requisites</w:t>
      </w:r>
    </w:p>
    <w:tbl>
      <w:tblPr>
        <w:tblW w:w="0" w:type="auto"/>
        <w:tblLayout w:type="fixed"/>
        <w:tblCellMar>
          <w:left w:w="62" w:type="dxa"/>
          <w:right w:w="62" w:type="dxa"/>
        </w:tblCellMar>
        <w:tblLook w:val="0000"/>
      </w:tblPr>
      <w:tblGrid>
        <w:gridCol w:w="2911"/>
        <w:gridCol w:w="5611"/>
      </w:tblGrid>
      <w:tr w:rsidTr="00013B1A">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D15F82" w:rsidP="00D15F82">
            <w:pPr>
              <w:pStyle w:val="BodyText"/>
            </w:pPr>
            <w:r w:rsidRPr="00D15F82">
              <w:t>Nil</w:t>
            </w:r>
          </w:p>
        </w:tc>
      </w:tr>
    </w:tbl>
    <w:p w:rsidR="00013B1A" w:rsidP="00D15F82">
      <w:pPr>
        <w:pStyle w:val="BodyText"/>
      </w:pPr>
    </w:p>
    <w:p w:rsidR="00013B1A" w:rsidP="00D15F82">
      <w:pPr>
        <w:pStyle w:val="BodyText"/>
      </w:pPr>
    </w:p>
    <w:p w:rsidR="00000000" w:rsidRPr="00D15F82" w:rsidP="00D15F82">
      <w:pPr>
        <w:pStyle w:val="Heading1"/>
      </w:pPr>
      <w:bookmarkStart w:id="6" w:name="O_200989"/>
      <w:bookmarkEnd w:id="6"/>
      <w:r w:rsidRPr="00D15F82">
        <w:t>Employability Skills Information</w:t>
      </w:r>
    </w:p>
    <w:tbl>
      <w:tblPr>
        <w:tblW w:w="0" w:type="auto"/>
        <w:tblLayout w:type="fixed"/>
        <w:tblCellMar>
          <w:left w:w="62" w:type="dxa"/>
          <w:right w:w="62" w:type="dxa"/>
        </w:tblCellMar>
        <w:tblLook w:val="0000"/>
      </w:tblPr>
      <w:tblGrid>
        <w:gridCol w:w="2911"/>
        <w:gridCol w:w="5611"/>
      </w:tblGrid>
      <w:tr w:rsidTr="00013B1A">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D15F82" w:rsidP="00D15F82">
            <w:pPr>
              <w:pStyle w:val="BodyText"/>
            </w:pPr>
            <w:r w:rsidRPr="00D15F82">
              <w:t xml:space="preserve">The required outcomes described in this unit of competency contain applicable facets of employability skills. The Employability Skills Summary of the qualification in which this unit of </w:t>
            </w:r>
            <w:r w:rsidRPr="00D15F82">
              <w:t>competency is packaged, will assist in identifying employability skills requirements.</w:t>
            </w:r>
          </w:p>
        </w:tc>
      </w:tr>
    </w:tbl>
    <w:p w:rsidR="00013B1A" w:rsidP="00D15F82">
      <w:pPr>
        <w:pStyle w:val="BodyText"/>
      </w:pPr>
    </w:p>
    <w:p w:rsidR="00013B1A" w:rsidP="00D15F82">
      <w:pPr>
        <w:pStyle w:val="BodyText"/>
      </w:pPr>
    </w:p>
    <w:p w:rsidR="00000000" w:rsidRPr="00D15F82" w:rsidP="00D15F82">
      <w:pPr>
        <w:pStyle w:val="Heading1"/>
      </w:pPr>
      <w:bookmarkStart w:id="7" w:name="O_288104"/>
      <w:bookmarkEnd w:id="7"/>
      <w:r w:rsidRPr="00D15F82">
        <w:t>Elements and Performance Criteria Pre-Content</w:t>
      </w:r>
    </w:p>
    <w:tbl>
      <w:tblPr>
        <w:tblW w:w="0" w:type="auto"/>
        <w:tblLayout w:type="fixed"/>
        <w:tblCellMar>
          <w:left w:w="62" w:type="dxa"/>
          <w:right w:w="62" w:type="dxa"/>
        </w:tblCellMar>
        <w:tblLook w:val="0000"/>
      </w:tblPr>
      <w:tblGrid>
        <w:gridCol w:w="2980"/>
        <w:gridCol w:w="5760"/>
      </w:tblGrid>
      <w:tr w:rsidTr="00013B1A">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15F82" w:rsidP="00D15F82">
            <w:pPr>
              <w:pStyle w:val="BodyText"/>
            </w:pPr>
            <w:r w:rsidRPr="00D15F82">
              <w:t>Performance criteria describe the requ</w:t>
            </w:r>
            <w:r w:rsidRPr="00D15F82">
              <w:t xml:space="preserve">ired performance needed to demonstrate achievement of the element. Where </w:t>
            </w:r>
            <w:r w:rsidRPr="00D15F82">
              <w:rPr>
                <w:rStyle w:val="BoldandItalics"/>
              </w:rPr>
              <w:t>bold italicised</w:t>
            </w:r>
            <w:r w:rsidRPr="00D15F82">
              <w:t xml:space="preserve"> text is used, further information is detailed in the required skills and knowledge and/or the range statement. Assessment of performance is to be consistent with the e</w:t>
            </w:r>
            <w:r w:rsidRPr="00D15F82">
              <w:t>vidence guide.</w:t>
            </w:r>
          </w:p>
        </w:tc>
      </w:tr>
    </w:tbl>
    <w:p w:rsidR="00000000" w:rsidRPr="00D15F82" w:rsidP="00D15F82">
      <w:pPr>
        <w:pStyle w:val="BodyText"/>
      </w:pPr>
    </w:p>
    <w:p w:rsidR="00000000" w:rsidRPr="00D15F82" w:rsidP="00D15F82">
      <w:pPr>
        <w:pStyle w:val="AllowPageBreak"/>
      </w:pPr>
    </w:p>
    <w:p w:rsidR="00000000" w:rsidRPr="00D15F82" w:rsidP="00D15F82">
      <w:pPr>
        <w:pStyle w:val="Heading1"/>
      </w:pPr>
      <w:bookmarkStart w:id="8" w:name="O_234771"/>
      <w:bookmarkEnd w:id="8"/>
      <w:r w:rsidRPr="00D15F82">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013B1A">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D15F82" w:rsidP="00D15F82">
            <w:pPr>
              <w:pStyle w:val="List"/>
            </w:pPr>
            <w:r w:rsidRPr="00D15F8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15F82">
            <w:pPr>
              <w:pStyle w:val="List"/>
              <w:rPr>
                <w:lang w:val="en-NZ"/>
              </w:rPr>
            </w:pPr>
            <w:r w:rsidRPr="00D15F82">
              <w:rPr>
                <w:rStyle w:val="SpecialBold"/>
              </w:rPr>
              <w:t>PERFORMANCE CRITERIA</w:t>
            </w:r>
          </w:p>
        </w:tc>
      </w:tr>
      <w:tr w:rsidTr="00013B1A">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15F82">
            <w:pPr>
              <w:pStyle w:val="List"/>
              <w:rPr>
                <w:lang w:val="en-NZ"/>
              </w:rPr>
            </w:pPr>
            <w:r w:rsidRPr="00D15F82">
              <w:rPr>
                <w:rStyle w:val="SpecialBold"/>
              </w:rPr>
              <w:t>1</w:t>
            </w:r>
            <w:r w:rsidRPr="00D15F82">
              <w:tab/>
            </w:r>
            <w:r w:rsidRPr="00D15F82">
              <w:rPr>
                <w:rStyle w:val="SpecialBold"/>
              </w:rPr>
              <w:t>Determine client requirements</w:t>
            </w:r>
            <w:r w:rsidRPr="00D15F82">
              <w:t>.</w:t>
            </w:r>
          </w:p>
        </w:tc>
        <w:tc>
          <w:tcPr>
            <w:tcW w:w="5760" w:type="dxa"/>
            <w:gridSpan w:val="2"/>
            <w:tcBorders>
              <w:top w:val="nil"/>
              <w:left w:val="nil"/>
              <w:bottom w:val="nil"/>
              <w:right w:val="nil"/>
            </w:tcBorders>
            <w:tcMar>
              <w:top w:w="0" w:type="dxa"/>
              <w:left w:w="62" w:type="dxa"/>
              <w:bottom w:w="0" w:type="dxa"/>
              <w:right w:w="62" w:type="dxa"/>
            </w:tcMar>
          </w:tcPr>
          <w:p w:rsidR="00000000" w:rsidRPr="00D15F82" w:rsidP="00D15F82">
            <w:pPr>
              <w:pStyle w:val="List"/>
            </w:pPr>
            <w:r w:rsidRPr="00D15F82">
              <w:t>1.1</w:t>
            </w:r>
            <w:r w:rsidRPr="00D15F82">
              <w:tab/>
              <w:t xml:space="preserve">Consultative processes are used to determine and verify </w:t>
            </w:r>
            <w:r w:rsidRPr="00D15F82">
              <w:rPr>
                <w:rStyle w:val="BoldandItalics"/>
              </w:rPr>
              <w:t>client needs and expectations</w:t>
            </w:r>
            <w:r w:rsidRPr="00D15F82">
              <w:t xml:space="preserve"> according to </w:t>
            </w:r>
            <w:r w:rsidRPr="00D15F82">
              <w:rPr>
                <w:rStyle w:val="BoldandItalics"/>
              </w:rPr>
              <w:t>organisational requirements</w:t>
            </w:r>
            <w:r w:rsidRPr="00D15F82">
              <w:t>.</w:t>
            </w:r>
          </w:p>
          <w:p w:rsidR="00000000" w:rsidRPr="00D15F82" w:rsidP="00D15F82">
            <w:pPr>
              <w:pStyle w:val="List"/>
            </w:pPr>
            <w:r w:rsidRPr="00D15F82">
              <w:t>1.2</w:t>
            </w:r>
            <w:r w:rsidRPr="00D15F82">
              <w:tab/>
            </w:r>
            <w:r w:rsidRPr="00D15F82">
              <w:rPr>
                <w:rStyle w:val="BoldandItalics"/>
              </w:rPr>
              <w:t>Existing or potential issues</w:t>
            </w:r>
            <w:r w:rsidRPr="00D15F82">
              <w:t xml:space="preserve"> are identified, anticipated and analysed to determine impact on client requirements.</w:t>
            </w:r>
          </w:p>
          <w:p w:rsidR="00000000" w:rsidP="00D15F82">
            <w:pPr>
              <w:pStyle w:val="List"/>
              <w:rPr>
                <w:lang w:val="en-NZ"/>
              </w:rPr>
            </w:pPr>
            <w:r w:rsidRPr="00D15F82">
              <w:t>1.3</w:t>
            </w:r>
            <w:r w:rsidRPr="00D15F82">
              <w:tab/>
              <w:t xml:space="preserve">Specialist resources and </w:t>
            </w:r>
            <w:r w:rsidRPr="00D15F82">
              <w:rPr>
                <w:rStyle w:val="BoldandItalics"/>
              </w:rPr>
              <w:t>sources of information</w:t>
            </w:r>
            <w:r w:rsidRPr="00D15F82">
              <w:t xml:space="preserve"> are accessed and assessed according to client and organis</w:t>
            </w:r>
            <w:r w:rsidRPr="00D15F82">
              <w:t>ational requirements.</w:t>
            </w:r>
          </w:p>
        </w:tc>
      </w:tr>
      <w:tr w:rsidTr="00013B1A">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15F82">
            <w:pPr>
              <w:pStyle w:val="List"/>
              <w:rPr>
                <w:lang w:val="en-NZ"/>
              </w:rPr>
            </w:pPr>
            <w:r w:rsidRPr="00D15F82">
              <w:rPr>
                <w:rStyle w:val="SpecialBold"/>
              </w:rPr>
              <w:t>2</w:t>
            </w:r>
            <w:r w:rsidRPr="00D15F82">
              <w:tab/>
            </w:r>
            <w:r w:rsidRPr="00D15F82">
              <w:rPr>
                <w:rStyle w:val="SpecialBold"/>
              </w:rPr>
              <w:t>Research asset</w:t>
            </w:r>
            <w:r w:rsidRPr="00D15F82">
              <w:t>.</w:t>
            </w:r>
          </w:p>
        </w:tc>
        <w:tc>
          <w:tcPr>
            <w:tcW w:w="5760" w:type="dxa"/>
            <w:gridSpan w:val="2"/>
            <w:tcBorders>
              <w:top w:val="nil"/>
              <w:left w:val="nil"/>
              <w:bottom w:val="nil"/>
              <w:right w:val="nil"/>
            </w:tcBorders>
            <w:tcMar>
              <w:top w:w="0" w:type="dxa"/>
              <w:left w:w="62" w:type="dxa"/>
              <w:bottom w:w="0" w:type="dxa"/>
              <w:right w:w="62" w:type="dxa"/>
            </w:tcMar>
          </w:tcPr>
          <w:p w:rsidR="00000000" w:rsidRPr="00D15F82" w:rsidP="00D15F82">
            <w:pPr>
              <w:pStyle w:val="List"/>
            </w:pPr>
            <w:r w:rsidRPr="00D15F82">
              <w:t>2.1</w:t>
            </w:r>
            <w:r w:rsidRPr="00D15F82">
              <w:tab/>
              <w:t xml:space="preserve">Information on client </w:t>
            </w:r>
            <w:r w:rsidRPr="00D15F82">
              <w:rPr>
                <w:rStyle w:val="BoldandItalics"/>
              </w:rPr>
              <w:t>assets</w:t>
            </w:r>
            <w:r w:rsidRPr="00D15F82">
              <w:t xml:space="preserve"> is gathered and organised in a format suitable for analysis and interpretation according to organisational requirements.</w:t>
            </w:r>
          </w:p>
          <w:p w:rsidR="00000000" w:rsidRPr="00D15F82" w:rsidP="00D15F82">
            <w:pPr>
              <w:pStyle w:val="List"/>
            </w:pPr>
            <w:r w:rsidRPr="00D15F82">
              <w:t>2.2</w:t>
            </w:r>
            <w:r w:rsidRPr="00D15F82">
              <w:tab/>
            </w:r>
            <w:r w:rsidRPr="00D15F82">
              <w:rPr>
                <w:rStyle w:val="BoldandItalics"/>
              </w:rPr>
              <w:t>Source documents</w:t>
            </w:r>
            <w:r w:rsidRPr="00D15F82">
              <w:t xml:space="preserve"> are obtained and analysed according to legislative requirements to ensure that accessed information is reliable.</w:t>
            </w:r>
          </w:p>
          <w:p w:rsidR="00000000" w:rsidRPr="00D15F82" w:rsidP="00D15F82">
            <w:pPr>
              <w:pStyle w:val="List"/>
            </w:pPr>
            <w:r w:rsidRPr="00D15F82">
              <w:t>2.3</w:t>
            </w:r>
            <w:r w:rsidRPr="00D15F82">
              <w:tab/>
              <w:t xml:space="preserve">Appropriate </w:t>
            </w:r>
            <w:r w:rsidRPr="00D15F82">
              <w:rPr>
                <w:rStyle w:val="BoldandItalics"/>
              </w:rPr>
              <w:t>interpersonal techniques</w:t>
            </w:r>
            <w:r w:rsidRPr="00D15F82">
              <w:t xml:space="preserve"> are used to obtain additional information according to organisational and </w:t>
            </w:r>
            <w:r w:rsidRPr="00D15F82">
              <w:rPr>
                <w:rStyle w:val="BoldandItalics"/>
              </w:rPr>
              <w:t>legislative requirements</w:t>
            </w:r>
            <w:r w:rsidRPr="00D15F82">
              <w:t>.</w:t>
            </w:r>
          </w:p>
          <w:p w:rsidR="00000000" w:rsidRPr="00D15F82" w:rsidP="00D15F82">
            <w:pPr>
              <w:pStyle w:val="List"/>
            </w:pPr>
            <w:r w:rsidRPr="00D15F82">
              <w:t>2</w:t>
            </w:r>
            <w:r w:rsidRPr="00D15F82">
              <w:t>.4</w:t>
            </w:r>
            <w:r w:rsidRPr="00D15F82">
              <w:tab/>
              <w:t xml:space="preserve">Property trends and </w:t>
            </w:r>
            <w:r w:rsidRPr="00D15F82">
              <w:rPr>
                <w:rStyle w:val="BoldandItalics"/>
              </w:rPr>
              <w:t>market conditions</w:t>
            </w:r>
            <w:r w:rsidRPr="00D15F82">
              <w:t xml:space="preserve"> are identified and evaluated against </w:t>
            </w:r>
            <w:r w:rsidRPr="00D15F82">
              <w:rPr>
                <w:rStyle w:val="BoldandItalics"/>
              </w:rPr>
              <w:t>industry benchmarks</w:t>
            </w:r>
            <w:r w:rsidRPr="00D15F82">
              <w:t xml:space="preserve"> to determine performance of asset.</w:t>
            </w:r>
          </w:p>
          <w:p w:rsidR="00000000" w:rsidP="00D15F82">
            <w:pPr>
              <w:pStyle w:val="List"/>
              <w:rPr>
                <w:lang w:val="en-NZ"/>
              </w:rPr>
            </w:pPr>
            <w:r w:rsidRPr="00D15F82">
              <w:t>2.5</w:t>
            </w:r>
            <w:r w:rsidRPr="00D15F82">
              <w:tab/>
            </w:r>
            <w:r w:rsidRPr="00D15F82">
              <w:rPr>
                <w:rStyle w:val="BoldandItalics"/>
              </w:rPr>
              <w:t>Comparative market data</w:t>
            </w:r>
            <w:r w:rsidRPr="00D15F82">
              <w:t xml:space="preserve"> is accessed to enable valid conclusions on performance of asset to be made.</w:t>
            </w:r>
          </w:p>
        </w:tc>
      </w:tr>
      <w:tr w:rsidTr="00013B1A">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15F82">
            <w:pPr>
              <w:pStyle w:val="List"/>
              <w:rPr>
                <w:lang w:val="en-NZ"/>
              </w:rPr>
            </w:pPr>
            <w:r w:rsidRPr="00D15F82">
              <w:rPr>
                <w:rStyle w:val="SpecialBold"/>
              </w:rPr>
              <w:t>3</w:t>
            </w:r>
            <w:r w:rsidRPr="00D15F82">
              <w:tab/>
            </w:r>
            <w:r w:rsidRPr="00D15F82">
              <w:rPr>
                <w:rStyle w:val="SpecialBold"/>
              </w:rPr>
              <w:t>Provide advice a</w:t>
            </w:r>
            <w:r w:rsidRPr="00D15F82">
              <w:rPr>
                <w:rStyle w:val="SpecialBold"/>
              </w:rPr>
              <w:t>nd recommendations</w:t>
            </w:r>
            <w:r w:rsidRPr="00D15F82">
              <w:t>.</w:t>
            </w:r>
          </w:p>
        </w:tc>
        <w:tc>
          <w:tcPr>
            <w:tcW w:w="5760" w:type="dxa"/>
            <w:gridSpan w:val="2"/>
            <w:tcBorders>
              <w:top w:val="nil"/>
              <w:left w:val="nil"/>
              <w:bottom w:val="nil"/>
              <w:right w:val="nil"/>
            </w:tcBorders>
            <w:tcMar>
              <w:top w:w="0" w:type="dxa"/>
              <w:left w:w="62" w:type="dxa"/>
              <w:bottom w:w="0" w:type="dxa"/>
              <w:right w:w="62" w:type="dxa"/>
            </w:tcMar>
          </w:tcPr>
          <w:p w:rsidR="00000000" w:rsidRPr="00D15F82" w:rsidP="00D15F82">
            <w:pPr>
              <w:pStyle w:val="List"/>
            </w:pPr>
            <w:r w:rsidRPr="00D15F82">
              <w:t>3.1</w:t>
            </w:r>
            <w:r w:rsidRPr="00D15F82">
              <w:tab/>
              <w:t>Clients are provided with clear recommendations on whether performance of asset meets their identified needs.</w:t>
            </w:r>
          </w:p>
          <w:p w:rsidR="00000000" w:rsidRPr="00D15F82" w:rsidP="00D15F82">
            <w:pPr>
              <w:pStyle w:val="List"/>
            </w:pPr>
            <w:r w:rsidRPr="00D15F82">
              <w:t>3.2</w:t>
            </w:r>
            <w:r w:rsidRPr="00D15F82">
              <w:tab/>
            </w:r>
            <w:r w:rsidRPr="00D15F82">
              <w:rPr>
                <w:rStyle w:val="BoldandItalics"/>
              </w:rPr>
              <w:t>Advice and recommendations</w:t>
            </w:r>
            <w:r w:rsidRPr="00D15F82">
              <w:t xml:space="preserve"> are presented in a suitable format, style and structure using appropriate </w:t>
            </w:r>
            <w:r w:rsidRPr="00D15F82">
              <w:rPr>
                <w:rStyle w:val="BoldandItalics"/>
              </w:rPr>
              <w:t>business equipmen</w:t>
            </w:r>
            <w:r w:rsidRPr="00D15F82">
              <w:rPr>
                <w:rStyle w:val="BoldandItalics"/>
              </w:rPr>
              <w:t>t and technology</w:t>
            </w:r>
            <w:r w:rsidRPr="00D15F82">
              <w:t xml:space="preserve"> and are distributed to </w:t>
            </w:r>
            <w:r w:rsidRPr="00D15F82">
              <w:rPr>
                <w:rStyle w:val="BoldandItalics"/>
              </w:rPr>
              <w:t>relevant people</w:t>
            </w:r>
            <w:r w:rsidRPr="00D15F82">
              <w:t>.</w:t>
            </w:r>
          </w:p>
          <w:p w:rsidR="00000000" w:rsidRPr="00D15F82" w:rsidP="00D15F82">
            <w:pPr>
              <w:pStyle w:val="List"/>
            </w:pPr>
            <w:r w:rsidRPr="00D15F82">
              <w:t>3.3</w:t>
            </w:r>
            <w:r w:rsidRPr="00D15F82">
              <w:tab/>
            </w:r>
            <w:r w:rsidRPr="00D15F82">
              <w:rPr>
                <w:rStyle w:val="BoldandItalics"/>
              </w:rPr>
              <w:t>Feedback</w:t>
            </w:r>
            <w:r w:rsidRPr="00D15F82">
              <w:t xml:space="preserve"> on suitability and sufficiency of advice and recommendations is obtained according to organisational requirements.</w:t>
            </w:r>
          </w:p>
          <w:p w:rsidR="00000000" w:rsidRPr="00D15F82" w:rsidP="00D15F82">
            <w:pPr>
              <w:pStyle w:val="List"/>
            </w:pPr>
            <w:r w:rsidRPr="00D15F82">
              <w:t>3.4</w:t>
            </w:r>
            <w:r w:rsidRPr="00D15F82">
              <w:tab/>
            </w:r>
            <w:r w:rsidRPr="00D15F82">
              <w:t xml:space="preserve">Limitations in providing objective advice to client are recognised and </w:t>
            </w:r>
            <w:r w:rsidRPr="00D15F82">
              <w:rPr>
                <w:rStyle w:val="BoldandItalics"/>
              </w:rPr>
              <w:t>specialist advice</w:t>
            </w:r>
            <w:r w:rsidRPr="00D15F82">
              <w:t xml:space="preserve"> is sought as required according to organisational requirements.</w:t>
            </w:r>
          </w:p>
          <w:p w:rsidR="00000000" w:rsidRPr="00D15F82" w:rsidP="00D15F82">
            <w:pPr>
              <w:pStyle w:val="List"/>
            </w:pPr>
            <w:r w:rsidRPr="00D15F82">
              <w:t>3.5</w:t>
            </w:r>
            <w:r w:rsidRPr="00D15F82">
              <w:tab/>
              <w:t>Relevant documentation is securely maintained according to legislative and organisational requireme</w:t>
            </w:r>
            <w:r w:rsidRPr="00D15F82">
              <w:t>nts and with due regard to client confidentiality.</w:t>
            </w:r>
          </w:p>
        </w:tc>
      </w:tr>
    </w:tbl>
    <w:p w:rsidR="00013B1A" w:rsidP="00D15F82">
      <w:pPr>
        <w:pStyle w:val="BodyText"/>
      </w:pPr>
    </w:p>
    <w:p w:rsidR="00013B1A" w:rsidP="00D15F82">
      <w:pPr>
        <w:pStyle w:val="BodyText"/>
      </w:pPr>
    </w:p>
    <w:p w:rsidR="00000000" w:rsidRPr="00D15F82" w:rsidP="00D15F82">
      <w:pPr>
        <w:pStyle w:val="Heading1"/>
      </w:pPr>
      <w:bookmarkStart w:id="9" w:name="O_258721"/>
      <w:bookmarkEnd w:id="9"/>
      <w:r w:rsidRPr="00D15F82">
        <w:t>Required Skills and Knowledge</w:t>
      </w:r>
    </w:p>
    <w:tbl>
      <w:tblPr>
        <w:tblW w:w="0" w:type="auto"/>
        <w:tblLayout w:type="fixed"/>
        <w:tblCellMar>
          <w:left w:w="62" w:type="dxa"/>
          <w:right w:w="62" w:type="dxa"/>
        </w:tblCellMar>
        <w:tblLook w:val="0000"/>
      </w:tblPr>
      <w:tblGrid>
        <w:gridCol w:w="8513"/>
        <w:gridCol w:w="9"/>
      </w:tblGrid>
      <w:tr w:rsidTr="00013B1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SpecialBold"/>
              </w:rPr>
              <w:t>REQUIRED SKILLS AND KNOWLEDGE</w:t>
            </w:r>
          </w:p>
        </w:tc>
      </w:tr>
      <w:tr w:rsidTr="00013B1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t>This section describes the essential skills and knowledge and their level, required for this unit.</w:t>
            </w:r>
          </w:p>
        </w:tc>
      </w:tr>
      <w:tr w:rsidTr="00013B1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15F82" w:rsidP="00D15F82">
            <w:pPr>
              <w:pStyle w:val="BodyText"/>
            </w:pPr>
            <w:r w:rsidRPr="00D15F82">
              <w:rPr>
                <w:rStyle w:val="SpecialBold"/>
              </w:rPr>
              <w:t>Required skills</w:t>
            </w:r>
            <w:r w:rsidRPr="00D15F82">
              <w:t>:</w:t>
            </w:r>
          </w:p>
          <w:p w:rsidR="00000000" w:rsidRPr="00D15F82" w:rsidP="00D15F82">
            <w:pPr>
              <w:pStyle w:val="ListBullet"/>
            </w:pPr>
            <w:r w:rsidRPr="00D15F82">
              <w:t>analytical skills to apply basic statistical methods and techniques</w:t>
            </w:r>
          </w:p>
          <w:p w:rsidR="00000000" w:rsidP="00D15F82">
            <w:pPr>
              <w:pStyle w:val="ListBullet"/>
              <w:rPr>
                <w:lang w:val="en-NZ"/>
              </w:rPr>
            </w:pPr>
            <w:r w:rsidRPr="00D15F82">
              <w:t>computing skills to access the internet and web pages, prepare and complete online forms, lodge electronic documents and search online databases</w:t>
            </w:r>
          </w:p>
        </w:tc>
      </w:tr>
      <w:tr w:rsidTr="00013B1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 xml:space="preserve">interpersonal skills to relate to people </w:t>
            </w:r>
            <w:r w:rsidRPr="00D15F82">
              <w:t xml:space="preserve">from a range of social, cultural and ethnic backgrounds and varying physical and mental abilities and to deal with stakeholders </w:t>
            </w:r>
          </w:p>
          <w:p w:rsidR="00000000" w:rsidRPr="00D15F82" w:rsidP="00D15F82">
            <w:pPr>
              <w:pStyle w:val="ListBullet"/>
            </w:pPr>
            <w:r w:rsidRPr="00D15F82">
              <w:t>numeracy skills to interpret asset depreciation schedules</w:t>
            </w:r>
          </w:p>
          <w:p w:rsidR="00000000" w:rsidRPr="00D15F82" w:rsidP="00D15F82">
            <w:pPr>
              <w:pStyle w:val="ListBullet"/>
            </w:pPr>
            <w:r w:rsidRPr="00D15F82">
              <w:t>organisational skills to prepare advice and recommendations and to us</w:t>
            </w:r>
            <w:r w:rsidRPr="00D15F82">
              <w:t>e organisational filing systems</w:t>
            </w:r>
          </w:p>
          <w:p w:rsidR="00000000" w:rsidRPr="00D15F82" w:rsidP="00D15F82">
            <w:pPr>
              <w:pStyle w:val="ListBullet"/>
            </w:pPr>
            <w:r w:rsidRPr="00D15F82">
              <w:t>problem solving skills to determine factors that may affect depreciation of assets</w:t>
            </w:r>
          </w:p>
          <w:p w:rsidR="00000000" w:rsidRPr="00D15F82" w:rsidP="00D15F82">
            <w:pPr>
              <w:pStyle w:val="ListBullet"/>
            </w:pPr>
            <w:r w:rsidRPr="00D15F82">
              <w:t>research skills to analyse and interpret financial information and identify relevant sources of information</w:t>
            </w:r>
          </w:p>
          <w:p w:rsidR="00000000" w:rsidP="00D15F82">
            <w:pPr>
              <w:pStyle w:val="ListBullet"/>
              <w:rPr>
                <w:lang w:val="en-NZ"/>
              </w:rPr>
            </w:pPr>
            <w:r w:rsidRPr="00D15F82">
              <w:t>technology skills to use financial and assessment software and spreadsheets efficiently and to access market information.</w:t>
            </w:r>
          </w:p>
        </w:tc>
      </w:tr>
      <w:tr w:rsidTr="00013B1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15F82" w:rsidP="00D15F82">
            <w:pPr>
              <w:pStyle w:val="BodyText"/>
            </w:pPr>
            <w:r w:rsidRPr="00D15F82">
              <w:rPr>
                <w:rStyle w:val="SpecialBold"/>
              </w:rPr>
              <w:t>Required knowledge and understanding</w:t>
            </w:r>
            <w:r w:rsidRPr="00D15F82">
              <w:t>:</w:t>
            </w:r>
          </w:p>
          <w:p w:rsidR="00000000" w:rsidRPr="00D15F82" w:rsidP="00D15F82">
            <w:pPr>
              <w:pStyle w:val="ListBullet"/>
            </w:pPr>
            <w:r w:rsidRPr="00D15F82">
              <w:t>alternative property uses</w:t>
            </w:r>
          </w:p>
          <w:p w:rsidR="00000000" w:rsidRPr="00D15F82" w:rsidP="00D15F82">
            <w:pPr>
              <w:pStyle w:val="ListBullet"/>
            </w:pPr>
            <w:r w:rsidRPr="00D15F82">
              <w:t>asset life cycles</w:t>
            </w:r>
          </w:p>
          <w:p w:rsidR="00000000" w:rsidRPr="00D15F82" w:rsidP="00D15F82">
            <w:pPr>
              <w:pStyle w:val="ListBullet"/>
            </w:pPr>
            <w:r w:rsidRPr="00D15F82">
              <w:t xml:space="preserve">budgets and financial reporting </w:t>
            </w:r>
          </w:p>
          <w:p w:rsidR="00000000" w:rsidRPr="00D15F82" w:rsidP="00D15F82">
            <w:pPr>
              <w:pStyle w:val="ListBullet"/>
            </w:pPr>
            <w:r w:rsidRPr="00D15F82">
              <w:t>ethical practices</w:t>
            </w:r>
            <w:r w:rsidRPr="00D15F82">
              <w:t xml:space="preserve"> and relevant codes of conduct</w:t>
            </w:r>
          </w:p>
          <w:p w:rsidR="00000000" w:rsidRPr="00D15F82" w:rsidP="00D15F82">
            <w:pPr>
              <w:pStyle w:val="ListBullet"/>
            </w:pPr>
            <w:r w:rsidRPr="00D15F82">
              <w:t>industry benchmarks</w:t>
            </w:r>
          </w:p>
          <w:p w:rsidR="00000000" w:rsidRPr="00D15F82" w:rsidP="00D15F82">
            <w:pPr>
              <w:pStyle w:val="ListBullet"/>
            </w:pPr>
            <w:r w:rsidRPr="00D15F82">
              <w:t>investment risk factors and relationship to return expectations</w:t>
            </w:r>
          </w:p>
          <w:p w:rsidR="00000000" w:rsidRPr="00D15F82" w:rsidP="00D15F82">
            <w:pPr>
              <w:pStyle w:val="ListBullet"/>
            </w:pPr>
            <w:r w:rsidRPr="00D15F82">
              <w:t>range of research methods and analysis techniques</w:t>
            </w:r>
          </w:p>
          <w:p w:rsidR="00000000" w:rsidRPr="00D15F82" w:rsidP="00D15F82">
            <w:pPr>
              <w:pStyle w:val="ListBullet"/>
            </w:pPr>
            <w:r w:rsidRPr="00D15F82">
              <w:t>relevant federal and state or territory legislation and local government regulations relate</w:t>
            </w:r>
            <w:r w:rsidRPr="00D15F82">
              <w:t>d to:</w:t>
            </w:r>
          </w:p>
          <w:p w:rsidR="00000000" w:rsidRPr="00D15F82" w:rsidP="00D15F82">
            <w:pPr>
              <w:pStyle w:val="ListBullet2"/>
            </w:pPr>
            <w:r w:rsidRPr="00D15F82">
              <w:t>anti-discrimination</w:t>
            </w:r>
          </w:p>
          <w:p w:rsidR="00000000" w:rsidRPr="00D15F82" w:rsidP="00D15F82">
            <w:pPr>
              <w:pStyle w:val="ListBullet2"/>
            </w:pPr>
            <w:r w:rsidRPr="00D15F82">
              <w:t>consumer protection</w:t>
            </w:r>
          </w:p>
          <w:p w:rsidR="00000000" w:rsidRPr="00D15F82" w:rsidP="00D15F82">
            <w:pPr>
              <w:pStyle w:val="ListBullet2"/>
            </w:pPr>
            <w:r w:rsidRPr="00D15F82">
              <w:t>environmental issues</w:t>
            </w:r>
          </w:p>
          <w:p w:rsidR="00000000" w:rsidRPr="00D15F82" w:rsidP="00D15F82">
            <w:pPr>
              <w:pStyle w:val="ListBullet2"/>
            </w:pPr>
            <w:r w:rsidRPr="00D15F82">
              <w:t>equal employment opportunity (EEO)</w:t>
            </w:r>
          </w:p>
          <w:p w:rsidR="00000000" w:rsidRPr="00D15F82" w:rsidP="00D15F82">
            <w:pPr>
              <w:pStyle w:val="ListBullet2"/>
            </w:pPr>
            <w:r w:rsidRPr="00D15F82">
              <w:t>financial probity</w:t>
            </w:r>
          </w:p>
          <w:p w:rsidR="00000000" w:rsidRPr="00D15F82" w:rsidP="00D15F82">
            <w:pPr>
              <w:pStyle w:val="ListBullet2"/>
            </w:pPr>
            <w:r w:rsidRPr="00D15F82">
              <w:t>franchise and business structures</w:t>
            </w:r>
          </w:p>
          <w:p w:rsidR="00000000" w:rsidRPr="00D15F82" w:rsidP="00D15F82">
            <w:pPr>
              <w:pStyle w:val="ListBullet2"/>
            </w:pPr>
            <w:r w:rsidRPr="00D15F82">
              <w:t>industrial relations</w:t>
            </w:r>
          </w:p>
          <w:p w:rsidR="00000000" w:rsidRPr="00D15F82" w:rsidP="00D15F82">
            <w:pPr>
              <w:pStyle w:val="ListBullet2"/>
            </w:pPr>
            <w:r w:rsidRPr="00D15F82">
              <w:t>OHS</w:t>
            </w:r>
          </w:p>
          <w:p w:rsidR="00000000" w:rsidRPr="00D15F82" w:rsidP="00D15F82">
            <w:pPr>
              <w:pStyle w:val="ListBullet2"/>
            </w:pPr>
            <w:r w:rsidRPr="00D15F82">
              <w:t>privacy</w:t>
            </w:r>
          </w:p>
          <w:p w:rsidR="00000000" w:rsidRPr="00D15F82" w:rsidP="00D15F82">
            <w:pPr>
              <w:pStyle w:val="ListBullet2"/>
            </w:pPr>
            <w:r w:rsidRPr="00D15F82">
              <w:t>property sales, leasing and management.</w:t>
            </w:r>
          </w:p>
        </w:tc>
      </w:tr>
    </w:tbl>
    <w:p w:rsidR="00013B1A" w:rsidP="00D15F82">
      <w:pPr>
        <w:pStyle w:val="BodyText"/>
      </w:pPr>
    </w:p>
    <w:p w:rsidR="00013B1A" w:rsidP="00D15F82">
      <w:pPr>
        <w:pStyle w:val="BodyText"/>
      </w:pPr>
    </w:p>
    <w:p w:rsidR="00000000" w:rsidRPr="00D15F82" w:rsidP="00D15F82">
      <w:pPr>
        <w:pStyle w:val="Heading1"/>
      </w:pPr>
      <w:bookmarkStart w:id="10" w:name="O_242755"/>
      <w:bookmarkEnd w:id="10"/>
      <w:r w:rsidRPr="00D15F82">
        <w:t>Evidence Guide</w:t>
      </w:r>
    </w:p>
    <w:p w:rsidR="00000000" w:rsidRPr="00D15F82" w:rsidP="00D15F82">
      <w:pPr>
        <w:pStyle w:val="BodyText"/>
      </w:pPr>
      <w:r w:rsidRPr="00D15F82">
        <w:rPr>
          <w:rStyle w:val="SpecialBold"/>
        </w:rPr>
        <w:t>EVIDENCE GUIDE</w:t>
      </w:r>
    </w:p>
    <w:p w:rsidR="00000000" w:rsidRPr="00D15F82" w:rsidP="00D15F82">
      <w:pPr>
        <w:pStyle w:val="BodyText"/>
      </w:pPr>
      <w:r w:rsidRPr="00D15F82">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38"/>
      </w:tblGrid>
      <w:tr w:rsidTr="00013B1A">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SpecialBold"/>
              </w:rPr>
              <w:t>Overview of assessment</w:t>
            </w:r>
          </w:p>
        </w:tc>
        <w:tc>
          <w:tcPr>
            <w:tcW w:w="573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t>This unit of competency could be assessed through practical demonstration of providing advice on current property investments. Targeted written (including alternative formats where necessary) or verbal questioning to assess the candi</w:t>
            </w:r>
            <w:r w:rsidRPr="00D15F82">
              <w:t xml:space="preserve">date's underpinning knowledge would provide additional supporting evidence of competence. The demonstration and questioning would include collecting evidence of the candidate's knowledge and application of ethical standards and relevant federal, and state </w:t>
            </w:r>
            <w:r w:rsidRPr="00D15F82">
              <w:t xml:space="preserve">or territory legislation and regulations. This assessment may be carried out in a simulated or workplace environment. </w:t>
            </w:r>
          </w:p>
        </w:tc>
      </w:tr>
      <w:tr w:rsidTr="00013B1A">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SpecialBold"/>
              </w:rPr>
              <w:t>Critical aspects for assessment and evidence required to demonstrate competency in this unit</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BodyText"/>
            </w:pPr>
            <w:r w:rsidRPr="00D15F82">
              <w:t>A person who demonstrates competency in thi</w:t>
            </w:r>
            <w:r w:rsidRPr="00D15F82">
              <w:t>s unit must be able to provide evidence of:</w:t>
            </w:r>
          </w:p>
          <w:p w:rsidR="00000000" w:rsidRPr="00D15F82" w:rsidP="00D15F82">
            <w:pPr>
              <w:pStyle w:val="ListBullet"/>
            </w:pPr>
            <w:r w:rsidRPr="00D15F82">
              <w:t>accessing and comparing a range of information and statistical data to determine performance of assets</w:t>
            </w:r>
          </w:p>
          <w:p w:rsidR="00000000" w:rsidRPr="00D15F82" w:rsidP="00D15F82">
            <w:pPr>
              <w:pStyle w:val="ListBullet"/>
            </w:pPr>
            <w:r w:rsidRPr="00D15F82">
              <w:t>following organisational and legislative procedures when giving advice</w:t>
            </w:r>
          </w:p>
          <w:p w:rsidR="00000000" w:rsidRPr="00D15F82" w:rsidP="00D15F82">
            <w:pPr>
              <w:pStyle w:val="ListBullet"/>
            </w:pPr>
            <w:r w:rsidRPr="00D15F82">
              <w:t>knowledge of organisation's practices</w:t>
            </w:r>
            <w:r w:rsidRPr="00D15F82">
              <w:t>, ethical standards and legislative requirements associated with providing advice on current property investments</w:t>
            </w:r>
          </w:p>
          <w:p w:rsidR="00000000" w:rsidRPr="00D15F82" w:rsidP="00D15F82">
            <w:pPr>
              <w:pStyle w:val="ListBullet"/>
            </w:pPr>
            <w:r w:rsidRPr="00D15F82">
              <w:t>providing appropriate advice and recommendations to clients regarding their assets</w:t>
            </w:r>
          </w:p>
          <w:p w:rsidR="00000000" w:rsidP="00D15F82">
            <w:pPr>
              <w:pStyle w:val="ListBullet"/>
              <w:rPr>
                <w:lang w:val="en-NZ"/>
              </w:rPr>
            </w:pPr>
            <w:r w:rsidRPr="00D15F82">
              <w:t>using appropriate techniques to verify client needs.</w:t>
            </w:r>
          </w:p>
        </w:tc>
      </w:tr>
      <w:tr w:rsidTr="00013B1A">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SpecialBold"/>
              </w:rPr>
              <w:t>Conte</w:t>
            </w:r>
            <w:r w:rsidRPr="00D15F82">
              <w:rPr>
                <w:rStyle w:val="SpecialBold"/>
              </w:rPr>
              <w:t>xt of and specific resources for assessment</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BodyText"/>
            </w:pPr>
            <w:r w:rsidRPr="00D15F82">
              <w:t>Resource implications for assessment include:</w:t>
            </w:r>
          </w:p>
          <w:p w:rsidR="00000000" w:rsidRPr="00D15F82" w:rsidP="00D15F82">
            <w:pPr>
              <w:pStyle w:val="ListBullet"/>
            </w:pPr>
            <w:r w:rsidRPr="00D15F82">
              <w:t>access to suitable simulated or real opportunities and resources to demonstrate competence</w:t>
            </w:r>
          </w:p>
          <w:p w:rsidR="00000000" w:rsidRPr="00D15F82" w:rsidP="00D15F82">
            <w:pPr>
              <w:pStyle w:val="ListBullet"/>
            </w:pPr>
            <w:r w:rsidRPr="00D15F82">
              <w:t>assessment instruments that may include personal planner and assessment record book</w:t>
            </w:r>
          </w:p>
          <w:p w:rsidR="00000000" w:rsidRPr="00D15F82" w:rsidP="00D15F82">
            <w:pPr>
              <w:pStyle w:val="ListBullet"/>
            </w:pPr>
            <w:r w:rsidRPr="00D15F82">
              <w:t>access to a registered provider of assessment services.</w:t>
            </w:r>
          </w:p>
          <w:p w:rsidR="00000000" w:rsidRPr="00D15F82" w:rsidP="00D15F82">
            <w:pPr>
              <w:pStyle w:val="BodyText"/>
            </w:pPr>
            <w:r w:rsidRPr="00D15F82">
              <w:t>Where applicable, physical resources should include equipment modified for people with disabilities.</w:t>
            </w:r>
          </w:p>
          <w:p w:rsidR="00000000" w:rsidRPr="00D15F82" w:rsidP="00D15F82">
            <w:pPr>
              <w:pStyle w:val="BodyText"/>
            </w:pPr>
            <w:r w:rsidRPr="00D15F82">
              <w:t xml:space="preserve">Access must be </w:t>
            </w:r>
            <w:r w:rsidRPr="00D15F82">
              <w:t>provided to appropriate learning and/or assessment support when required.</w:t>
            </w:r>
          </w:p>
          <w:p w:rsidR="00000000" w:rsidRPr="00D15F82" w:rsidP="00D15F82">
            <w:pPr>
              <w:pStyle w:val="BodyText"/>
            </w:pPr>
            <w:r w:rsidRPr="00D15F82">
              <w:t>Assessment processes and techniques must be culturally appropriate, and appropriate to the language and literacy capacity of the candidate and the work being performed.</w:t>
            </w:r>
          </w:p>
          <w:p w:rsidR="00000000" w:rsidRPr="00D15F82" w:rsidP="00D15F82">
            <w:pPr>
              <w:pStyle w:val="BodyText"/>
            </w:pPr>
            <w:r w:rsidRPr="00D15F82">
              <w:t xml:space="preserve">Validity and </w:t>
            </w:r>
            <w:r w:rsidRPr="00D15F82">
              <w:t>sufficiency of evidence require that:</w:t>
            </w:r>
          </w:p>
          <w:p w:rsidR="00000000" w:rsidRPr="00D15F82" w:rsidP="00D15F82">
            <w:pPr>
              <w:pStyle w:val="ListBullet"/>
            </w:pPr>
            <w:r w:rsidRPr="00D15F82">
              <w:t>competency will need to be demonstrated over a period of time reflecting the scope of the role and the practical requirements of the workplace</w:t>
            </w:r>
          </w:p>
          <w:p w:rsidR="00000000" w:rsidRPr="00D15F82" w:rsidP="00D15F82">
            <w:pPr>
              <w:pStyle w:val="ListBullet"/>
            </w:pPr>
            <w:r w:rsidRPr="00D15F82">
              <w:t>where the assessment is part of a structured learning experience the evide</w:t>
            </w:r>
            <w:r w:rsidRPr="00D15F82">
              <w:t>nce collected must relate to a number of performances assessed at different points in time and separated by further learning and practice with a decision of competence only taken at the point when the assessor has complete confidence in the person's compet</w:t>
            </w:r>
            <w:r w:rsidRPr="00D15F82">
              <w:t>ence</w:t>
            </w:r>
          </w:p>
          <w:p w:rsidR="00000000" w:rsidRPr="00D15F82" w:rsidP="00D15F82">
            <w:pPr>
              <w:pStyle w:val="ListBullet"/>
            </w:pPr>
            <w:r w:rsidRPr="00D15F82">
              <w:t>all assessment that is part of a structured learning experience must include a combination of direct, indirect and supplementary evidence</w:t>
            </w:r>
          </w:p>
          <w:p w:rsidR="00000000" w:rsidRPr="00D15F82" w:rsidP="00D15F82">
            <w:pPr>
              <w:pStyle w:val="ListBullet"/>
            </w:pPr>
            <w:r w:rsidRPr="00D15F82">
              <w:t>where assessment is for the purpose of recognition (RCC/RPL), the evidence provided will need to be current and s</w:t>
            </w:r>
            <w:r w:rsidRPr="00D15F82">
              <w:t>how that it represents competency demonstrated over a period of time</w:t>
            </w:r>
          </w:p>
          <w:p w:rsidR="00000000" w:rsidRPr="00D15F82" w:rsidP="00D15F82">
            <w:pPr>
              <w:pStyle w:val="ListBullet"/>
            </w:pPr>
            <w:r w:rsidRPr="00D15F82">
              <w:t>assessment can be through simulated project-based activity and must include evidence relating to each of the elements in this unit.</w:t>
            </w:r>
          </w:p>
          <w:p w:rsidR="00000000" w:rsidRPr="00D15F82" w:rsidP="00D15F82">
            <w:pPr>
              <w:pStyle w:val="BodyText"/>
            </w:pPr>
            <w:r w:rsidRPr="00D15F82">
              <w:t>In all cases where practical assessment is used it will</w:t>
            </w:r>
            <w:r w:rsidRPr="00D15F82">
              <w:t xml:space="preserve"> be combined with targeted questioning to assess the underpinning knowledge. Questioning will be undertaken in such a manner as is appropriate to the language and literacy levels of the candidate and any cultural issues that may affect responses to the que</w:t>
            </w:r>
            <w:r w:rsidRPr="00D15F82">
              <w:t>stions, and will reflect the requirements of the competency and the work being performed.</w:t>
            </w:r>
          </w:p>
        </w:tc>
      </w:tr>
    </w:tbl>
    <w:p w:rsidR="00013B1A" w:rsidP="00D15F82">
      <w:pPr>
        <w:pStyle w:val="BodyText"/>
      </w:pPr>
    </w:p>
    <w:p w:rsidR="00013B1A" w:rsidP="00D15F82">
      <w:pPr>
        <w:pStyle w:val="BodyText"/>
      </w:pPr>
    </w:p>
    <w:p w:rsidR="00000000" w:rsidRPr="00D15F82" w:rsidP="00D15F82">
      <w:pPr>
        <w:pStyle w:val="Heading1"/>
      </w:pPr>
      <w:bookmarkStart w:id="11" w:name="O_250738"/>
      <w:bookmarkEnd w:id="11"/>
      <w:r w:rsidRPr="00D15F82">
        <w:t>Range Statement</w:t>
      </w:r>
    </w:p>
    <w:p w:rsidR="00000000" w:rsidRPr="00D15F82" w:rsidP="00D15F82">
      <w:pPr>
        <w:pStyle w:val="BodyText"/>
      </w:pPr>
      <w:r w:rsidRPr="00D15F82">
        <w:rPr>
          <w:rStyle w:val="SpecialBold"/>
        </w:rPr>
        <w:t>RANGE STATEMENT</w:t>
      </w:r>
    </w:p>
    <w:p w:rsidR="00000000" w:rsidRPr="00D15F82" w:rsidP="00D15F82">
      <w:pPr>
        <w:pStyle w:val="BodyText"/>
      </w:pPr>
      <w:r w:rsidRPr="00D15F82">
        <w:t xml:space="preserve">The range statement relates to the unit of competency as a whole. It allows for different work environments and situations that may affect performance. </w:t>
      </w:r>
      <w:r w:rsidRPr="00D15F82">
        <w:rPr>
          <w:rStyle w:val="BoldandItalics"/>
        </w:rPr>
        <w:t>Bold italicised</w:t>
      </w:r>
      <w:r w:rsidRPr="00D15F82">
        <w:t xml:space="preserve"> wording in the performance criteria is detailed below. Add any essential operating condi</w:t>
      </w:r>
      <w:r w:rsidRPr="00D15F82">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38"/>
      </w:tblGrid>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Clients</w:t>
            </w:r>
            <w:r w:rsidRPr="00D15F8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bankers</w:t>
            </w:r>
          </w:p>
          <w:p w:rsidR="00000000" w:rsidRPr="00D15F82" w:rsidP="00D15F82">
            <w:pPr>
              <w:pStyle w:val="ListBullet"/>
            </w:pPr>
            <w:r w:rsidRPr="00D15F82">
              <w:t>fund managers</w:t>
            </w:r>
          </w:p>
          <w:p w:rsidR="00000000" w:rsidRPr="00D15F82" w:rsidP="00D15F82">
            <w:pPr>
              <w:pStyle w:val="ListBullet"/>
            </w:pPr>
            <w:r w:rsidRPr="00D15F82">
              <w:t>fund providers</w:t>
            </w:r>
          </w:p>
          <w:p w:rsidR="00000000" w:rsidRPr="00D15F82" w:rsidP="00D15F82">
            <w:pPr>
              <w:pStyle w:val="ListBullet"/>
            </w:pPr>
            <w:r w:rsidRPr="00D15F82">
              <w:t>institutions</w:t>
            </w:r>
          </w:p>
          <w:p w:rsidR="00000000" w:rsidRPr="00D15F82" w:rsidP="00D15F82">
            <w:pPr>
              <w:pStyle w:val="ListBullet"/>
            </w:pPr>
            <w:r w:rsidRPr="00D15F82">
              <w:t>internal and external property groups</w:t>
            </w:r>
          </w:p>
          <w:p w:rsidR="00000000" w:rsidRPr="00D15F82" w:rsidP="00D15F82">
            <w:pPr>
              <w:pStyle w:val="ListBullet"/>
            </w:pPr>
            <w:r w:rsidRPr="00D15F82">
              <w:t>owner-occupiers</w:t>
            </w:r>
          </w:p>
          <w:p w:rsidR="00000000" w:rsidP="00D15F82">
            <w:pPr>
              <w:pStyle w:val="ListBullet"/>
              <w:rPr>
                <w:lang w:val="en-NZ"/>
              </w:rPr>
            </w:pPr>
            <w:r w:rsidRPr="00D15F82">
              <w:t>private investors.</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Client needs and expectations</w:t>
            </w:r>
            <w:r w:rsidRPr="00D15F82">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immediate capital gains</w:t>
            </w:r>
          </w:p>
          <w:p w:rsidR="00000000" w:rsidP="00D15F82">
            <w:pPr>
              <w:pStyle w:val="ListBullet"/>
              <w:rPr>
                <w:lang w:val="en-NZ"/>
              </w:rPr>
            </w:pPr>
            <w:r w:rsidRPr="00D15F82">
              <w:t>long-term capital gains.</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Organisational requirements</w:t>
            </w:r>
            <w:r w:rsidRPr="00D15F82">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access and equity princ</w:t>
            </w:r>
            <w:r w:rsidRPr="00D15F82">
              <w:t>iples and practice guidelines</w:t>
            </w:r>
          </w:p>
          <w:p w:rsidR="00000000" w:rsidRPr="00D15F82" w:rsidP="00D15F82">
            <w:pPr>
              <w:pStyle w:val="ListBullet"/>
            </w:pPr>
            <w:r w:rsidRPr="00D15F82">
              <w:t>business and performance plans</w:t>
            </w:r>
          </w:p>
          <w:p w:rsidR="00000000" w:rsidRPr="00D15F82" w:rsidP="00D15F82">
            <w:pPr>
              <w:pStyle w:val="ListBullet"/>
            </w:pPr>
            <w:r w:rsidRPr="00D15F82">
              <w:t>complaint and dispute resolution procedures</w:t>
            </w:r>
          </w:p>
          <w:p w:rsidR="00000000" w:rsidRPr="00D15F82" w:rsidP="00D15F82">
            <w:pPr>
              <w:pStyle w:val="ListBullet"/>
            </w:pPr>
            <w:r w:rsidRPr="00D15F82">
              <w:t>goals, objectives, plans, systems and processes</w:t>
            </w:r>
          </w:p>
          <w:p w:rsidR="00000000" w:rsidRPr="00D15F82" w:rsidP="00D15F82">
            <w:pPr>
              <w:pStyle w:val="ListBullet"/>
            </w:pPr>
            <w:r w:rsidRPr="00D15F82">
              <w:t>legal and ethical requirements and codes of practice</w:t>
            </w:r>
          </w:p>
          <w:p w:rsidR="00000000" w:rsidRPr="00D15F82" w:rsidP="00D15F82">
            <w:pPr>
              <w:pStyle w:val="ListBullet"/>
            </w:pPr>
            <w:r w:rsidRPr="00D15F82">
              <w:t>mission statements and strategic plans</w:t>
            </w:r>
          </w:p>
          <w:p w:rsidR="00000000" w:rsidRPr="00D15F82" w:rsidP="00D15F82">
            <w:pPr>
              <w:pStyle w:val="ListBullet"/>
            </w:pPr>
            <w:r w:rsidRPr="00D15F82">
              <w:t>OHS policies, procedures and programs</w:t>
            </w:r>
          </w:p>
          <w:p w:rsidR="00000000" w:rsidRPr="00D15F82" w:rsidP="00D15F82">
            <w:pPr>
              <w:pStyle w:val="ListBullet"/>
            </w:pPr>
            <w:r w:rsidRPr="00D15F82">
              <w:t>policies and procedures in relation to client service</w:t>
            </w:r>
          </w:p>
          <w:p w:rsidR="00000000" w:rsidRPr="00D15F82" w:rsidP="00D15F82">
            <w:pPr>
              <w:pStyle w:val="ListBullet"/>
            </w:pPr>
            <w:r w:rsidRPr="00D15F82">
              <w:t>quality and continuous improvement processes and standards</w:t>
            </w:r>
          </w:p>
          <w:p w:rsidR="00000000" w:rsidP="00D15F82">
            <w:pPr>
              <w:pStyle w:val="ListBullet"/>
              <w:rPr>
                <w:lang w:val="en-NZ"/>
              </w:rPr>
            </w:pPr>
            <w:r w:rsidRPr="00D15F82">
              <w:t>quality assurance and procedure manuals.</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Existing or potential issues</w:t>
            </w:r>
            <w:r w:rsidRPr="00D15F82">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best use of assets</w:t>
            </w:r>
          </w:p>
          <w:p w:rsidR="00000000" w:rsidRPr="00D15F82" w:rsidP="00D15F82">
            <w:pPr>
              <w:pStyle w:val="ListBullet"/>
            </w:pPr>
            <w:r w:rsidRPr="00D15F82">
              <w:t>financial constraints</w:t>
            </w:r>
          </w:p>
          <w:p w:rsidR="00000000" w:rsidRPr="00D15F82" w:rsidP="00D15F82">
            <w:pPr>
              <w:pStyle w:val="ListBullet"/>
            </w:pPr>
            <w:r w:rsidRPr="00D15F82">
              <w:t>maximum asset use</w:t>
            </w:r>
          </w:p>
          <w:p w:rsidR="00000000" w:rsidRPr="00D15F82" w:rsidP="00D15F82">
            <w:pPr>
              <w:pStyle w:val="ListBullet"/>
            </w:pPr>
            <w:r w:rsidRPr="00D15F82">
              <w:t>ownership structure</w:t>
            </w:r>
          </w:p>
          <w:p w:rsidR="00000000" w:rsidRPr="00D15F82" w:rsidP="00D15F82">
            <w:pPr>
              <w:pStyle w:val="ListBullet"/>
            </w:pPr>
            <w:r w:rsidRPr="00D15F82">
              <w:t>residual life of assets</w:t>
            </w:r>
          </w:p>
          <w:p w:rsidR="00000000" w:rsidRPr="00D15F82" w:rsidP="00D15F82">
            <w:pPr>
              <w:pStyle w:val="ListBullet"/>
            </w:pPr>
            <w:r w:rsidRPr="00D15F82">
              <w:t>supply and demand for asset type</w:t>
            </w:r>
          </w:p>
          <w:p w:rsidR="00000000" w:rsidP="00D15F82">
            <w:pPr>
              <w:pStyle w:val="ListBullet"/>
              <w:rPr>
                <w:lang w:val="en-NZ"/>
              </w:rPr>
            </w:pPr>
            <w:r w:rsidRPr="00D15F82">
              <w:t>tenancy possibilities.</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Sources of information</w:t>
            </w:r>
            <w:r w:rsidRPr="00D15F8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consultants</w:t>
            </w:r>
          </w:p>
          <w:p w:rsidR="00000000" w:rsidRPr="00D15F82" w:rsidP="00D15F82">
            <w:pPr>
              <w:pStyle w:val="ListBullet"/>
            </w:pPr>
            <w:r w:rsidRPr="00D15F82">
              <w:t>industry and organisational databases</w:t>
            </w:r>
          </w:p>
          <w:p w:rsidR="00000000" w:rsidRPr="00D15F82" w:rsidP="00D15F82">
            <w:pPr>
              <w:pStyle w:val="ListBullet"/>
            </w:pPr>
            <w:r w:rsidRPr="00D15F82">
              <w:t>information services</w:t>
            </w:r>
          </w:p>
          <w:p w:rsidR="00000000" w:rsidRPr="00D15F82" w:rsidP="00D15F82">
            <w:pPr>
              <w:pStyle w:val="ListBullet"/>
            </w:pPr>
            <w:r w:rsidRPr="00D15F82">
              <w:t>press clippings</w:t>
            </w:r>
          </w:p>
          <w:p w:rsidR="00000000" w:rsidRPr="00D15F82" w:rsidP="00D15F82">
            <w:pPr>
              <w:pStyle w:val="ListBullet"/>
            </w:pPr>
            <w:r w:rsidRPr="00D15F82">
              <w:t>published industry data, including industry indices</w:t>
            </w:r>
          </w:p>
          <w:p w:rsidR="00000000" w:rsidRPr="00D15F82" w:rsidP="00D15F82">
            <w:pPr>
              <w:pStyle w:val="ListBullet"/>
            </w:pPr>
            <w:r w:rsidRPr="00D15F82">
              <w:t>third parties</w:t>
            </w:r>
          </w:p>
          <w:p w:rsidR="00000000" w:rsidP="00D15F82">
            <w:pPr>
              <w:pStyle w:val="ListBullet"/>
              <w:rPr>
                <w:lang w:val="en-NZ"/>
              </w:rPr>
            </w:pPr>
            <w:r w:rsidRPr="00D15F82">
              <w:t>trade journals.</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Assets</w:t>
            </w:r>
            <w:r w:rsidRPr="00D15F8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buildings</w:t>
            </w:r>
          </w:p>
          <w:p w:rsidR="00000000" w:rsidRPr="00D15F82" w:rsidP="00D15F82">
            <w:pPr>
              <w:pStyle w:val="ListBullet"/>
            </w:pPr>
            <w:r w:rsidRPr="00D15F82">
              <w:t>business and marketing contracts</w:t>
            </w:r>
          </w:p>
          <w:p w:rsidR="00000000" w:rsidRPr="00D15F82" w:rsidP="00D15F82">
            <w:pPr>
              <w:pStyle w:val="ListBullet"/>
            </w:pPr>
            <w:r w:rsidRPr="00D15F82">
              <w:t>equipment</w:t>
            </w:r>
          </w:p>
          <w:p w:rsidR="00000000" w:rsidRPr="00D15F82" w:rsidP="00D15F82">
            <w:pPr>
              <w:pStyle w:val="ListBullet"/>
            </w:pPr>
            <w:r w:rsidRPr="00D15F82">
              <w:t>furniture</w:t>
            </w:r>
          </w:p>
          <w:p w:rsidR="00000000" w:rsidRPr="00D15F82" w:rsidP="00D15F82">
            <w:pPr>
              <w:pStyle w:val="ListBullet"/>
            </w:pPr>
            <w:r w:rsidRPr="00D15F82">
              <w:t>goodwill</w:t>
            </w:r>
          </w:p>
          <w:p w:rsidR="00000000" w:rsidRPr="00D15F82" w:rsidP="00D15F82">
            <w:pPr>
              <w:pStyle w:val="ListBullet"/>
            </w:pPr>
            <w:r w:rsidRPr="00D15F82">
              <w:t>land</w:t>
            </w:r>
          </w:p>
          <w:p w:rsidR="00000000" w:rsidP="00D15F82">
            <w:pPr>
              <w:pStyle w:val="ListBullet"/>
              <w:rPr>
                <w:lang w:val="en-NZ"/>
              </w:rPr>
            </w:pPr>
            <w:r w:rsidRPr="00D15F82">
              <w:t>vehicles.</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Source documents</w:t>
            </w:r>
            <w:r w:rsidRPr="00D15F8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asset valuation statements</w:t>
            </w:r>
          </w:p>
          <w:p w:rsidR="00000000" w:rsidRPr="00D15F82" w:rsidP="00D15F82">
            <w:pPr>
              <w:pStyle w:val="ListBullet"/>
            </w:pPr>
            <w:r w:rsidRPr="00D15F82">
              <w:t>company asset documents and registers</w:t>
            </w:r>
          </w:p>
          <w:p w:rsidR="00000000" w:rsidRPr="00D15F82" w:rsidP="00D15F82">
            <w:pPr>
              <w:pStyle w:val="ListBullet"/>
            </w:pPr>
            <w:r w:rsidRPr="00D15F82">
              <w:t>comparative market data</w:t>
            </w:r>
          </w:p>
          <w:p w:rsidR="00000000" w:rsidRPr="00D15F82" w:rsidP="00D15F82">
            <w:pPr>
              <w:pStyle w:val="ListBullet"/>
            </w:pPr>
            <w:r w:rsidRPr="00D15F82">
              <w:t>depreciation schedules</w:t>
            </w:r>
          </w:p>
          <w:p w:rsidR="00000000" w:rsidRPr="00D15F82" w:rsidP="00D15F82">
            <w:pPr>
              <w:pStyle w:val="ListBullet"/>
            </w:pPr>
            <w:r w:rsidRPr="00D15F82">
              <w:t>financial documents</w:t>
            </w:r>
          </w:p>
          <w:p w:rsidR="00000000" w:rsidRPr="00D15F82" w:rsidP="00D15F82">
            <w:pPr>
              <w:pStyle w:val="ListBullet"/>
            </w:pPr>
            <w:r w:rsidRPr="00D15F82">
              <w:t>qualitative and quantitative data</w:t>
            </w:r>
          </w:p>
          <w:p w:rsidR="00000000" w:rsidRPr="00D15F82" w:rsidP="00D15F82">
            <w:pPr>
              <w:pStyle w:val="ListBullet"/>
            </w:pPr>
            <w:r w:rsidRPr="00D15F82">
              <w:t>reports and inventories</w:t>
            </w:r>
          </w:p>
          <w:p w:rsidR="00000000" w:rsidP="00D15F82">
            <w:pPr>
              <w:pStyle w:val="ListBullet"/>
              <w:rPr>
                <w:lang w:val="en-NZ"/>
              </w:rPr>
            </w:pPr>
            <w:r w:rsidRPr="00D15F82">
              <w:t>taxation records.</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Interpersonal techniques</w:t>
            </w:r>
            <w:r w:rsidRPr="00D15F82">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active</w:t>
            </w:r>
            <w:r w:rsidRPr="00D15F82">
              <w:t xml:space="preserve"> listening</w:t>
            </w:r>
          </w:p>
          <w:p w:rsidR="00000000" w:rsidRPr="00D15F82" w:rsidP="00D15F82">
            <w:pPr>
              <w:pStyle w:val="ListBullet"/>
            </w:pPr>
            <w:r w:rsidRPr="00D15F82">
              <w:t>clear presentation of options</w:t>
            </w:r>
          </w:p>
          <w:p w:rsidR="00000000" w:rsidRPr="00D15F82" w:rsidP="00D15F82">
            <w:pPr>
              <w:pStyle w:val="ListBullet"/>
            </w:pPr>
            <w:r w:rsidRPr="00D15F82">
              <w:t>consultation methods</w:t>
            </w:r>
          </w:p>
          <w:p w:rsidR="00000000" w:rsidRPr="00D15F82" w:rsidP="00D15F82">
            <w:pPr>
              <w:pStyle w:val="ListBullet"/>
            </w:pPr>
            <w:r w:rsidRPr="00D15F82">
              <w:t>culturally inclusive and sensitive engagement techniques</w:t>
            </w:r>
          </w:p>
          <w:p w:rsidR="00000000" w:rsidRPr="00D15F82" w:rsidP="00D15F82">
            <w:pPr>
              <w:pStyle w:val="ListBullet"/>
            </w:pPr>
            <w:r w:rsidRPr="00D15F82">
              <w:t>questioning to clarify and confirm understanding</w:t>
            </w:r>
          </w:p>
          <w:p w:rsidR="00000000" w:rsidP="00D15F82">
            <w:pPr>
              <w:pStyle w:val="ListBullet"/>
              <w:rPr>
                <w:lang w:val="en-NZ"/>
              </w:rPr>
            </w:pPr>
            <w:r w:rsidRPr="00D15F82">
              <w:t>seeking feedback</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two-way interaction</w:t>
            </w:r>
          </w:p>
          <w:p w:rsidR="00000000" w:rsidRPr="00D15F82" w:rsidP="00D15F82">
            <w:pPr>
              <w:pStyle w:val="ListBullet"/>
            </w:pPr>
            <w:r w:rsidRPr="00D15F82">
              <w:t>using language and concepts appropriate to cultural differences</w:t>
            </w:r>
          </w:p>
          <w:p w:rsidR="00000000" w:rsidP="00D15F82">
            <w:pPr>
              <w:pStyle w:val="ListBullet"/>
              <w:rPr>
                <w:lang w:val="en-NZ"/>
              </w:rPr>
            </w:pPr>
            <w:r w:rsidRPr="00D15F82">
              <w:t>verbal or non-verbal language.</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Legislative requirements</w:t>
            </w:r>
            <w:r w:rsidRPr="00D15F82">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Australian standards</w:t>
            </w:r>
          </w:p>
          <w:p w:rsidR="00000000" w:rsidRPr="00D15F82" w:rsidP="00D15F82">
            <w:pPr>
              <w:pStyle w:val="ListBullet"/>
            </w:pPr>
            <w:r w:rsidRPr="00D15F82">
              <w:t>general duty of care to clients</w:t>
            </w:r>
          </w:p>
          <w:p w:rsidR="00000000" w:rsidRPr="00D15F82" w:rsidP="00D15F82">
            <w:pPr>
              <w:pStyle w:val="ListBullet"/>
            </w:pPr>
            <w:r w:rsidRPr="00D15F82">
              <w:t>home building requirements</w:t>
            </w:r>
          </w:p>
          <w:p w:rsidR="00000000" w:rsidRPr="00D15F82" w:rsidP="00D15F82">
            <w:pPr>
              <w:pStyle w:val="ListBullet"/>
            </w:pPr>
            <w:r w:rsidRPr="00D15F82">
              <w:t>privacy requirements</w:t>
            </w:r>
          </w:p>
          <w:p w:rsidR="00000000" w:rsidRPr="00D15F82" w:rsidP="00D15F82">
            <w:pPr>
              <w:pStyle w:val="ListBullet"/>
            </w:pPr>
            <w:r w:rsidRPr="00D15F82">
              <w:t>relevant federal, and state or territory legislation that affects organisational operation, including:</w:t>
            </w:r>
          </w:p>
          <w:p w:rsidR="00000000" w:rsidRPr="00D15F82" w:rsidP="00D15F82">
            <w:pPr>
              <w:pStyle w:val="ListBullet2"/>
            </w:pPr>
            <w:r w:rsidRPr="00D15F82">
              <w:t>anti-discrimination and diversity</w:t>
            </w:r>
          </w:p>
          <w:p w:rsidR="00000000" w:rsidRPr="00D15F82" w:rsidP="00D15F82">
            <w:pPr>
              <w:pStyle w:val="ListBullet2"/>
            </w:pPr>
            <w:r w:rsidRPr="00D15F82">
              <w:t>environmental issues</w:t>
            </w:r>
          </w:p>
          <w:p w:rsidR="00000000" w:rsidRPr="00D15F82" w:rsidP="00D15F82">
            <w:pPr>
              <w:pStyle w:val="ListBullet2"/>
            </w:pPr>
            <w:r w:rsidRPr="00D15F82">
              <w:t>EEO</w:t>
            </w:r>
          </w:p>
          <w:p w:rsidR="00000000" w:rsidRPr="00D15F82" w:rsidP="00D15F82">
            <w:pPr>
              <w:pStyle w:val="ListBullet2"/>
            </w:pPr>
            <w:r w:rsidRPr="00D15F82">
              <w:t>industrial relations</w:t>
            </w:r>
          </w:p>
          <w:p w:rsidR="00000000" w:rsidRPr="00D15F82" w:rsidP="00D15F82">
            <w:pPr>
              <w:pStyle w:val="ListBullet2"/>
            </w:pPr>
            <w:r w:rsidRPr="00D15F82">
              <w:t>OHS</w:t>
            </w:r>
          </w:p>
          <w:p w:rsidR="00000000" w:rsidRPr="00D15F82" w:rsidP="00D15F82">
            <w:pPr>
              <w:pStyle w:val="ListBullet"/>
            </w:pPr>
            <w:r w:rsidRPr="00D15F82">
              <w:t>relevant industry codes of practice, which may cover areas including market sector, financial transactions, taxation, environment, construction, land use, native title, zoning, utilities use (water, gas and electricity), and contract or common law</w:t>
            </w:r>
          </w:p>
          <w:p w:rsidR="00000000" w:rsidRPr="00D15F82" w:rsidP="00D15F82">
            <w:pPr>
              <w:pStyle w:val="ListBullet"/>
            </w:pPr>
            <w:r w:rsidRPr="00D15F82">
              <w:t xml:space="preserve">strata, </w:t>
            </w:r>
            <w:r w:rsidRPr="00D15F82">
              <w:t>community and company titles</w:t>
            </w:r>
          </w:p>
          <w:p w:rsidR="00000000" w:rsidRPr="00D15F82" w:rsidP="00D15F82">
            <w:pPr>
              <w:pStyle w:val="ListBullet"/>
            </w:pPr>
            <w:r w:rsidRPr="00D15F82">
              <w:t>tenancy agreements</w:t>
            </w:r>
          </w:p>
          <w:p w:rsidR="00000000" w:rsidP="00D15F82">
            <w:pPr>
              <w:pStyle w:val="ListBullet"/>
              <w:rPr>
                <w:lang w:val="en-NZ"/>
              </w:rPr>
            </w:pPr>
            <w:r w:rsidRPr="00D15F82">
              <w:t>trade practices laws and guidelines.</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Market conditions</w:t>
            </w:r>
            <w:r w:rsidRPr="00D15F82">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availability of alternatives</w:t>
            </w:r>
          </w:p>
          <w:p w:rsidR="00000000" w:rsidRPr="00D15F82" w:rsidP="00D15F82">
            <w:pPr>
              <w:pStyle w:val="ListBullet"/>
            </w:pPr>
            <w:r w:rsidRPr="00D15F82">
              <w:t>business confidence</w:t>
            </w:r>
          </w:p>
          <w:p w:rsidR="00000000" w:rsidRPr="00D15F82" w:rsidP="00D15F82">
            <w:pPr>
              <w:pStyle w:val="ListBullet"/>
            </w:pPr>
            <w:r w:rsidRPr="00D15F82">
              <w:t>economic conditions</w:t>
            </w:r>
          </w:p>
          <w:p w:rsidR="00000000" w:rsidP="00D15F82">
            <w:pPr>
              <w:pStyle w:val="ListBullet"/>
              <w:rPr>
                <w:lang w:val="en-NZ"/>
              </w:rPr>
            </w:pPr>
            <w:r w:rsidRPr="00D15F82">
              <w:t>level of competition.</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Industry benchmarks</w:t>
            </w:r>
            <w:r w:rsidRPr="00D15F8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discounted cash flow</w:t>
            </w:r>
          </w:p>
          <w:p w:rsidR="00000000" w:rsidRPr="00D15F82" w:rsidP="00D15F82">
            <w:pPr>
              <w:pStyle w:val="ListBullet"/>
            </w:pPr>
            <w:r w:rsidRPr="00D15F82">
              <w:t>employment rates</w:t>
            </w:r>
          </w:p>
          <w:p w:rsidR="00000000" w:rsidRPr="00D15F82" w:rsidP="00D15F82">
            <w:pPr>
              <w:pStyle w:val="ListBullet"/>
            </w:pPr>
            <w:r w:rsidRPr="00D15F82">
              <w:t>industry association performance index</w:t>
            </w:r>
          </w:p>
          <w:p w:rsidR="00000000" w:rsidRPr="00D15F82" w:rsidP="00D15F82">
            <w:pPr>
              <w:pStyle w:val="ListBullet"/>
            </w:pPr>
            <w:r w:rsidRPr="00D15F82">
              <w:t>inflation rate</w:t>
            </w:r>
          </w:p>
          <w:p w:rsidR="00000000" w:rsidRPr="00D15F82" w:rsidP="00D15F82">
            <w:pPr>
              <w:pStyle w:val="ListBullet"/>
            </w:pPr>
            <w:r w:rsidRPr="00D15F82">
              <w:t>internal rate of return</w:t>
            </w:r>
          </w:p>
          <w:p w:rsidR="00000000" w:rsidRPr="00D15F82" w:rsidP="00D15F82">
            <w:pPr>
              <w:pStyle w:val="ListBullet"/>
            </w:pPr>
            <w:r w:rsidRPr="00D15F82">
              <w:t>life cycle costing</w:t>
            </w:r>
          </w:p>
          <w:p w:rsidR="00000000" w:rsidRPr="00D15F82" w:rsidP="00D15F82">
            <w:pPr>
              <w:pStyle w:val="ListBullet"/>
            </w:pPr>
            <w:r w:rsidRPr="00D15F82">
              <w:t>published vacancy factors</w:t>
            </w:r>
          </w:p>
          <w:p w:rsidR="00000000" w:rsidP="00D15F82">
            <w:pPr>
              <w:pStyle w:val="ListBullet"/>
              <w:rPr>
                <w:lang w:val="en-NZ"/>
              </w:rPr>
            </w:pPr>
            <w:r w:rsidRPr="00D15F82">
              <w:t>tenancy mix.</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Comparative market data</w:t>
            </w:r>
            <w:r w:rsidRPr="00D15F8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best practice information</w:t>
            </w:r>
          </w:p>
          <w:p w:rsidR="00000000" w:rsidRPr="00D15F82" w:rsidP="00D15F82">
            <w:pPr>
              <w:pStyle w:val="ListBullet"/>
            </w:pPr>
            <w:r w:rsidRPr="00D15F82">
              <w:t>national and international benchmarking</w:t>
            </w:r>
          </w:p>
          <w:p w:rsidR="00000000" w:rsidP="00D15F82">
            <w:pPr>
              <w:pStyle w:val="ListBullet"/>
              <w:rPr>
                <w:lang w:val="en-NZ"/>
              </w:rPr>
            </w:pPr>
            <w:r w:rsidRPr="00D15F82">
              <w:t>inter-organisation comparison data.</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Advice and recommendations</w:t>
            </w:r>
            <w:r w:rsidRPr="00D15F82">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 xml:space="preserve">alternative asset management strategies </w:t>
            </w:r>
          </w:p>
          <w:p w:rsidR="00000000" w:rsidRPr="00D15F82" w:rsidP="00D15F82">
            <w:pPr>
              <w:pStyle w:val="ListBullet"/>
            </w:pPr>
            <w:r w:rsidRPr="00D15F82">
              <w:t>disposal of asset</w:t>
            </w:r>
          </w:p>
          <w:p w:rsidR="00000000" w:rsidRPr="00D15F82" w:rsidP="00D15F82">
            <w:pPr>
              <w:pStyle w:val="ListBullet"/>
            </w:pPr>
            <w:r w:rsidRPr="00D15F82">
              <w:t>fit-out, construction and refurbishment</w:t>
            </w:r>
          </w:p>
          <w:p w:rsidR="00000000" w:rsidRPr="00D15F82" w:rsidP="00D15F82">
            <w:pPr>
              <w:pStyle w:val="ListBullet"/>
            </w:pPr>
            <w:r w:rsidRPr="00D15F82">
              <w:t>maintenance and repairs</w:t>
            </w:r>
          </w:p>
          <w:p w:rsidR="00000000" w:rsidP="00D15F82">
            <w:pPr>
              <w:pStyle w:val="ListBullet"/>
              <w:rPr>
                <w:lang w:val="en-NZ"/>
              </w:rPr>
            </w:pPr>
            <w:r w:rsidRPr="00D15F82">
              <w:t>tenancy mix s</w:t>
            </w:r>
            <w:r w:rsidRPr="00D15F82">
              <w:t>trategy.</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Business equipment and technology</w:t>
            </w:r>
            <w:r w:rsidRPr="00D15F8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computers</w:t>
            </w:r>
          </w:p>
          <w:p w:rsidR="00000000" w:rsidRPr="00D15F82" w:rsidP="00D15F82">
            <w:pPr>
              <w:pStyle w:val="ListBullet"/>
            </w:pPr>
            <w:r w:rsidRPr="00D15F82">
              <w:t>data storage devices</w:t>
            </w:r>
          </w:p>
          <w:p w:rsidR="00000000" w:rsidRPr="00D15F82" w:rsidP="00D15F82">
            <w:pPr>
              <w:pStyle w:val="ListBullet"/>
            </w:pPr>
            <w:r w:rsidRPr="00D15F82">
              <w:t>email</w:t>
            </w:r>
          </w:p>
          <w:p w:rsidR="00000000" w:rsidRPr="00D15F82" w:rsidP="00D15F82">
            <w:pPr>
              <w:pStyle w:val="ListBullet"/>
            </w:pPr>
            <w:r w:rsidRPr="00D15F82">
              <w:t>facsimile machines</w:t>
            </w:r>
          </w:p>
          <w:p w:rsidR="00000000" w:rsidRPr="00D15F82" w:rsidP="00D15F82">
            <w:pPr>
              <w:pStyle w:val="ListBullet"/>
            </w:pPr>
            <w:r w:rsidRPr="00D15F82">
              <w:t>internet, extranet and intranet</w:t>
            </w:r>
          </w:p>
          <w:p w:rsidR="00000000" w:rsidRPr="00D15F82" w:rsidP="00D15F82">
            <w:pPr>
              <w:pStyle w:val="ListBullet"/>
            </w:pPr>
            <w:r w:rsidRPr="00D15F82">
              <w:t>photocopiers</w:t>
            </w:r>
          </w:p>
          <w:p w:rsidR="00000000" w:rsidRPr="00D15F82" w:rsidP="00D15F82">
            <w:pPr>
              <w:pStyle w:val="ListBullet"/>
            </w:pPr>
            <w:r w:rsidRPr="00D15F82">
              <w:t>printers</w:t>
            </w:r>
          </w:p>
          <w:p w:rsidR="00000000" w:rsidRPr="00D15F82" w:rsidP="00D15F82">
            <w:pPr>
              <w:pStyle w:val="ListBullet"/>
            </w:pPr>
            <w:r w:rsidRPr="00D15F82">
              <w:t>scanners</w:t>
            </w:r>
          </w:p>
          <w:p w:rsidR="00000000" w:rsidP="00D15F82">
            <w:pPr>
              <w:pStyle w:val="ListBullet"/>
              <w:rPr>
                <w:lang w:val="en-NZ"/>
              </w:rPr>
            </w:pPr>
            <w:r w:rsidRPr="00D15F82">
              <w:t>software applications, such as databases and word applications.</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Relevant people</w:t>
            </w:r>
            <w:r w:rsidRPr="00D15F8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clients</w:t>
            </w:r>
          </w:p>
          <w:p w:rsidR="00000000" w:rsidRPr="00D15F82" w:rsidP="00D15F82">
            <w:pPr>
              <w:pStyle w:val="ListBullet"/>
            </w:pPr>
            <w:r w:rsidRPr="00D15F82">
              <w:t>colleagues</w:t>
            </w:r>
          </w:p>
          <w:p w:rsidR="00000000" w:rsidRPr="00D15F82" w:rsidP="00D15F82">
            <w:pPr>
              <w:pStyle w:val="ListBullet"/>
            </w:pPr>
            <w:r w:rsidRPr="00D15F82">
              <w:t>legal representatives</w:t>
            </w:r>
          </w:p>
          <w:p w:rsidR="00000000" w:rsidRPr="00D15F82" w:rsidP="00D15F82">
            <w:pPr>
              <w:pStyle w:val="ListBullet"/>
            </w:pPr>
            <w:r w:rsidRPr="00D15F82">
              <w:t>members of industry associations</w:t>
            </w:r>
          </w:p>
          <w:p w:rsidR="00000000" w:rsidP="00D15F82">
            <w:pPr>
              <w:pStyle w:val="ListBullet"/>
              <w:rPr>
                <w:lang w:val="en-NZ"/>
              </w:rPr>
            </w:pPr>
            <w:r w:rsidRPr="00D15F82">
              <w:t>supervisors.</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Feedback</w:t>
            </w:r>
            <w:r w:rsidRPr="00D15F82">
              <w:t xml:space="preserve"> may be obtained through:</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clients and colleagues</w:t>
            </w:r>
          </w:p>
          <w:p w:rsidR="00000000" w:rsidRPr="00D15F82" w:rsidP="00D15F82">
            <w:pPr>
              <w:pStyle w:val="ListBullet"/>
            </w:pPr>
            <w:r w:rsidRPr="00D15F82">
              <w:t>documentation and reports</w:t>
            </w:r>
          </w:p>
          <w:p w:rsidR="00000000" w:rsidRPr="00D15F82" w:rsidP="00D15F82">
            <w:pPr>
              <w:pStyle w:val="ListBullet"/>
            </w:pPr>
            <w:r w:rsidRPr="00D15F82">
              <w:t>quality assurance data</w:t>
            </w:r>
          </w:p>
          <w:p w:rsidR="00000000" w:rsidP="00D15F82">
            <w:pPr>
              <w:pStyle w:val="ListBullet"/>
              <w:rPr>
                <w:lang w:val="en-NZ"/>
              </w:rPr>
            </w:pPr>
            <w:r w:rsidRPr="00D15F82">
              <w:t>questionnaires.</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BoldandItalics"/>
              </w:rPr>
              <w:t>Specialist advice</w:t>
            </w:r>
            <w:r w:rsidRPr="00D15F82">
              <w:t xml:space="preserve"> may be sought from:</w:t>
            </w: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ListBullet"/>
            </w:pPr>
            <w:r w:rsidRPr="00D15F82">
              <w:t>bankers and financiers</w:t>
            </w:r>
          </w:p>
          <w:p w:rsidR="00000000" w:rsidRPr="00D15F82" w:rsidP="00D15F82">
            <w:pPr>
              <w:pStyle w:val="ListBullet"/>
            </w:pPr>
            <w:r w:rsidRPr="00D15F82">
              <w:t>business consultants</w:t>
            </w:r>
          </w:p>
          <w:p w:rsidR="00000000" w:rsidRPr="00D15F82" w:rsidP="00D15F82">
            <w:pPr>
              <w:pStyle w:val="ListBullet"/>
            </w:pPr>
            <w:r w:rsidRPr="00D15F82">
              <w:t>developers</w:t>
            </w:r>
          </w:p>
          <w:p w:rsidR="00000000" w:rsidRPr="00D15F82" w:rsidP="00D15F82">
            <w:pPr>
              <w:pStyle w:val="ListBullet"/>
            </w:pPr>
            <w:r w:rsidRPr="00D15F82">
              <w:t>land economists</w:t>
            </w:r>
          </w:p>
          <w:p w:rsidR="00000000" w:rsidRPr="00D15F82" w:rsidP="00D15F82">
            <w:pPr>
              <w:pStyle w:val="ListBullet"/>
            </w:pPr>
            <w:r w:rsidRPr="00D15F82">
              <w:t>members of industry associations</w:t>
            </w:r>
          </w:p>
          <w:p w:rsidR="00000000" w:rsidRPr="00D15F82" w:rsidP="00D15F82">
            <w:pPr>
              <w:pStyle w:val="ListBullet"/>
            </w:pPr>
            <w:r w:rsidRPr="00D15F82">
              <w:t>real estate agents</w:t>
            </w:r>
          </w:p>
          <w:p w:rsidR="00000000" w:rsidRPr="00D15F82" w:rsidP="00D15F82">
            <w:pPr>
              <w:pStyle w:val="ListBullet"/>
            </w:pPr>
            <w:r w:rsidRPr="00D15F82">
              <w:t>solicitors</w:t>
            </w:r>
          </w:p>
          <w:p w:rsidR="00000000" w:rsidRPr="00D15F82" w:rsidP="00D15F82">
            <w:pPr>
              <w:pStyle w:val="ListBullet"/>
            </w:pPr>
            <w:r w:rsidRPr="00D15F82">
              <w:t>taxation and accounting practitioners</w:t>
            </w:r>
          </w:p>
          <w:p w:rsidR="00000000" w:rsidP="00D15F82">
            <w:pPr>
              <w:pStyle w:val="ListBullet"/>
              <w:rPr>
                <w:lang w:val="en-NZ"/>
              </w:rPr>
            </w:pPr>
            <w:r w:rsidRPr="00D15F82">
              <w:t>valuers.</w:t>
            </w:r>
          </w:p>
        </w:tc>
      </w:tr>
      <w:tr w:rsidTr="00013B1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D15F82" w:rsidP="00D15F82">
            <w:pPr>
              <w:pStyle w:val="BodyText"/>
            </w:pPr>
          </w:p>
        </w:tc>
      </w:tr>
    </w:tbl>
    <w:p w:rsidR="00013B1A" w:rsidP="00D15F82">
      <w:pPr>
        <w:pStyle w:val="BodyText"/>
      </w:pPr>
    </w:p>
    <w:p w:rsidR="00013B1A" w:rsidP="00D15F82">
      <w:pPr>
        <w:pStyle w:val="BodyText"/>
      </w:pPr>
    </w:p>
    <w:p w:rsidR="00000000" w:rsidRPr="00D15F82" w:rsidP="00D15F82">
      <w:pPr>
        <w:pStyle w:val="Heading1"/>
      </w:pPr>
      <w:bookmarkStart w:id="12" w:name="O_200993"/>
      <w:bookmarkEnd w:id="12"/>
      <w:r w:rsidRPr="00D15F82">
        <w:t>Unit Sector(s)</w:t>
      </w:r>
    </w:p>
    <w:tbl>
      <w:tblPr>
        <w:tblW w:w="0" w:type="auto"/>
        <w:tblLayout w:type="fixed"/>
        <w:tblCellMar>
          <w:left w:w="62" w:type="dxa"/>
          <w:right w:w="62" w:type="dxa"/>
        </w:tblCellMar>
        <w:tblLook w:val="0000"/>
      </w:tblPr>
      <w:tblGrid>
        <w:gridCol w:w="2911"/>
        <w:gridCol w:w="5611"/>
      </w:tblGrid>
      <w:tr w:rsidTr="00013B1A">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D15F82" w:rsidP="00D15F82">
            <w:pPr>
              <w:pStyle w:val="BodyText"/>
            </w:pPr>
            <w:r w:rsidRPr="00D15F82">
              <w:t>Property development, sales and management</w:t>
            </w:r>
          </w:p>
        </w:tc>
      </w:tr>
    </w:tbl>
    <w:p w:rsidR="00013B1A" w:rsidP="00D15F82">
      <w:pPr>
        <w:pStyle w:val="BodyText"/>
      </w:pPr>
    </w:p>
    <w:p w:rsidR="00013B1A" w:rsidP="00D15F82">
      <w:pPr>
        <w:pStyle w:val="BodyText"/>
      </w:pPr>
    </w:p>
    <w:p w:rsidR="00000000" w:rsidRPr="00D15F82" w:rsidP="00D15F82">
      <w:pPr>
        <w:pStyle w:val="Heading1"/>
      </w:pPr>
      <w:bookmarkStart w:id="13" w:name="O_200992"/>
      <w:bookmarkEnd w:id="13"/>
      <w:r w:rsidRPr="00D15F82">
        <w:t>Competency field</w:t>
      </w:r>
    </w:p>
    <w:tbl>
      <w:tblPr>
        <w:tblW w:w="0" w:type="auto"/>
        <w:tblLayout w:type="fixed"/>
        <w:tblCellMar>
          <w:left w:w="62" w:type="dxa"/>
          <w:right w:w="62" w:type="dxa"/>
        </w:tblCellMar>
        <w:tblLook w:val="0000"/>
      </w:tblPr>
      <w:tblGrid>
        <w:gridCol w:w="2911"/>
        <w:gridCol w:w="5611"/>
      </w:tblGrid>
      <w:tr w:rsidTr="00013B1A">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15F82">
            <w:pPr>
              <w:pStyle w:val="BodyText"/>
              <w:rPr>
                <w:lang w:val="en-NZ"/>
              </w:rPr>
            </w:pPr>
            <w:r w:rsidRPr="00D15F82">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D15F82" w:rsidP="00D15F82">
            <w:pPr>
              <w:pStyle w:val="BodyText"/>
            </w:pPr>
            <w:r w:rsidRPr="00D15F82">
              <w:t>Property operations and development</w:t>
            </w:r>
          </w:p>
        </w:tc>
      </w:tr>
    </w:tbl>
    <w:p w:rsidR="00013B1A" w:rsidP="00D15F82">
      <w:pPr>
        <w:pStyle w:val="BodyText"/>
      </w:pPr>
    </w:p>
    <w:p w:rsidR="00013B1A" w:rsidP="00D15F82">
      <w:pPr>
        <w:pStyle w:val="BodyText"/>
      </w:pPr>
    </w:p>
    <w:p w:rsidR="00000000" w:rsidRPr="00D15F82" w:rsidP="00D15F82"/>
    <w:sectPr w:rsidSect="00D15F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F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B1A" w:rsidP="00013B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F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B1A" w:rsidP="00D15F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13B1A" w:rsidP="00D15F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13B1A" w:rsidP="00D15F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F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B1A" w:rsidP="00013B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F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B1A" w:rsidP="00D15F82">
    <w:pPr>
      <w:pStyle w:val="Header"/>
      <w:framePr w:wrap="around"/>
    </w:pPr>
    <w:r>
      <w:fldChar w:fldCharType="begin"/>
    </w:r>
    <w:r>
      <w:instrText xml:space="preserve"> TITLE   \* MERGEFORMAT </w:instrText>
    </w:r>
    <w:r>
      <w:fldChar w:fldCharType="separate"/>
    </w:r>
    <w:r>
      <w:t>CPPDSM4025A Advise on performance of asset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3B1A" w:rsidP="00D15F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5EA0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A8B2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84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F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5F82"/>
    <w:pPr>
      <w:spacing w:before="360" w:after="60"/>
      <w:outlineLvl w:val="0"/>
    </w:pPr>
    <w:rPr>
      <w:sz w:val="32"/>
    </w:rPr>
  </w:style>
  <w:style w:type="paragraph" w:styleId="Heading2">
    <w:name w:val="heading 2"/>
    <w:basedOn w:val="HeadingBase"/>
    <w:next w:val="BodyText"/>
    <w:link w:val="Heading2Char"/>
    <w:qFormat/>
    <w:rsid w:val="00D15F82"/>
    <w:pPr>
      <w:keepLines/>
      <w:spacing w:before="240" w:after="120"/>
      <w:outlineLvl w:val="1"/>
    </w:pPr>
    <w:rPr>
      <w:sz w:val="28"/>
      <w:szCs w:val="40"/>
    </w:rPr>
  </w:style>
  <w:style w:type="paragraph" w:styleId="Heading3">
    <w:name w:val="heading 3"/>
    <w:basedOn w:val="HeadingBase"/>
    <w:next w:val="BodyText"/>
    <w:link w:val="Heading3Char"/>
    <w:qFormat/>
    <w:rsid w:val="00D15F82"/>
    <w:pPr>
      <w:spacing w:before="180" w:after="120"/>
      <w:outlineLvl w:val="2"/>
    </w:pPr>
    <w:rPr>
      <w:spacing w:val="-10"/>
      <w:kern w:val="32"/>
    </w:rPr>
  </w:style>
  <w:style w:type="paragraph" w:styleId="Heading4">
    <w:name w:val="heading 4"/>
    <w:basedOn w:val="HeadingBase"/>
    <w:next w:val="BodyText"/>
    <w:link w:val="Heading4Char"/>
    <w:qFormat/>
    <w:rsid w:val="00D15F82"/>
    <w:pPr>
      <w:spacing w:before="160" w:after="120"/>
      <w:outlineLvl w:val="3"/>
    </w:pPr>
    <w:rPr>
      <w:sz w:val="22"/>
    </w:rPr>
  </w:style>
  <w:style w:type="paragraph" w:styleId="Heading5">
    <w:name w:val="heading 5"/>
    <w:basedOn w:val="HeadingBase"/>
    <w:next w:val="Normal"/>
    <w:link w:val="Heading5Char"/>
    <w:qFormat/>
    <w:rsid w:val="00D15F82"/>
    <w:pPr>
      <w:spacing w:before="80"/>
      <w:outlineLvl w:val="4"/>
    </w:pPr>
    <w:rPr>
      <w:color w:val="918585"/>
      <w:sz w:val="20"/>
    </w:rPr>
  </w:style>
  <w:style w:type="paragraph" w:styleId="Heading6">
    <w:name w:val="heading 6"/>
    <w:basedOn w:val="HeadingBase"/>
    <w:next w:val="Normal"/>
    <w:link w:val="Heading6Char"/>
    <w:qFormat/>
    <w:rsid w:val="00D15F82"/>
    <w:pPr>
      <w:spacing w:before="60"/>
      <w:outlineLvl w:val="5"/>
    </w:pPr>
    <w:rPr>
      <w:color w:val="918585"/>
      <w:sz w:val="20"/>
    </w:rPr>
  </w:style>
  <w:style w:type="paragraph" w:styleId="Heading7">
    <w:name w:val="heading 7"/>
    <w:basedOn w:val="Normal"/>
    <w:next w:val="Normal"/>
    <w:link w:val="Heading7Char"/>
    <w:qFormat/>
    <w:rsid w:val="00D15F82"/>
    <w:pPr>
      <w:ind w:left="720"/>
      <w:outlineLvl w:val="6"/>
    </w:pPr>
    <w:rPr>
      <w:i/>
    </w:rPr>
  </w:style>
  <w:style w:type="paragraph" w:styleId="Heading8">
    <w:name w:val="heading 8"/>
    <w:basedOn w:val="Normal"/>
    <w:next w:val="Normal"/>
    <w:link w:val="Heading8Char"/>
    <w:qFormat/>
    <w:rsid w:val="00D15F82"/>
    <w:pPr>
      <w:ind w:left="720"/>
      <w:outlineLvl w:val="7"/>
    </w:pPr>
    <w:rPr>
      <w:i/>
    </w:rPr>
  </w:style>
  <w:style w:type="paragraph" w:styleId="Heading9">
    <w:name w:val="heading 9"/>
    <w:basedOn w:val="Normal"/>
    <w:next w:val="Normal"/>
    <w:link w:val="Heading9Char"/>
    <w:qFormat/>
    <w:rsid w:val="00D15F82"/>
    <w:pPr>
      <w:ind w:left="720"/>
      <w:outlineLvl w:val="8"/>
    </w:pPr>
    <w:rPr>
      <w:i/>
    </w:rPr>
  </w:style>
  <w:style w:type="character" w:default="1" w:styleId="DefaultParagraphFont">
    <w:name w:val="Default Paragraph Font"/>
    <w:uiPriority w:val="1"/>
    <w:unhideWhenUsed/>
    <w:rsid w:val="00D15F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F82"/>
  </w:style>
  <w:style w:type="character" w:customStyle="1" w:styleId="Heading1Char">
    <w:name w:val="Heading 1 Char"/>
    <w:basedOn w:val="DefaultParagraphFont"/>
    <w:link w:val="Heading1"/>
    <w:rsid w:val="00D15F82"/>
    <w:rPr>
      <w:rFonts w:ascii="Times New Roman" w:eastAsia="Times New Roman" w:hAnsi="Times New Roman" w:cs="Times New Roman"/>
      <w:b/>
      <w:sz w:val="32"/>
      <w:szCs w:val="20"/>
      <w:lang w:eastAsia="en-US"/>
    </w:rPr>
  </w:style>
  <w:style w:type="paragraph" w:styleId="BodyText">
    <w:name w:val="Body Text"/>
    <w:basedOn w:val="Normal"/>
    <w:link w:val="BodyTextChar"/>
    <w:rsid w:val="00D15F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5F82"/>
    <w:rPr>
      <w:rFonts w:ascii="Times New Roman" w:eastAsia="Times New Roman" w:hAnsi="Times New Roman" w:cs="Times New Roman"/>
      <w:sz w:val="24"/>
      <w:lang w:val="en-US" w:eastAsia="en-US"/>
    </w:rPr>
  </w:style>
  <w:style w:type="paragraph" w:styleId="Footer">
    <w:name w:val="footer"/>
    <w:basedOn w:val="Normal"/>
    <w:link w:val="FooterChar"/>
    <w:rsid w:val="00D15F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F82"/>
    <w:rPr>
      <w:rFonts w:ascii="Times New Roman" w:eastAsia="Times New Roman" w:hAnsi="Times New Roman" w:cs="Times New Roman"/>
      <w:sz w:val="16"/>
      <w:lang w:val="en-US" w:eastAsia="en-US"/>
    </w:rPr>
  </w:style>
  <w:style w:type="paragraph" w:styleId="List">
    <w:name w:val="List"/>
    <w:basedOn w:val="BodyText"/>
    <w:next w:val="BodyText"/>
    <w:rsid w:val="00D15F82"/>
    <w:pPr>
      <w:tabs>
        <w:tab w:val="left" w:pos="340"/>
      </w:tabs>
      <w:spacing w:before="60" w:after="60"/>
      <w:ind w:left="340" w:hanging="340"/>
    </w:pPr>
  </w:style>
  <w:style w:type="paragraph" w:styleId="ListBullet">
    <w:name w:val="List Bullet"/>
    <w:basedOn w:val="List"/>
    <w:rsid w:val="00D15F82"/>
    <w:pPr>
      <w:numPr>
        <w:numId w:val="13"/>
      </w:numPr>
      <w:tabs>
        <w:tab w:val="clear" w:pos="340"/>
      </w:tabs>
      <w:spacing w:before="40" w:after="40"/>
    </w:pPr>
  </w:style>
  <w:style w:type="character" w:customStyle="1" w:styleId="SpecialBold">
    <w:name w:val="Special Bold"/>
    <w:basedOn w:val="DefaultParagraphFont"/>
    <w:rsid w:val="00D15F82"/>
    <w:rPr>
      <w:b/>
      <w:spacing w:val="0"/>
    </w:rPr>
  </w:style>
  <w:style w:type="paragraph" w:styleId="ListBullet2">
    <w:name w:val="List Bullet 2"/>
    <w:basedOn w:val="List2"/>
    <w:rsid w:val="00D15F82"/>
    <w:pPr>
      <w:numPr>
        <w:numId w:val="14"/>
      </w:numPr>
      <w:tabs>
        <w:tab w:val="clear" w:pos="680"/>
      </w:tabs>
    </w:pPr>
  </w:style>
  <w:style w:type="paragraph" w:styleId="Header">
    <w:name w:val="header"/>
    <w:basedOn w:val="Normal"/>
    <w:link w:val="HeaderChar"/>
    <w:rsid w:val="00D15F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F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5F82"/>
    <w:pPr>
      <w:spacing w:before="240" w:after="120"/>
      <w:outlineLvl w:val="0"/>
    </w:pPr>
    <w:rPr>
      <w:rFonts w:ascii="Times New Roman" w:hAnsi="Times New Roman"/>
      <w:b/>
      <w:sz w:val="28"/>
    </w:rPr>
  </w:style>
  <w:style w:type="paragraph" w:customStyle="1" w:styleId="AllowPageBreak">
    <w:name w:val="AllowPageBreak"/>
    <w:rsid w:val="00D15F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5F82"/>
    <w:rPr>
      <w:b/>
      <w:i/>
      <w:u w:val="none"/>
    </w:rPr>
  </w:style>
  <w:style w:type="character" w:customStyle="1" w:styleId="Heading2Char">
    <w:name w:val="Heading 2 Char"/>
    <w:basedOn w:val="DefaultParagraphFont"/>
    <w:link w:val="Heading2"/>
    <w:rsid w:val="00D15F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F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F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F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F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F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5F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5F82"/>
    <w:rPr>
      <w:rFonts w:ascii="Courier New" w:eastAsia="Times New Roman" w:hAnsi="Courier New" w:cs="Times New Roman"/>
      <w:i/>
      <w:szCs w:val="20"/>
      <w:lang w:val="en-US" w:eastAsia="en-US"/>
    </w:rPr>
  </w:style>
  <w:style w:type="paragraph" w:customStyle="1" w:styleId="HeadingBase">
    <w:name w:val="Heading Base"/>
    <w:rsid w:val="00D15F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F82"/>
    <w:pPr>
      <w:tabs>
        <w:tab w:val="right" w:leader="dot" w:pos="9072"/>
      </w:tabs>
      <w:ind w:left="567"/>
    </w:pPr>
    <w:rPr>
      <w:szCs w:val="22"/>
    </w:rPr>
  </w:style>
  <w:style w:type="paragraph" w:customStyle="1" w:styleId="TOCBase">
    <w:name w:val="TOC Base"/>
    <w:rsid w:val="00D15F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F82"/>
    <w:pPr>
      <w:tabs>
        <w:tab w:val="right" w:leader="dot" w:pos="9072"/>
      </w:tabs>
      <w:spacing w:before="40" w:after="40"/>
      <w:ind w:left="284"/>
    </w:pPr>
    <w:rPr>
      <w:rFonts w:ascii="Times New Roman" w:hAnsi="Times New Roman"/>
    </w:rPr>
  </w:style>
  <w:style w:type="paragraph" w:styleId="TOC1">
    <w:name w:val="toc 1"/>
    <w:basedOn w:val="TOCBase"/>
    <w:next w:val="Normal"/>
    <w:rsid w:val="00D15F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5F82"/>
    <w:pPr>
      <w:spacing w:before="5040"/>
      <w:jc w:val="center"/>
    </w:pPr>
    <w:rPr>
      <w:sz w:val="48"/>
      <w:szCs w:val="72"/>
      <w:lang w:val="en-US"/>
    </w:rPr>
  </w:style>
  <w:style w:type="character" w:customStyle="1" w:styleId="TitleChar">
    <w:name w:val="Title Char"/>
    <w:basedOn w:val="DefaultParagraphFont"/>
    <w:link w:val="Title"/>
    <w:rsid w:val="00D15F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F82"/>
    <w:pPr>
      <w:tabs>
        <w:tab w:val="left" w:pos="3600"/>
        <w:tab w:val="left" w:pos="3958"/>
      </w:tabs>
    </w:pPr>
  </w:style>
  <w:style w:type="paragraph" w:customStyle="1" w:styleId="Note">
    <w:name w:val="Note"/>
    <w:basedOn w:val="BodyText"/>
    <w:rsid w:val="00D15F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F82"/>
    <w:pPr>
      <w:framePr w:wrap="auto" w:hAnchor="text" w:y="6049"/>
    </w:pPr>
    <w:rPr>
      <w:color w:val="000000"/>
      <w:sz w:val="40"/>
    </w:rPr>
  </w:style>
  <w:style w:type="paragraph" w:customStyle="1" w:styleId="TOCTitle">
    <w:name w:val="TOCTitle"/>
    <w:basedOn w:val="Heading1"/>
    <w:rsid w:val="00D15F82"/>
    <w:pPr>
      <w:spacing w:after="240"/>
      <w:jc w:val="center"/>
      <w:outlineLvl w:val="9"/>
    </w:pPr>
    <w:rPr>
      <w:caps/>
    </w:rPr>
  </w:style>
  <w:style w:type="paragraph" w:customStyle="1" w:styleId="Version">
    <w:name w:val="Version"/>
    <w:rsid w:val="00D15F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5F82"/>
    <w:pPr>
      <w:keepNext w:val="0"/>
      <w:tabs>
        <w:tab w:val="right" w:pos="4176"/>
      </w:tabs>
      <w:ind w:left="198" w:hanging="198"/>
    </w:pPr>
    <w:rPr>
      <w:rFonts w:ascii="Garamond" w:hAnsi="Garamond"/>
    </w:rPr>
  </w:style>
  <w:style w:type="paragraph" w:styleId="IndexHeading">
    <w:name w:val="index heading"/>
    <w:basedOn w:val="Normal"/>
    <w:next w:val="Index1"/>
    <w:semiHidden/>
    <w:rsid w:val="00D15F82"/>
    <w:pPr>
      <w:spacing w:before="120" w:after="120"/>
    </w:pPr>
    <w:rPr>
      <w:rFonts w:ascii="Arial" w:hAnsi="Arial"/>
      <w:b/>
      <w:color w:val="918585"/>
      <w:sz w:val="24"/>
    </w:rPr>
  </w:style>
  <w:style w:type="paragraph" w:customStyle="1" w:styleId="Chapter">
    <w:name w:val="Chapter"/>
    <w:basedOn w:val="Normal"/>
    <w:rsid w:val="00D15F82"/>
    <w:pPr>
      <w:spacing w:before="240"/>
    </w:pPr>
    <w:rPr>
      <w:rFonts w:ascii="Times New Roman" w:hAnsi="Times New Roman"/>
      <w:smallCaps/>
      <w:spacing w:val="80"/>
      <w:sz w:val="28"/>
    </w:rPr>
  </w:style>
  <w:style w:type="paragraph" w:customStyle="1" w:styleId="InChapter">
    <w:name w:val="InChapter"/>
    <w:basedOn w:val="Heading3"/>
    <w:rsid w:val="00D15F82"/>
    <w:pPr>
      <w:spacing w:after="240"/>
      <w:outlineLvl w:val="9"/>
    </w:pPr>
    <w:rPr>
      <w:noProof/>
    </w:rPr>
  </w:style>
  <w:style w:type="paragraph" w:styleId="Index2">
    <w:name w:val="index 2"/>
    <w:basedOn w:val="Normal"/>
    <w:next w:val="Normal"/>
    <w:semiHidden/>
    <w:rsid w:val="00D15F82"/>
    <w:pPr>
      <w:tabs>
        <w:tab w:val="right" w:pos="4176"/>
      </w:tabs>
      <w:ind w:left="568" w:hanging="284"/>
    </w:pPr>
    <w:rPr>
      <w:rFonts w:ascii="Garamond" w:hAnsi="Garamond"/>
    </w:rPr>
  </w:style>
  <w:style w:type="paragraph" w:customStyle="1" w:styleId="Byline">
    <w:name w:val="Byline"/>
    <w:rsid w:val="00D15F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F82"/>
    <w:pPr>
      <w:tabs>
        <w:tab w:val="clear" w:pos="3600"/>
        <w:tab w:val="clear" w:pos="3958"/>
      </w:tabs>
      <w:jc w:val="right"/>
    </w:pPr>
  </w:style>
  <w:style w:type="character" w:styleId="Emphasis">
    <w:name w:val="Emphasis"/>
    <w:basedOn w:val="DefaultParagraphFont"/>
    <w:qFormat/>
    <w:rsid w:val="00D15F82"/>
    <w:rPr>
      <w:i/>
    </w:rPr>
  </w:style>
  <w:style w:type="paragraph" w:styleId="Caption">
    <w:name w:val="caption"/>
    <w:basedOn w:val="BodyText"/>
    <w:next w:val="Normal"/>
    <w:qFormat/>
    <w:rsid w:val="00D15F82"/>
    <w:pPr>
      <w:framePr w:w="2268" w:hSpace="181" w:vSpace="181" w:wrap="around" w:vAnchor="text" w:hAnchor="page" w:x="1135" w:y="285" w:anchorLock="1"/>
    </w:pPr>
    <w:rPr>
      <w:i/>
    </w:rPr>
  </w:style>
  <w:style w:type="paragraph" w:customStyle="1" w:styleId="MiniTOCTitle">
    <w:name w:val="MiniTOCTitle"/>
    <w:basedOn w:val="Heading4"/>
    <w:rsid w:val="00D15F82"/>
    <w:pPr>
      <w:spacing w:before="240"/>
      <w:outlineLvl w:val="9"/>
    </w:pPr>
    <w:rPr>
      <w:noProof/>
      <w:sz w:val="24"/>
    </w:rPr>
  </w:style>
  <w:style w:type="paragraph" w:customStyle="1" w:styleId="MiniTOCItem">
    <w:name w:val="MiniTOCItem"/>
    <w:basedOn w:val="ListBullet"/>
    <w:rsid w:val="00D15F82"/>
    <w:pPr>
      <w:numPr>
        <w:numId w:val="0"/>
      </w:numPr>
      <w:tabs>
        <w:tab w:val="right" w:leader="dot" w:pos="6521"/>
      </w:tabs>
      <w:spacing w:before="0" w:after="0"/>
    </w:pPr>
  </w:style>
  <w:style w:type="paragraph" w:customStyle="1" w:styleId="TOFTitle">
    <w:name w:val="TOFTitle"/>
    <w:basedOn w:val="TOCTitle"/>
    <w:rsid w:val="00D15F82"/>
  </w:style>
  <w:style w:type="paragraph" w:styleId="TableofFigures">
    <w:name w:val="table of figures"/>
    <w:basedOn w:val="Normal"/>
    <w:next w:val="Normal"/>
    <w:semiHidden/>
    <w:rsid w:val="00D15F82"/>
    <w:pPr>
      <w:tabs>
        <w:tab w:val="right" w:leader="dot" w:pos="9072"/>
      </w:tabs>
      <w:ind w:left="970" w:hanging="403"/>
    </w:pPr>
    <w:rPr>
      <w:rFonts w:ascii="Times New Roman" w:hAnsi="Times New Roman"/>
      <w:b/>
    </w:rPr>
  </w:style>
  <w:style w:type="paragraph" w:styleId="ListNumber">
    <w:name w:val="List Number"/>
    <w:basedOn w:val="List"/>
    <w:rsid w:val="00D15F82"/>
    <w:pPr>
      <w:numPr>
        <w:numId w:val="11"/>
      </w:numPr>
    </w:pPr>
  </w:style>
  <w:style w:type="character" w:customStyle="1" w:styleId="WingdingSymbols">
    <w:name w:val="Wingding Symbols"/>
    <w:rsid w:val="00D15F82"/>
    <w:rPr>
      <w:rFonts w:ascii="Wingdings" w:hAnsi="Wingdings"/>
    </w:rPr>
  </w:style>
  <w:style w:type="paragraph" w:customStyle="1" w:styleId="TableHeading">
    <w:name w:val="Table Heading"/>
    <w:basedOn w:val="HeadingBase"/>
    <w:rsid w:val="00D15F82"/>
    <w:pPr>
      <w:keepLines/>
      <w:pBdr>
        <w:bottom w:val="single" w:sz="6" w:space="1" w:color="918585"/>
      </w:pBdr>
      <w:spacing w:before="240"/>
    </w:pPr>
  </w:style>
  <w:style w:type="character" w:customStyle="1" w:styleId="HotSpot">
    <w:name w:val="HotSpot"/>
    <w:rsid w:val="00D15F82"/>
    <w:rPr>
      <w:color w:val="0033CC"/>
      <w:u w:val="none"/>
    </w:rPr>
  </w:style>
  <w:style w:type="paragraph" w:customStyle="1" w:styleId="BodyTextRight">
    <w:name w:val="Body Text Right"/>
    <w:basedOn w:val="BodyText"/>
    <w:rsid w:val="00D15F82"/>
    <w:pPr>
      <w:spacing w:before="0" w:after="0"/>
      <w:jc w:val="right"/>
    </w:pPr>
  </w:style>
  <w:style w:type="paragraph" w:styleId="Index3">
    <w:name w:val="index 3"/>
    <w:basedOn w:val="ListNumber2"/>
    <w:next w:val="Normal"/>
    <w:semiHidden/>
    <w:rsid w:val="00D15F82"/>
    <w:pPr>
      <w:numPr>
        <w:numId w:val="0"/>
      </w:numPr>
      <w:tabs>
        <w:tab w:val="right" w:leader="dot" w:pos="4176"/>
      </w:tabs>
    </w:pPr>
  </w:style>
  <w:style w:type="paragraph" w:styleId="ListNumber2">
    <w:name w:val="List Number 2"/>
    <w:basedOn w:val="List2"/>
    <w:rsid w:val="00D15F82"/>
    <w:pPr>
      <w:numPr>
        <w:numId w:val="10"/>
      </w:numPr>
      <w:tabs>
        <w:tab w:val="clear" w:pos="1060"/>
      </w:tabs>
    </w:pPr>
  </w:style>
  <w:style w:type="paragraph" w:customStyle="1" w:styleId="MarginNote">
    <w:name w:val="Margin Note"/>
    <w:basedOn w:val="BodyText"/>
    <w:rsid w:val="00D15F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F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F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5F82"/>
    <w:rPr>
      <w:sz w:val="32"/>
    </w:rPr>
  </w:style>
  <w:style w:type="paragraph" w:customStyle="1" w:styleId="HeadingProcedure">
    <w:name w:val="Heading Procedure"/>
    <w:basedOn w:val="HeadingBase"/>
    <w:next w:val="Normal"/>
    <w:rsid w:val="00D15F82"/>
    <w:pPr>
      <w:tabs>
        <w:tab w:val="left" w:pos="0"/>
      </w:tabs>
      <w:spacing w:before="120" w:after="60"/>
    </w:pPr>
    <w:rPr>
      <w:i/>
      <w:color w:val="918585"/>
      <w:sz w:val="22"/>
    </w:rPr>
  </w:style>
  <w:style w:type="paragraph" w:customStyle="1" w:styleId="TableBodyText">
    <w:name w:val="Table Body Text"/>
    <w:basedOn w:val="BodyText"/>
    <w:rsid w:val="00D15F82"/>
    <w:pPr>
      <w:spacing w:before="60" w:after="60"/>
    </w:pPr>
  </w:style>
  <w:style w:type="paragraph" w:styleId="ListContinue">
    <w:name w:val="List Continue"/>
    <w:basedOn w:val="List"/>
    <w:rsid w:val="00D15F82"/>
    <w:pPr>
      <w:ind w:firstLine="0"/>
    </w:pPr>
  </w:style>
  <w:style w:type="paragraph" w:customStyle="1" w:styleId="ListNote">
    <w:name w:val="List Note"/>
    <w:basedOn w:val="List"/>
    <w:rsid w:val="00D15F82"/>
    <w:pPr>
      <w:pBdr>
        <w:top w:val="single" w:sz="6" w:space="2" w:color="918585"/>
        <w:bottom w:val="single" w:sz="6" w:space="2" w:color="918585"/>
      </w:pBdr>
      <w:tabs>
        <w:tab w:val="left" w:pos="1021"/>
      </w:tabs>
      <w:ind w:firstLine="0"/>
    </w:pPr>
  </w:style>
  <w:style w:type="paragraph" w:customStyle="1" w:styleId="Warning">
    <w:name w:val="Warning"/>
    <w:basedOn w:val="BodyText"/>
    <w:rsid w:val="00D15F82"/>
    <w:pPr>
      <w:shd w:val="clear" w:color="auto" w:fill="D9D9D9"/>
      <w:tabs>
        <w:tab w:val="left" w:pos="992"/>
      </w:tabs>
      <w:ind w:left="119" w:right="119"/>
    </w:pPr>
    <w:rPr>
      <w:sz w:val="20"/>
    </w:rPr>
  </w:style>
  <w:style w:type="paragraph" w:customStyle="1" w:styleId="MarginIcons">
    <w:name w:val="Margin Icons"/>
    <w:basedOn w:val="BodyText"/>
    <w:rsid w:val="00D15F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F82"/>
    <w:rPr>
      <w:rFonts w:ascii="Courier New" w:hAnsi="Courier New"/>
    </w:rPr>
  </w:style>
  <w:style w:type="paragraph" w:customStyle="1" w:styleId="NoteBullet">
    <w:name w:val="Note Bullet"/>
    <w:basedOn w:val="Note"/>
    <w:rsid w:val="00D15F82"/>
    <w:pPr>
      <w:tabs>
        <w:tab w:val="clear" w:pos="680"/>
      </w:tabs>
      <w:spacing w:before="60" w:after="60"/>
    </w:pPr>
  </w:style>
  <w:style w:type="paragraph" w:customStyle="1" w:styleId="SubHeading2">
    <w:name w:val="SubHeading2"/>
    <w:basedOn w:val="HeadingBase"/>
    <w:rsid w:val="00D15F82"/>
    <w:pPr>
      <w:spacing w:before="240" w:after="60"/>
    </w:pPr>
    <w:rPr>
      <w:sz w:val="20"/>
    </w:rPr>
  </w:style>
  <w:style w:type="paragraph" w:customStyle="1" w:styleId="SubHeading1">
    <w:name w:val="SubHeading1"/>
    <w:basedOn w:val="HeadingBase"/>
    <w:rsid w:val="00D15F82"/>
    <w:pPr>
      <w:spacing w:before="240" w:after="60"/>
    </w:pPr>
    <w:rPr>
      <w:color w:val="918585"/>
      <w:sz w:val="22"/>
    </w:rPr>
  </w:style>
  <w:style w:type="paragraph" w:customStyle="1" w:styleId="SideHeading">
    <w:name w:val="Side Heading"/>
    <w:basedOn w:val="HeadingBase"/>
    <w:rsid w:val="00D15F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F82"/>
    <w:pPr>
      <w:numPr>
        <w:numId w:val="12"/>
      </w:numPr>
    </w:pPr>
  </w:style>
  <w:style w:type="paragraph" w:styleId="PlainText">
    <w:name w:val="Plain Text"/>
    <w:basedOn w:val="Normal"/>
    <w:link w:val="PlainTextChar"/>
    <w:rsid w:val="00D15F82"/>
    <w:rPr>
      <w:sz w:val="20"/>
    </w:rPr>
  </w:style>
  <w:style w:type="character" w:customStyle="1" w:styleId="PlainTextChar">
    <w:name w:val="Plain Text Char"/>
    <w:basedOn w:val="DefaultParagraphFont"/>
    <w:link w:val="PlainText"/>
    <w:rsid w:val="00D15F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5F82"/>
    <w:rPr>
      <w:b/>
      <w:smallCaps/>
    </w:rPr>
  </w:style>
  <w:style w:type="paragraph" w:customStyle="1" w:styleId="TableListNumber">
    <w:name w:val="Table List Number"/>
    <w:basedOn w:val="ListNumber"/>
    <w:rsid w:val="00D15F82"/>
    <w:pPr>
      <w:numPr>
        <w:numId w:val="0"/>
      </w:numPr>
    </w:pPr>
  </w:style>
  <w:style w:type="paragraph" w:styleId="TOC4">
    <w:name w:val="toc 4"/>
    <w:basedOn w:val="TOCBase"/>
    <w:next w:val="Normal"/>
    <w:semiHidden/>
    <w:rsid w:val="00D15F82"/>
    <w:pPr>
      <w:tabs>
        <w:tab w:val="right" w:leader="dot" w:pos="9071"/>
      </w:tabs>
      <w:ind w:left="1701"/>
    </w:pPr>
  </w:style>
  <w:style w:type="paragraph" w:customStyle="1" w:styleId="ListAlpha">
    <w:name w:val="List Alpha"/>
    <w:basedOn w:val="List"/>
    <w:rsid w:val="00D15F82"/>
    <w:pPr>
      <w:numPr>
        <w:numId w:val="9"/>
      </w:numPr>
    </w:pPr>
  </w:style>
  <w:style w:type="paragraph" w:customStyle="1" w:styleId="ListAlpha2">
    <w:name w:val="List Alpha 2"/>
    <w:basedOn w:val="List2"/>
    <w:rsid w:val="00D15F82"/>
    <w:pPr>
      <w:numPr>
        <w:numId w:val="8"/>
      </w:numPr>
    </w:pPr>
  </w:style>
  <w:style w:type="paragraph" w:styleId="List2">
    <w:name w:val="List 2"/>
    <w:basedOn w:val="BodyText"/>
    <w:rsid w:val="00D15F82"/>
    <w:pPr>
      <w:tabs>
        <w:tab w:val="left" w:pos="680"/>
      </w:tabs>
      <w:spacing w:before="60" w:after="60"/>
      <w:ind w:left="680" w:hanging="340"/>
    </w:pPr>
  </w:style>
  <w:style w:type="paragraph" w:styleId="List3">
    <w:name w:val="List 3"/>
    <w:basedOn w:val="BodyText"/>
    <w:rsid w:val="00D15F82"/>
    <w:pPr>
      <w:tabs>
        <w:tab w:val="left" w:pos="1021"/>
      </w:tabs>
      <w:spacing w:before="60" w:after="60"/>
      <w:ind w:left="1020" w:hanging="340"/>
    </w:pPr>
  </w:style>
  <w:style w:type="paragraph" w:styleId="List4">
    <w:name w:val="List 4"/>
    <w:basedOn w:val="BodyText"/>
    <w:rsid w:val="00D15F82"/>
    <w:pPr>
      <w:tabs>
        <w:tab w:val="left" w:pos="1361"/>
      </w:tabs>
      <w:spacing w:before="60" w:after="60"/>
      <w:ind w:left="1361" w:hanging="340"/>
    </w:pPr>
  </w:style>
  <w:style w:type="paragraph" w:styleId="List5">
    <w:name w:val="List 5"/>
    <w:basedOn w:val="BodyText"/>
    <w:rsid w:val="00D15F82"/>
    <w:pPr>
      <w:tabs>
        <w:tab w:val="left" w:pos="1701"/>
      </w:tabs>
      <w:spacing w:before="60" w:after="60"/>
      <w:ind w:left="1701" w:hanging="340"/>
    </w:pPr>
  </w:style>
  <w:style w:type="paragraph" w:styleId="ListBullet3">
    <w:name w:val="List Bullet 3"/>
    <w:basedOn w:val="List3"/>
    <w:rsid w:val="00D15F82"/>
    <w:pPr>
      <w:numPr>
        <w:numId w:val="15"/>
      </w:numPr>
      <w:tabs>
        <w:tab w:val="clear" w:pos="1021"/>
      </w:tabs>
      <w:ind w:left="1037" w:hanging="357"/>
    </w:pPr>
  </w:style>
  <w:style w:type="paragraph" w:styleId="ListBullet4">
    <w:name w:val="List Bullet 4"/>
    <w:basedOn w:val="List4"/>
    <w:rsid w:val="00D15F82"/>
    <w:pPr>
      <w:numPr>
        <w:numId w:val="3"/>
      </w:numPr>
    </w:pPr>
  </w:style>
  <w:style w:type="paragraph" w:styleId="ListBullet5">
    <w:name w:val="List Bullet 5"/>
    <w:basedOn w:val="List5"/>
    <w:rsid w:val="00D15F82"/>
    <w:pPr>
      <w:numPr>
        <w:numId w:val="4"/>
      </w:numPr>
    </w:pPr>
  </w:style>
  <w:style w:type="paragraph" w:styleId="ListContinue2">
    <w:name w:val="List Continue 2"/>
    <w:basedOn w:val="List2"/>
    <w:rsid w:val="00D15F82"/>
    <w:pPr>
      <w:ind w:firstLine="0"/>
    </w:pPr>
  </w:style>
  <w:style w:type="paragraph" w:styleId="ListContinue3">
    <w:name w:val="List Continue 3"/>
    <w:basedOn w:val="List3"/>
    <w:rsid w:val="00D15F82"/>
    <w:pPr>
      <w:ind w:left="1021" w:firstLine="0"/>
    </w:pPr>
  </w:style>
  <w:style w:type="paragraph" w:styleId="ListContinue4">
    <w:name w:val="List Continue 4"/>
    <w:basedOn w:val="List4"/>
    <w:rsid w:val="00D15F82"/>
    <w:pPr>
      <w:ind w:firstLine="0"/>
    </w:pPr>
  </w:style>
  <w:style w:type="paragraph" w:styleId="ListContinue5">
    <w:name w:val="List Continue 5"/>
    <w:basedOn w:val="List5"/>
    <w:rsid w:val="00D15F82"/>
    <w:pPr>
      <w:ind w:firstLine="0"/>
    </w:pPr>
  </w:style>
  <w:style w:type="paragraph" w:styleId="ListNumber3">
    <w:name w:val="List Number 3"/>
    <w:basedOn w:val="List3"/>
    <w:rsid w:val="00D15F82"/>
    <w:pPr>
      <w:numPr>
        <w:numId w:val="5"/>
      </w:numPr>
    </w:pPr>
  </w:style>
  <w:style w:type="paragraph" w:styleId="ListNumber4">
    <w:name w:val="List Number 4"/>
    <w:basedOn w:val="List4"/>
    <w:rsid w:val="00D15F82"/>
    <w:pPr>
      <w:numPr>
        <w:numId w:val="6"/>
      </w:numPr>
    </w:pPr>
  </w:style>
  <w:style w:type="paragraph" w:styleId="ListNumber5">
    <w:name w:val="List Number 5"/>
    <w:basedOn w:val="List5"/>
    <w:rsid w:val="00D15F82"/>
    <w:pPr>
      <w:numPr>
        <w:numId w:val="7"/>
      </w:numPr>
    </w:pPr>
  </w:style>
  <w:style w:type="paragraph" w:styleId="BlockText">
    <w:name w:val="Block Text"/>
    <w:basedOn w:val="Normal"/>
    <w:rsid w:val="00D15F82"/>
    <w:pPr>
      <w:spacing w:after="120"/>
      <w:ind w:left="1440" w:right="1440"/>
    </w:pPr>
  </w:style>
  <w:style w:type="character" w:customStyle="1" w:styleId="Subscript">
    <w:name w:val="Subscript"/>
    <w:basedOn w:val="DefaultParagraphFont"/>
    <w:rsid w:val="00D15F82"/>
    <w:rPr>
      <w:sz w:val="16"/>
      <w:vertAlign w:val="subscript"/>
    </w:rPr>
  </w:style>
  <w:style w:type="character" w:customStyle="1" w:styleId="Superscript">
    <w:name w:val="Superscript"/>
    <w:basedOn w:val="DefaultParagraphFont"/>
    <w:rsid w:val="00D15F82"/>
    <w:rPr>
      <w:sz w:val="16"/>
      <w:vertAlign w:val="superscript"/>
    </w:rPr>
  </w:style>
  <w:style w:type="character" w:customStyle="1" w:styleId="Symbols">
    <w:name w:val="Symbols"/>
    <w:basedOn w:val="DefaultParagraphFont"/>
    <w:rsid w:val="00D15F82"/>
    <w:rPr>
      <w:rFonts w:ascii="Symbol" w:hAnsi="Symbol"/>
    </w:rPr>
  </w:style>
  <w:style w:type="character" w:customStyle="1" w:styleId="MenuOptions">
    <w:name w:val="Menu Options"/>
    <w:basedOn w:val="DefaultParagraphFont"/>
    <w:rsid w:val="00D15F82"/>
    <w:rPr>
      <w:rFonts w:ascii="Arial Narrow" w:hAnsi="Arial Narrow"/>
      <w:smallCaps/>
    </w:rPr>
  </w:style>
  <w:style w:type="character" w:customStyle="1" w:styleId="Buttons">
    <w:name w:val="Buttons"/>
    <w:basedOn w:val="DefaultParagraphFont"/>
    <w:rsid w:val="00D15F82"/>
    <w:rPr>
      <w:b/>
    </w:rPr>
  </w:style>
  <w:style w:type="character" w:customStyle="1" w:styleId="Underlined">
    <w:name w:val="Underlined"/>
    <w:basedOn w:val="DefaultParagraphFont"/>
    <w:rsid w:val="00D15F82"/>
    <w:rPr>
      <w:u w:val="single"/>
    </w:rPr>
  </w:style>
  <w:style w:type="paragraph" w:customStyle="1" w:styleId="TableBodyTextRight">
    <w:name w:val="Table Body Text Right"/>
    <w:basedOn w:val="TableBodyText"/>
    <w:rsid w:val="00D15F82"/>
    <w:pPr>
      <w:widowControl w:val="0"/>
      <w:autoSpaceDE w:val="0"/>
      <w:autoSpaceDN w:val="0"/>
      <w:adjustRightInd w:val="0"/>
      <w:jc w:val="right"/>
    </w:pPr>
    <w:rPr>
      <w:rFonts w:cs="Arial"/>
      <w:szCs w:val="18"/>
    </w:rPr>
  </w:style>
  <w:style w:type="paragraph" w:customStyle="1" w:styleId="CopyrightText">
    <w:name w:val="Copyright Text"/>
    <w:basedOn w:val="BodyText"/>
    <w:rsid w:val="00D15F82"/>
    <w:rPr>
      <w:sz w:val="18"/>
    </w:rPr>
  </w:style>
  <w:style w:type="paragraph" w:customStyle="1" w:styleId="BodySmallRight">
    <w:name w:val="Body Small Right"/>
    <w:basedOn w:val="BodyTextRight"/>
    <w:rsid w:val="00D15F82"/>
    <w:rPr>
      <w:sz w:val="18"/>
      <w:szCs w:val="18"/>
    </w:rPr>
  </w:style>
  <w:style w:type="paragraph" w:customStyle="1" w:styleId="MarginEdition">
    <w:name w:val="Margin Edition"/>
    <w:basedOn w:val="MarginNote"/>
    <w:rsid w:val="00D15F82"/>
    <w:pPr>
      <w:spacing w:before="0" w:after="0"/>
    </w:pPr>
    <w:rPr>
      <w:rFonts w:ascii="Times New Roman" w:hAnsi="Times New Roman"/>
      <w:color w:val="999999"/>
    </w:rPr>
  </w:style>
  <w:style w:type="paragraph" w:customStyle="1" w:styleId="Spacer">
    <w:name w:val="Spacer"/>
    <w:basedOn w:val="Normal"/>
    <w:rsid w:val="00D15F82"/>
    <w:rPr>
      <w:sz w:val="2"/>
      <w:szCs w:val="2"/>
    </w:rPr>
  </w:style>
  <w:style w:type="character" w:customStyle="1" w:styleId="Small">
    <w:name w:val="Small"/>
    <w:basedOn w:val="DefaultParagraphFont"/>
    <w:rsid w:val="00D15F82"/>
    <w:rPr>
      <w:sz w:val="16"/>
    </w:rPr>
  </w:style>
  <w:style w:type="paragraph" w:customStyle="1" w:styleId="WideTable">
    <w:name w:val="Wide Table"/>
    <w:basedOn w:val="Normal"/>
    <w:rsid w:val="00D15F82"/>
    <w:pPr>
      <w:ind w:left="-1418"/>
    </w:pPr>
    <w:rPr>
      <w:sz w:val="2"/>
      <w:szCs w:val="2"/>
    </w:rPr>
  </w:style>
  <w:style w:type="character" w:styleId="PageNumber">
    <w:name w:val="page number"/>
    <w:basedOn w:val="DefaultParagraphFont"/>
    <w:rsid w:val="00D15F82"/>
  </w:style>
  <w:style w:type="paragraph" w:styleId="Quote">
    <w:name w:val="Quote"/>
    <w:basedOn w:val="Heading1"/>
    <w:link w:val="QuoteChar"/>
    <w:qFormat/>
    <w:rsid w:val="00D15F82"/>
    <w:rPr>
      <w:b w:val="0"/>
      <w:sz w:val="72"/>
      <w:szCs w:val="72"/>
      <w:lang w:val="en-NZ"/>
    </w:rPr>
  </w:style>
  <w:style w:type="character" w:customStyle="1" w:styleId="QuoteChar">
    <w:name w:val="Quote Char"/>
    <w:basedOn w:val="DefaultParagraphFont"/>
    <w:link w:val="Quote"/>
    <w:rsid w:val="00D15F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F82"/>
    <w:pPr>
      <w:pageBreakBefore/>
    </w:pPr>
  </w:style>
  <w:style w:type="paragraph" w:customStyle="1" w:styleId="Border">
    <w:name w:val="Border"/>
    <w:basedOn w:val="Normal"/>
    <w:qFormat/>
    <w:rsid w:val="00D15F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F82"/>
    <w:rPr>
      <w:b/>
      <w:bCs/>
      <w:i/>
      <w:iCs/>
      <w:color w:val="auto"/>
    </w:rPr>
  </w:style>
  <w:style w:type="paragraph" w:styleId="IntenseQuote">
    <w:name w:val="Intense Quote"/>
    <w:basedOn w:val="Normal"/>
    <w:next w:val="Normal"/>
    <w:link w:val="IntenseQuoteChar"/>
    <w:uiPriority w:val="30"/>
    <w:qFormat/>
    <w:rsid w:val="00D15F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F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5F82"/>
    <w:rPr>
      <w:smallCaps/>
      <w:color w:val="auto"/>
      <w:u w:val="single"/>
    </w:rPr>
  </w:style>
  <w:style w:type="character" w:styleId="IntenseReference">
    <w:name w:val="Intense Reference"/>
    <w:basedOn w:val="DefaultParagraphFont"/>
    <w:uiPriority w:val="32"/>
    <w:qFormat/>
    <w:rsid w:val="00D15F82"/>
    <w:rPr>
      <w:b/>
      <w:bCs/>
      <w:smallCaps/>
      <w:color w:val="auto"/>
      <w:spacing w:val="5"/>
      <w:u w:val="single"/>
    </w:rPr>
  </w:style>
  <w:style w:type="paragraph" w:customStyle="1" w:styleId="2ColumnHeading">
    <w:name w:val="2Column Heading"/>
    <w:basedOn w:val="BodyText"/>
    <w:qFormat/>
    <w:rsid w:val="00D15F82"/>
    <w:pPr>
      <w:spacing w:after="60"/>
      <w:ind w:left="-2268"/>
    </w:pPr>
    <w:rPr>
      <w:b/>
    </w:rPr>
  </w:style>
  <w:style w:type="paragraph" w:customStyle="1" w:styleId="Heading1TOC">
    <w:name w:val="Heading1 TOC"/>
    <w:basedOn w:val="Normal"/>
    <w:qFormat/>
    <w:rsid w:val="00D15F82"/>
    <w:pPr>
      <w:spacing w:before="240" w:after="120"/>
    </w:pPr>
    <w:rPr>
      <w:rFonts w:ascii="Times New Roman" w:hAnsi="Times New Roman"/>
      <w:b/>
      <w:sz w:val="32"/>
    </w:rPr>
  </w:style>
  <w:style w:type="paragraph" w:customStyle="1" w:styleId="Heading2TOC">
    <w:name w:val="Heading2 TOC"/>
    <w:basedOn w:val="Normal"/>
    <w:qFormat/>
    <w:rsid w:val="00D15F82"/>
    <w:pPr>
      <w:spacing w:before="240" w:after="60"/>
    </w:pPr>
    <w:rPr>
      <w:rFonts w:ascii="Times New Roman" w:hAnsi="Times New Roman"/>
      <w:b/>
      <w:sz w:val="28"/>
    </w:rPr>
  </w:style>
  <w:style w:type="character" w:customStyle="1" w:styleId="Underline">
    <w:name w:val="Underline"/>
    <w:basedOn w:val="DefaultParagraphFont"/>
    <w:qFormat/>
    <w:rsid w:val="00D15F82"/>
    <w:rPr>
      <w:u w:val="single"/>
    </w:rPr>
  </w:style>
  <w:style w:type="paragraph" w:styleId="BalloonText">
    <w:name w:val="Balloon Text"/>
    <w:basedOn w:val="Normal"/>
    <w:link w:val="BalloonTextChar"/>
    <w:rsid w:val="00D15F82"/>
    <w:rPr>
      <w:rFonts w:ascii="Tahoma" w:hAnsi="Tahoma" w:cs="Tahoma"/>
      <w:sz w:val="16"/>
      <w:szCs w:val="16"/>
    </w:rPr>
  </w:style>
  <w:style w:type="character" w:customStyle="1" w:styleId="BalloonTextChar">
    <w:name w:val="Balloon Text Char"/>
    <w:basedOn w:val="DefaultParagraphFont"/>
    <w:link w:val="BalloonText"/>
    <w:rsid w:val="00D15F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5F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5F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1795</Words>
  <Characters>11732</Characters>
  <Application>Microsoft Office Word</Application>
  <DocSecurity>0</DocSecurity>
  <Lines>415</Lines>
  <Paragraphs>244</Paragraphs>
  <ScaleCrop>false</ScaleCrop>
  <Company>Author-it Software Corporation Ltd.</Company>
  <LinksUpToDate>false</LinksUpToDate>
  <CharactersWithSpaces>13443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CPPDSM4025A Advise on performance of asset</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2012-05-26T06:07:00Z</dcterms:created>
  <dcterms:modified xsi:type="dcterms:W3CDTF">2012-05-26T06:07:00Z</dcterms:modified>
</cp:coreProperties>
</file>