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73D4F" w:rsidP="00C73D4F">
      <w:pPr>
        <w:pStyle w:val="Title"/>
      </w:pPr>
      <w:r>
        <w:fldChar w:fldCharType="begin"/>
      </w:r>
      <w:r>
        <w:instrText xml:space="preserve"> TITLE   \* MERGEFORMAT </w:instrText>
      </w:r>
      <w:r>
        <w:fldChar w:fldCharType="separate"/>
      </w:r>
      <w:r>
        <w:t>CPPDSM4015B Minimise agency and consumer risk</w:t>
      </w:r>
      <w:r>
        <w:fldChar w:fldCharType="end"/>
      </w:r>
    </w:p>
    <w:p w:rsidR="00C73D4F" w:rsidP="00C73D4F">
      <w:pPr>
        <w:pStyle w:val="Version"/>
        <w:sectPr w:rsidSect="00AE6D4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E6D4C" w:rsidP="00AE6D4C">
      <w:pPr>
        <w:pStyle w:val="SuperHeading"/>
      </w:pPr>
      <w:r w:rsidRPr="00AE6D4C">
        <w:t>CPPDSM4015B Minimise agency and consumer risk</w:t>
      </w:r>
    </w:p>
    <w:p w:rsidR="00000000" w:rsidRPr="00AE6D4C" w:rsidP="00AE6D4C">
      <w:pPr>
        <w:pStyle w:val="Heading1"/>
      </w:pPr>
      <w:bookmarkStart w:id="1" w:name="O_270048"/>
      <w:bookmarkEnd w:id="1"/>
      <w:r w:rsidRPr="00AE6D4C">
        <w:t>Modification History</w:t>
      </w:r>
    </w:p>
    <w:p w:rsidR="00000000" w:rsidRPr="00AE6D4C" w:rsidP="00AE6D4C">
      <w:pPr>
        <w:pStyle w:val="BodyText"/>
      </w:pPr>
      <w:r w:rsidRPr="00AE6D4C">
        <w:t>Not Applicable</w:t>
      </w:r>
    </w:p>
    <w:p w:rsidR="00000000" w:rsidRPr="00AE6D4C" w:rsidP="00AE6D4C">
      <w:pPr>
        <w:pStyle w:val="AllowPageBreak"/>
      </w:pPr>
    </w:p>
    <w:p w:rsidR="00000000" w:rsidRPr="00AE6D4C" w:rsidP="00AE6D4C">
      <w:pPr>
        <w:pStyle w:val="Heading1"/>
      </w:pPr>
      <w:bookmarkStart w:id="2" w:name="O_200928"/>
      <w:bookmarkEnd w:id="2"/>
      <w:r w:rsidRPr="00AE6D4C">
        <w:t>Unit Descriptor</w:t>
      </w:r>
    </w:p>
    <w:tbl>
      <w:tblPr>
        <w:tblW w:w="0" w:type="auto"/>
        <w:tblLayout w:type="fixed"/>
        <w:tblCellMar>
          <w:left w:w="62" w:type="dxa"/>
          <w:right w:w="62" w:type="dxa"/>
        </w:tblCellMar>
        <w:tblLook w:val="0000"/>
      </w:tblPr>
      <w:tblGrid>
        <w:gridCol w:w="2926"/>
        <w:gridCol w:w="5596"/>
      </w:tblGrid>
      <w:tr w:rsidTr="00C73D4F">
        <w:tblPrEx>
          <w:tblW w:w="0" w:type="auto"/>
          <w:tblLayout w:type="fixed"/>
          <w:tblCellMar>
            <w:left w:w="62" w:type="dxa"/>
            <w:right w:w="62" w:type="dxa"/>
          </w:tblCellMar>
          <w:tblLook w:val="0000"/>
        </w:tblPrEx>
        <w:tc>
          <w:tcPr>
            <w:tcW w:w="2926" w:type="dxa"/>
            <w:tcBorders>
              <w:top w:val="nil"/>
              <w:left w:val="nil"/>
              <w:bottom w:val="nil"/>
              <w:right w:val="nil"/>
            </w:tcBorders>
            <w:tcMar>
              <w:top w:w="0" w:type="dxa"/>
              <w:left w:w="62" w:type="dxa"/>
              <w:bottom w:w="0" w:type="dxa"/>
              <w:right w:w="62" w:type="dxa"/>
            </w:tcMar>
          </w:tcPr>
          <w:p w:rsidR="00000000" w:rsidP="00AE6D4C">
            <w:pPr>
              <w:pStyle w:val="BodyText"/>
              <w:rPr>
                <w:lang w:val="en-NZ"/>
              </w:rPr>
            </w:pPr>
            <w:r w:rsidRPr="00AE6D4C">
              <w:rPr>
                <w:rStyle w:val="SpecialBold"/>
              </w:rPr>
              <w:t>Unit descriptor</w:t>
            </w:r>
          </w:p>
        </w:tc>
        <w:tc>
          <w:tcPr>
            <w:tcW w:w="5596" w:type="dxa"/>
            <w:tcBorders>
              <w:top w:val="nil"/>
              <w:left w:val="nil"/>
              <w:bottom w:val="nil"/>
              <w:right w:val="nil"/>
            </w:tcBorders>
            <w:tcMar>
              <w:top w:w="0" w:type="dxa"/>
              <w:left w:w="62" w:type="dxa"/>
              <w:bottom w:w="0" w:type="dxa"/>
              <w:right w:w="62" w:type="dxa"/>
            </w:tcMar>
          </w:tcPr>
          <w:p w:rsidR="00000000" w:rsidRPr="00AE6D4C" w:rsidP="00AE6D4C">
            <w:pPr>
              <w:pStyle w:val="BodyText"/>
            </w:pPr>
            <w:r w:rsidRPr="00AE6D4C">
              <w:t>This unit of competency specifies the outcomes required to minimise risk to all aspects of agency busines</w:t>
            </w:r>
            <w:r w:rsidRPr="00AE6D4C">
              <w:t>s and to consumers. It includes identifying potential risks to the agency and its clients, analysing the causes and potential impact of risks, and implementing agency policies and procedures to minimise risks to the agency and consumers.</w:t>
            </w:r>
          </w:p>
          <w:p w:rsidR="00000000" w:rsidRPr="00AE6D4C" w:rsidP="00AE6D4C">
            <w:pPr>
              <w:pStyle w:val="BodyText"/>
            </w:pPr>
            <w:r w:rsidRPr="00AE6D4C">
              <w:t xml:space="preserve">The unit may form </w:t>
            </w:r>
            <w:r w:rsidRPr="00AE6D4C">
              <w:t>part of the licensing requirements for persons engaged in property development and management activities, including those working in the real estate, business broking, stock and station agency and property operations and development sectors, in those State</w:t>
            </w:r>
            <w:r w:rsidRPr="00AE6D4C">
              <w:t>s and Territories where these are regulated activities.</w:t>
            </w:r>
          </w:p>
        </w:tc>
      </w:tr>
    </w:tbl>
    <w:p w:rsidR="00C73D4F" w:rsidP="00AE6D4C">
      <w:pPr>
        <w:pStyle w:val="BodyText"/>
      </w:pPr>
    </w:p>
    <w:p w:rsidR="00C73D4F" w:rsidP="00AE6D4C">
      <w:pPr>
        <w:pStyle w:val="BodyText"/>
      </w:pPr>
    </w:p>
    <w:p w:rsidR="00000000" w:rsidRPr="00AE6D4C" w:rsidP="00AE6D4C">
      <w:pPr>
        <w:pStyle w:val="Heading1"/>
      </w:pPr>
      <w:bookmarkStart w:id="3" w:name="O_200931"/>
      <w:bookmarkEnd w:id="3"/>
      <w:r w:rsidRPr="00AE6D4C">
        <w:t>Application of the Unit</w:t>
      </w:r>
    </w:p>
    <w:tbl>
      <w:tblPr>
        <w:tblW w:w="0" w:type="auto"/>
        <w:tblLayout w:type="fixed"/>
        <w:tblCellMar>
          <w:left w:w="62" w:type="dxa"/>
          <w:right w:w="62" w:type="dxa"/>
        </w:tblCellMar>
        <w:tblLook w:val="0000"/>
      </w:tblPr>
      <w:tblGrid>
        <w:gridCol w:w="2926"/>
        <w:gridCol w:w="5596"/>
      </w:tblGrid>
      <w:tr w:rsidTr="00C73D4F">
        <w:tblPrEx>
          <w:tblW w:w="0" w:type="auto"/>
          <w:tblLayout w:type="fixed"/>
          <w:tblCellMar>
            <w:left w:w="62" w:type="dxa"/>
            <w:right w:w="62" w:type="dxa"/>
          </w:tblCellMar>
          <w:tblLook w:val="0000"/>
        </w:tblPrEx>
        <w:trPr>
          <w:tblHeader/>
        </w:trPr>
        <w:tc>
          <w:tcPr>
            <w:tcW w:w="2926" w:type="dxa"/>
            <w:tcBorders>
              <w:top w:val="nil"/>
              <w:left w:val="nil"/>
              <w:bottom w:val="nil"/>
              <w:right w:val="nil"/>
            </w:tcBorders>
            <w:tcMar>
              <w:top w:w="0" w:type="dxa"/>
              <w:left w:w="62" w:type="dxa"/>
              <w:bottom w:w="0" w:type="dxa"/>
              <w:right w:w="62" w:type="dxa"/>
            </w:tcMar>
          </w:tcPr>
          <w:p w:rsidR="00000000" w:rsidP="00AE6D4C">
            <w:pPr>
              <w:pStyle w:val="BodyText"/>
              <w:rPr>
                <w:lang w:val="en-NZ"/>
              </w:rPr>
            </w:pPr>
            <w:r w:rsidRPr="00AE6D4C">
              <w:rPr>
                <w:rStyle w:val="SpecialBold"/>
              </w:rPr>
              <w:t>Application of the unit</w:t>
            </w:r>
          </w:p>
        </w:tc>
        <w:tc>
          <w:tcPr>
            <w:tcW w:w="5596" w:type="dxa"/>
            <w:tcBorders>
              <w:top w:val="nil"/>
              <w:left w:val="nil"/>
              <w:bottom w:val="nil"/>
              <w:right w:val="nil"/>
            </w:tcBorders>
            <w:tcMar>
              <w:top w:w="0" w:type="dxa"/>
              <w:left w:w="62" w:type="dxa"/>
              <w:bottom w:w="0" w:type="dxa"/>
              <w:right w:w="62" w:type="dxa"/>
            </w:tcMar>
          </w:tcPr>
          <w:p w:rsidR="00000000" w:rsidRPr="00AE6D4C" w:rsidP="00AE6D4C">
            <w:pPr>
              <w:pStyle w:val="BodyText"/>
            </w:pPr>
            <w:r w:rsidRPr="00AE6D4C">
              <w:t>This unit of competency supports the work of those involved in identifying, minimising and responding to all aspects of agency business, including minimising consumer risk.</w:t>
            </w:r>
          </w:p>
        </w:tc>
      </w:tr>
    </w:tbl>
    <w:p w:rsidR="00C73D4F" w:rsidP="00AE6D4C">
      <w:pPr>
        <w:pStyle w:val="BodyText"/>
      </w:pPr>
    </w:p>
    <w:p w:rsidR="00C73D4F" w:rsidP="00AE6D4C">
      <w:pPr>
        <w:pStyle w:val="BodyText"/>
      </w:pPr>
    </w:p>
    <w:p w:rsidR="00000000" w:rsidRPr="00AE6D4C" w:rsidP="00AE6D4C">
      <w:pPr>
        <w:pStyle w:val="Heading1"/>
      </w:pPr>
      <w:bookmarkStart w:id="4" w:name="O_278308"/>
      <w:bookmarkEnd w:id="4"/>
      <w:r w:rsidRPr="00AE6D4C">
        <w:t>Licensing/Regulatory Information</w:t>
      </w:r>
    </w:p>
    <w:p w:rsidR="00000000" w:rsidRPr="00AE6D4C" w:rsidP="00AE6D4C">
      <w:pPr>
        <w:pStyle w:val="BodyText"/>
      </w:pPr>
      <w:r w:rsidRPr="00AE6D4C">
        <w:t>Refer to Unit Descriptor</w:t>
      </w:r>
    </w:p>
    <w:p w:rsidR="00000000" w:rsidRPr="00AE6D4C" w:rsidP="00AE6D4C">
      <w:pPr>
        <w:pStyle w:val="AllowPageBreak"/>
      </w:pPr>
    </w:p>
    <w:p w:rsidR="00000000" w:rsidRPr="00AE6D4C" w:rsidP="00AE6D4C">
      <w:pPr>
        <w:pStyle w:val="Heading1"/>
      </w:pPr>
      <w:bookmarkStart w:id="5" w:name="O_200930"/>
      <w:bookmarkEnd w:id="5"/>
      <w:r w:rsidRPr="00AE6D4C">
        <w:t>Pre-Requisites</w:t>
      </w:r>
    </w:p>
    <w:tbl>
      <w:tblPr>
        <w:tblW w:w="0" w:type="auto"/>
        <w:tblLayout w:type="fixed"/>
        <w:tblCellMar>
          <w:left w:w="62" w:type="dxa"/>
          <w:right w:w="62" w:type="dxa"/>
        </w:tblCellMar>
        <w:tblLook w:val="0000"/>
      </w:tblPr>
      <w:tblGrid>
        <w:gridCol w:w="2926"/>
        <w:gridCol w:w="5596"/>
      </w:tblGrid>
      <w:tr w:rsidTr="00C73D4F">
        <w:tblPrEx>
          <w:tblW w:w="0" w:type="auto"/>
          <w:tblLayout w:type="fixed"/>
          <w:tblCellMar>
            <w:left w:w="62" w:type="dxa"/>
            <w:right w:w="62" w:type="dxa"/>
          </w:tblCellMar>
          <w:tblLook w:val="0000"/>
        </w:tblPrEx>
        <w:trPr>
          <w:tblHeader/>
        </w:trPr>
        <w:tc>
          <w:tcPr>
            <w:tcW w:w="2926" w:type="dxa"/>
            <w:tcBorders>
              <w:top w:val="nil"/>
              <w:left w:val="nil"/>
              <w:bottom w:val="nil"/>
              <w:right w:val="nil"/>
            </w:tcBorders>
            <w:tcMar>
              <w:top w:w="0" w:type="dxa"/>
              <w:left w:w="62" w:type="dxa"/>
              <w:bottom w:w="0" w:type="dxa"/>
              <w:right w:w="62" w:type="dxa"/>
            </w:tcMar>
          </w:tcPr>
          <w:p w:rsidR="00000000" w:rsidP="00AE6D4C">
            <w:pPr>
              <w:pStyle w:val="BodyText"/>
              <w:rPr>
                <w:lang w:val="en-NZ"/>
              </w:rPr>
            </w:pPr>
            <w:r w:rsidRPr="00AE6D4C">
              <w:rPr>
                <w:rStyle w:val="SpecialBold"/>
              </w:rPr>
              <w:t>Prerequisite units</w:t>
            </w:r>
          </w:p>
        </w:tc>
        <w:tc>
          <w:tcPr>
            <w:tcW w:w="5596" w:type="dxa"/>
            <w:tcBorders>
              <w:top w:val="nil"/>
              <w:left w:val="nil"/>
              <w:bottom w:val="nil"/>
              <w:right w:val="nil"/>
            </w:tcBorders>
            <w:tcMar>
              <w:top w:w="0" w:type="dxa"/>
              <w:left w:w="62" w:type="dxa"/>
              <w:bottom w:w="0" w:type="dxa"/>
              <w:right w:w="62" w:type="dxa"/>
            </w:tcMar>
          </w:tcPr>
          <w:p w:rsidR="00000000" w:rsidRPr="00AE6D4C" w:rsidP="00AE6D4C">
            <w:pPr>
              <w:pStyle w:val="BodyText"/>
            </w:pPr>
            <w:r w:rsidRPr="00AE6D4C">
              <w:t>Nil</w:t>
            </w:r>
          </w:p>
        </w:tc>
      </w:tr>
    </w:tbl>
    <w:p w:rsidR="00C73D4F" w:rsidP="00AE6D4C">
      <w:pPr>
        <w:pStyle w:val="BodyText"/>
      </w:pPr>
    </w:p>
    <w:p w:rsidR="00C73D4F" w:rsidP="00AE6D4C">
      <w:pPr>
        <w:pStyle w:val="BodyText"/>
      </w:pPr>
    </w:p>
    <w:p w:rsidR="00000000" w:rsidRPr="00AE6D4C" w:rsidP="00AE6D4C">
      <w:pPr>
        <w:pStyle w:val="Heading1"/>
      </w:pPr>
      <w:bookmarkStart w:id="6" w:name="O_200929"/>
      <w:bookmarkEnd w:id="6"/>
      <w:r w:rsidRPr="00AE6D4C">
        <w:t>Employability Skills Information</w:t>
      </w:r>
    </w:p>
    <w:tbl>
      <w:tblPr>
        <w:tblW w:w="0" w:type="auto"/>
        <w:tblLayout w:type="fixed"/>
        <w:tblCellMar>
          <w:left w:w="62" w:type="dxa"/>
          <w:right w:w="62" w:type="dxa"/>
        </w:tblCellMar>
        <w:tblLook w:val="0000"/>
      </w:tblPr>
      <w:tblGrid>
        <w:gridCol w:w="2926"/>
        <w:gridCol w:w="5596"/>
      </w:tblGrid>
      <w:tr w:rsidTr="00C73D4F">
        <w:tblPrEx>
          <w:tblW w:w="0" w:type="auto"/>
          <w:tblLayout w:type="fixed"/>
          <w:tblCellMar>
            <w:left w:w="62" w:type="dxa"/>
            <w:right w:w="62" w:type="dxa"/>
          </w:tblCellMar>
          <w:tblLook w:val="0000"/>
        </w:tblPrEx>
        <w:trPr>
          <w:tblHeader/>
        </w:trPr>
        <w:tc>
          <w:tcPr>
            <w:tcW w:w="2926" w:type="dxa"/>
            <w:tcBorders>
              <w:top w:val="nil"/>
              <w:left w:val="nil"/>
              <w:bottom w:val="nil"/>
              <w:right w:val="nil"/>
            </w:tcBorders>
            <w:tcMar>
              <w:top w:w="0" w:type="dxa"/>
              <w:left w:w="62" w:type="dxa"/>
              <w:bottom w:w="0" w:type="dxa"/>
              <w:right w:w="62" w:type="dxa"/>
            </w:tcMar>
          </w:tcPr>
          <w:p w:rsidR="00000000" w:rsidP="00AE6D4C">
            <w:pPr>
              <w:pStyle w:val="BodyText"/>
              <w:rPr>
                <w:lang w:val="en-NZ"/>
              </w:rPr>
            </w:pPr>
            <w:r w:rsidRPr="00AE6D4C">
              <w:rPr>
                <w:rStyle w:val="SpecialBold"/>
              </w:rPr>
              <w:t>Employability skills</w:t>
            </w:r>
          </w:p>
        </w:tc>
        <w:tc>
          <w:tcPr>
            <w:tcW w:w="5596" w:type="dxa"/>
            <w:tcBorders>
              <w:top w:val="nil"/>
              <w:left w:val="nil"/>
              <w:bottom w:val="nil"/>
              <w:right w:val="nil"/>
            </w:tcBorders>
            <w:tcMar>
              <w:top w:w="0" w:type="dxa"/>
              <w:left w:w="62" w:type="dxa"/>
              <w:bottom w:w="0" w:type="dxa"/>
              <w:right w:w="62" w:type="dxa"/>
            </w:tcMar>
          </w:tcPr>
          <w:p w:rsidR="00000000" w:rsidRPr="00AE6D4C" w:rsidP="00AE6D4C">
            <w:pPr>
              <w:pStyle w:val="BodyText"/>
            </w:pPr>
            <w:r w:rsidRPr="00AE6D4C">
              <w:t>The re</w:t>
            </w:r>
            <w:r w:rsidRPr="00AE6D4C">
              <w:t>quired outcomes described in this unit of competency contain applicable facets of employability skills. The Employability Skills Summary of the qualification in which this unit of competency is packaged, will assist in identifying employability skills requ</w:t>
            </w:r>
            <w:r w:rsidRPr="00AE6D4C">
              <w:t>irements.</w:t>
            </w:r>
          </w:p>
        </w:tc>
      </w:tr>
    </w:tbl>
    <w:p w:rsidR="00C73D4F" w:rsidP="00AE6D4C">
      <w:pPr>
        <w:pStyle w:val="BodyText"/>
      </w:pPr>
    </w:p>
    <w:p w:rsidR="00C73D4F" w:rsidP="00AE6D4C">
      <w:pPr>
        <w:pStyle w:val="BodyText"/>
      </w:pPr>
    </w:p>
    <w:p w:rsidR="00000000" w:rsidRPr="00AE6D4C" w:rsidP="00AE6D4C">
      <w:pPr>
        <w:pStyle w:val="Heading1"/>
      </w:pPr>
      <w:bookmarkStart w:id="7" w:name="O_288094"/>
      <w:bookmarkEnd w:id="7"/>
      <w:r w:rsidRPr="00AE6D4C">
        <w:t>Elements and Performance Criteria Pre-Content</w:t>
      </w:r>
    </w:p>
    <w:tbl>
      <w:tblPr>
        <w:tblW w:w="0" w:type="auto"/>
        <w:tblLayout w:type="fixed"/>
        <w:tblCellMar>
          <w:left w:w="62" w:type="dxa"/>
          <w:right w:w="62" w:type="dxa"/>
        </w:tblCellMar>
        <w:tblLook w:val="0000"/>
      </w:tblPr>
      <w:tblGrid>
        <w:gridCol w:w="2980"/>
        <w:gridCol w:w="5775"/>
      </w:tblGrid>
      <w:tr w:rsidTr="00C73D4F">
        <w:tblPrEx>
          <w:tblW w:w="0" w:type="auto"/>
          <w:tblLayout w:type="fixed"/>
          <w:tblCellMar>
            <w:left w:w="62" w:type="dxa"/>
            <w:right w:w="62" w:type="dxa"/>
          </w:tblCellMar>
          <w:tblLook w:val="0000"/>
        </w:tblPrEx>
        <w:tc>
          <w:tcPr>
            <w:tcW w:w="2980" w:type="dxa"/>
            <w:tcBorders>
              <w:top w:val="nil"/>
              <w:left w:val="nil"/>
              <w:bottom w:val="nil"/>
              <w:right w:val="nil"/>
            </w:tcBorders>
            <w:tcMar>
              <w:top w:w="0" w:type="dxa"/>
              <w:left w:w="62" w:type="dxa"/>
              <w:bottom w:w="0" w:type="dxa"/>
              <w:right w:w="62" w:type="dxa"/>
            </w:tcMar>
          </w:tcPr>
          <w:p w:rsidR="00000000" w:rsidP="00AE6D4C">
            <w:pPr>
              <w:pStyle w:val="BodyText"/>
              <w:rPr>
                <w:lang w:val="en-NZ"/>
              </w:rPr>
            </w:pPr>
            <w:r w:rsidRPr="00AE6D4C">
              <w:t>Elements describe the essential outcomes of a unit of competency.</w:t>
            </w:r>
          </w:p>
        </w:tc>
        <w:tc>
          <w:tcPr>
            <w:tcW w:w="5775" w:type="dxa"/>
            <w:tcBorders>
              <w:top w:val="nil"/>
              <w:left w:val="nil"/>
              <w:bottom w:val="nil"/>
              <w:right w:val="nil"/>
            </w:tcBorders>
            <w:tcMar>
              <w:top w:w="0" w:type="dxa"/>
              <w:left w:w="62" w:type="dxa"/>
              <w:bottom w:w="0" w:type="dxa"/>
              <w:right w:w="62" w:type="dxa"/>
            </w:tcMar>
          </w:tcPr>
          <w:p w:rsidR="00000000" w:rsidRPr="00AE6D4C" w:rsidP="00AE6D4C">
            <w:pPr>
              <w:pStyle w:val="BodyText"/>
            </w:pPr>
            <w:r w:rsidRPr="00AE6D4C">
              <w:t xml:space="preserve">Performance criteria describe the required performance needed to demonstrate achievement of the element. Where </w:t>
            </w:r>
            <w:r w:rsidRPr="00AE6D4C">
              <w:rPr>
                <w:rStyle w:val="BoldandItalics"/>
              </w:rPr>
              <w:t>bol</w:t>
            </w:r>
            <w:r w:rsidRPr="00AE6D4C">
              <w:rPr>
                <w:rStyle w:val="BoldandItalics"/>
              </w:rPr>
              <w:t>d italicised</w:t>
            </w:r>
            <w:r w:rsidRPr="00AE6D4C">
              <w:t xml:space="preserve"> text is used, further information is detailed in the required skills and knowledge and/or the range statement. Assessment of performance is to be consistent with the evidence guide.</w:t>
            </w:r>
          </w:p>
        </w:tc>
      </w:tr>
    </w:tbl>
    <w:p w:rsidR="00000000" w:rsidRPr="00AE6D4C" w:rsidP="00AE6D4C">
      <w:pPr>
        <w:pStyle w:val="BodyText"/>
      </w:pPr>
    </w:p>
    <w:p w:rsidR="00000000" w:rsidRPr="00AE6D4C" w:rsidP="00AE6D4C">
      <w:pPr>
        <w:pStyle w:val="AllowPageBreak"/>
      </w:pPr>
    </w:p>
    <w:p w:rsidR="00000000" w:rsidRPr="00AE6D4C" w:rsidP="00AE6D4C">
      <w:pPr>
        <w:pStyle w:val="Heading1"/>
      </w:pPr>
      <w:bookmarkStart w:id="8" w:name="O_234761"/>
      <w:bookmarkEnd w:id="8"/>
      <w:r w:rsidRPr="00AE6D4C">
        <w:t>Elements and Performance Criteria</w:t>
      </w:r>
    </w:p>
    <w:tbl>
      <w:tblPr>
        <w:tblW w:w="0" w:type="auto"/>
        <w:tblLayout w:type="fixed"/>
        <w:tblCellMar>
          <w:left w:w="62" w:type="dxa"/>
          <w:right w:w="62" w:type="dxa"/>
        </w:tblCellMar>
        <w:tblLook w:val="0000"/>
      </w:tblPr>
      <w:tblGrid>
        <w:gridCol w:w="2970"/>
        <w:gridCol w:w="18"/>
        <w:gridCol w:w="5742"/>
        <w:gridCol w:w="25"/>
      </w:tblGrid>
      <w:tr w:rsidTr="00C73D4F">
        <w:tblPrEx>
          <w:tblW w:w="0" w:type="auto"/>
          <w:tblLayout w:type="fixed"/>
          <w:tblCellMar>
            <w:left w:w="62" w:type="dxa"/>
            <w:right w:w="62" w:type="dxa"/>
          </w:tblCellMar>
          <w:tblLook w:val="0000"/>
        </w:tblPrEx>
        <w:trPr>
          <w:tblHeader/>
        </w:trPr>
        <w:tc>
          <w:tcPr>
            <w:tcW w:w="2988" w:type="dxa"/>
            <w:gridSpan w:val="2"/>
            <w:tcBorders>
              <w:top w:val="nil"/>
              <w:left w:val="nil"/>
              <w:bottom w:val="nil"/>
              <w:right w:val="nil"/>
            </w:tcBorders>
            <w:tcMar>
              <w:top w:w="0" w:type="dxa"/>
              <w:left w:w="62" w:type="dxa"/>
              <w:bottom w:w="0" w:type="dxa"/>
              <w:right w:w="62" w:type="dxa"/>
            </w:tcMar>
          </w:tcPr>
          <w:p w:rsidR="00000000" w:rsidRPr="00AE6D4C" w:rsidP="00AE6D4C">
            <w:pPr>
              <w:pStyle w:val="List"/>
            </w:pPr>
            <w:r w:rsidRPr="00AE6D4C">
              <w:rPr>
                <w:rStyle w:val="SpecialBold"/>
              </w:rPr>
              <w:t>ELEMENT</w:t>
            </w:r>
          </w:p>
        </w:tc>
        <w:tc>
          <w:tcPr>
            <w:tcW w:w="5767" w:type="dxa"/>
            <w:gridSpan w:val="2"/>
            <w:tcBorders>
              <w:top w:val="nil"/>
              <w:left w:val="nil"/>
              <w:bottom w:val="nil"/>
              <w:right w:val="nil"/>
            </w:tcBorders>
            <w:tcMar>
              <w:top w:w="0" w:type="dxa"/>
              <w:left w:w="62" w:type="dxa"/>
              <w:bottom w:w="0" w:type="dxa"/>
              <w:right w:w="62" w:type="dxa"/>
            </w:tcMar>
          </w:tcPr>
          <w:p w:rsidR="00000000" w:rsidP="00AE6D4C">
            <w:pPr>
              <w:pStyle w:val="List"/>
              <w:rPr>
                <w:lang w:val="en-NZ"/>
              </w:rPr>
            </w:pPr>
            <w:r w:rsidRPr="00AE6D4C">
              <w:rPr>
                <w:rStyle w:val="SpecialBold"/>
              </w:rPr>
              <w:t>PERFORMANCE CRITERIA</w:t>
            </w:r>
          </w:p>
        </w:tc>
      </w:tr>
      <w:tr w:rsidTr="00C73D4F">
        <w:tblPrEx>
          <w:tblW w:w="0" w:type="auto"/>
          <w:tblLayout w:type="fixed"/>
          <w:tblCellMar>
            <w:left w:w="62" w:type="dxa"/>
            <w:right w:w="62" w:type="dxa"/>
          </w:tblCellMar>
          <w:tblLook w:val="0000"/>
        </w:tblPrEx>
        <w:trPr>
          <w:gridAfter w:val="1"/>
          <w:wAfter w:w="25" w:type="dxa"/>
        </w:trPr>
        <w:tc>
          <w:tcPr>
            <w:tcW w:w="2970" w:type="dxa"/>
            <w:tcBorders>
              <w:top w:val="nil"/>
              <w:left w:val="nil"/>
              <w:bottom w:val="nil"/>
              <w:right w:val="nil"/>
            </w:tcBorders>
            <w:tcMar>
              <w:top w:w="0" w:type="dxa"/>
              <w:left w:w="62" w:type="dxa"/>
              <w:bottom w:w="0" w:type="dxa"/>
              <w:right w:w="62" w:type="dxa"/>
            </w:tcMar>
          </w:tcPr>
          <w:p w:rsidR="00000000" w:rsidP="00AE6D4C">
            <w:pPr>
              <w:pStyle w:val="List"/>
              <w:rPr>
                <w:lang w:val="en-NZ"/>
              </w:rPr>
            </w:pPr>
            <w:r w:rsidRPr="00AE6D4C">
              <w:rPr>
                <w:rStyle w:val="SpecialBold"/>
              </w:rPr>
              <w:t>1</w:t>
            </w:r>
            <w:r w:rsidRPr="00AE6D4C">
              <w:tab/>
            </w:r>
            <w:r w:rsidRPr="00AE6D4C">
              <w:rPr>
                <w:rStyle w:val="SpecialBold"/>
              </w:rPr>
              <w:t>Identify potential risks to agency and clients</w:t>
            </w:r>
            <w:r w:rsidRPr="00AE6D4C">
              <w:t>.</w:t>
            </w:r>
          </w:p>
        </w:tc>
        <w:tc>
          <w:tcPr>
            <w:tcW w:w="5760" w:type="dxa"/>
            <w:gridSpan w:val="2"/>
            <w:tcBorders>
              <w:top w:val="nil"/>
              <w:left w:val="nil"/>
              <w:bottom w:val="nil"/>
              <w:right w:val="nil"/>
            </w:tcBorders>
            <w:tcMar>
              <w:top w:w="0" w:type="dxa"/>
              <w:left w:w="62" w:type="dxa"/>
              <w:bottom w:w="0" w:type="dxa"/>
              <w:right w:w="62" w:type="dxa"/>
            </w:tcMar>
          </w:tcPr>
          <w:p w:rsidR="00000000" w:rsidRPr="00AE6D4C" w:rsidP="00AE6D4C">
            <w:pPr>
              <w:pStyle w:val="List"/>
            </w:pPr>
            <w:r w:rsidRPr="00AE6D4C">
              <w:t>1.1</w:t>
            </w:r>
            <w:r w:rsidRPr="00AE6D4C">
              <w:tab/>
            </w:r>
            <w:r w:rsidRPr="00AE6D4C">
              <w:rPr>
                <w:rStyle w:val="BoldandItalics"/>
              </w:rPr>
              <w:t>Sources of information</w:t>
            </w:r>
            <w:r w:rsidRPr="00AE6D4C">
              <w:t xml:space="preserve"> and </w:t>
            </w:r>
            <w:r w:rsidRPr="00AE6D4C">
              <w:rPr>
                <w:rStyle w:val="BoldandItalics"/>
              </w:rPr>
              <w:t>tools for identification</w:t>
            </w:r>
            <w:r w:rsidRPr="00AE6D4C">
              <w:t xml:space="preserve"> of actual and potential risks are accessed.</w:t>
            </w:r>
          </w:p>
          <w:p w:rsidR="00000000" w:rsidP="00AE6D4C">
            <w:pPr>
              <w:pStyle w:val="List"/>
              <w:rPr>
                <w:lang w:val="en-NZ"/>
              </w:rPr>
            </w:pPr>
            <w:r w:rsidRPr="00AE6D4C">
              <w:t>1.2</w:t>
            </w:r>
            <w:r w:rsidRPr="00AE6D4C">
              <w:tab/>
            </w:r>
            <w:r w:rsidRPr="00AE6D4C">
              <w:rPr>
                <w:rStyle w:val="BoldandItalics"/>
              </w:rPr>
              <w:t>Actual and potential risks</w:t>
            </w:r>
            <w:r w:rsidRPr="00AE6D4C">
              <w:t xml:space="preserve"> to </w:t>
            </w:r>
            <w:r w:rsidRPr="00AE6D4C">
              <w:rPr>
                <w:rStyle w:val="BoldandItalics"/>
              </w:rPr>
              <w:t>agency</w:t>
            </w:r>
            <w:r w:rsidRPr="00AE6D4C">
              <w:t xml:space="preserve">, </w:t>
            </w:r>
            <w:r w:rsidRPr="00AE6D4C">
              <w:rPr>
                <w:rStyle w:val="BoldandItalics"/>
              </w:rPr>
              <w:t>clients and other stakeholders</w:t>
            </w:r>
            <w:r w:rsidRPr="00AE6D4C">
              <w:t xml:space="preserve"> are identif</w:t>
            </w:r>
            <w:r w:rsidRPr="00AE6D4C">
              <w:t>ied.</w:t>
            </w:r>
          </w:p>
        </w:tc>
      </w:tr>
      <w:tr w:rsidTr="00C73D4F">
        <w:tblPrEx>
          <w:tblW w:w="0" w:type="auto"/>
          <w:tblLayout w:type="fixed"/>
          <w:tblCellMar>
            <w:left w:w="62" w:type="dxa"/>
            <w:right w:w="62" w:type="dxa"/>
          </w:tblCellMar>
          <w:tblLook w:val="0000"/>
        </w:tblPrEx>
        <w:trPr>
          <w:gridAfter w:val="1"/>
          <w:wAfter w:w="25" w:type="dxa"/>
        </w:trPr>
        <w:tc>
          <w:tcPr>
            <w:tcW w:w="2970" w:type="dxa"/>
            <w:tcBorders>
              <w:top w:val="nil"/>
              <w:left w:val="nil"/>
              <w:bottom w:val="nil"/>
              <w:right w:val="nil"/>
            </w:tcBorders>
            <w:tcMar>
              <w:top w:w="0" w:type="dxa"/>
              <w:left w:w="62" w:type="dxa"/>
              <w:bottom w:w="0" w:type="dxa"/>
              <w:right w:w="62" w:type="dxa"/>
            </w:tcMar>
          </w:tcPr>
          <w:p w:rsidR="00000000" w:rsidP="00AE6D4C">
            <w:pPr>
              <w:pStyle w:val="BodyText"/>
              <w:rPr>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AE6D4C" w:rsidP="00AE6D4C">
            <w:pPr>
              <w:pStyle w:val="List"/>
            </w:pPr>
            <w:r w:rsidRPr="00AE6D4C">
              <w:t>1.3</w:t>
            </w:r>
            <w:r w:rsidRPr="00AE6D4C">
              <w:tab/>
            </w:r>
            <w:r w:rsidRPr="00AE6D4C">
              <w:rPr>
                <w:rStyle w:val="BoldandItalics"/>
              </w:rPr>
              <w:t>Agency representations and information provided by clients</w:t>
            </w:r>
            <w:r w:rsidRPr="00AE6D4C">
              <w:t xml:space="preserve"> are confirmed and assessed in line with agency practice.</w:t>
            </w:r>
          </w:p>
          <w:p w:rsidR="00000000" w:rsidP="00AE6D4C">
            <w:pPr>
              <w:pStyle w:val="List"/>
              <w:rPr>
                <w:lang w:val="en-NZ"/>
              </w:rPr>
            </w:pPr>
            <w:r w:rsidRPr="00AE6D4C">
              <w:t>1.4</w:t>
            </w:r>
            <w:r w:rsidRPr="00AE6D4C">
              <w:tab/>
              <w:t>Identified risks are documented according to agency and legislative requirements.</w:t>
            </w:r>
          </w:p>
        </w:tc>
      </w:tr>
      <w:tr w:rsidTr="00C73D4F">
        <w:tblPrEx>
          <w:tblW w:w="0" w:type="auto"/>
          <w:tblLayout w:type="fixed"/>
          <w:tblCellMar>
            <w:left w:w="62" w:type="dxa"/>
            <w:right w:w="62" w:type="dxa"/>
          </w:tblCellMar>
          <w:tblLook w:val="0000"/>
        </w:tblPrEx>
        <w:trPr>
          <w:gridAfter w:val="1"/>
          <w:wAfter w:w="25" w:type="dxa"/>
        </w:trPr>
        <w:tc>
          <w:tcPr>
            <w:tcW w:w="2970" w:type="dxa"/>
            <w:tcBorders>
              <w:top w:val="nil"/>
              <w:left w:val="nil"/>
              <w:bottom w:val="nil"/>
              <w:right w:val="nil"/>
            </w:tcBorders>
            <w:tcMar>
              <w:top w:w="0" w:type="dxa"/>
              <w:left w:w="62" w:type="dxa"/>
              <w:bottom w:w="0" w:type="dxa"/>
              <w:right w:w="62" w:type="dxa"/>
            </w:tcMar>
          </w:tcPr>
          <w:p w:rsidR="00000000" w:rsidP="00AE6D4C">
            <w:pPr>
              <w:pStyle w:val="List"/>
              <w:rPr>
                <w:lang w:val="en-NZ"/>
              </w:rPr>
            </w:pPr>
            <w:r w:rsidRPr="00AE6D4C">
              <w:rPr>
                <w:rStyle w:val="SpecialBold"/>
              </w:rPr>
              <w:t>2</w:t>
            </w:r>
            <w:r w:rsidRPr="00AE6D4C">
              <w:tab/>
            </w:r>
            <w:r w:rsidRPr="00AE6D4C">
              <w:rPr>
                <w:rStyle w:val="SpecialBold"/>
              </w:rPr>
              <w:t>Analyse causes and potential impact of risks on agency</w:t>
            </w:r>
            <w:r w:rsidRPr="00AE6D4C">
              <w:t xml:space="preserve">, </w:t>
            </w:r>
            <w:r w:rsidRPr="00AE6D4C">
              <w:rPr>
                <w:rStyle w:val="SpecialBold"/>
              </w:rPr>
              <w:t>clients and other stakeholders</w:t>
            </w:r>
            <w:r w:rsidRPr="00AE6D4C">
              <w:t>.</w:t>
            </w:r>
          </w:p>
        </w:tc>
        <w:tc>
          <w:tcPr>
            <w:tcW w:w="5760" w:type="dxa"/>
            <w:gridSpan w:val="2"/>
            <w:tcBorders>
              <w:top w:val="nil"/>
              <w:left w:val="nil"/>
              <w:bottom w:val="nil"/>
              <w:right w:val="nil"/>
            </w:tcBorders>
            <w:tcMar>
              <w:top w:w="0" w:type="dxa"/>
              <w:left w:w="62" w:type="dxa"/>
              <w:bottom w:w="0" w:type="dxa"/>
              <w:right w:w="62" w:type="dxa"/>
            </w:tcMar>
          </w:tcPr>
          <w:p w:rsidR="00000000" w:rsidRPr="00AE6D4C" w:rsidP="00AE6D4C">
            <w:pPr>
              <w:pStyle w:val="List"/>
            </w:pPr>
            <w:r w:rsidRPr="00AE6D4C">
              <w:t>2.1</w:t>
            </w:r>
            <w:r w:rsidRPr="00AE6D4C">
              <w:tab/>
            </w:r>
            <w:r w:rsidRPr="00AE6D4C">
              <w:rPr>
                <w:rStyle w:val="BoldandItalics"/>
              </w:rPr>
              <w:t>Causes of risks</w:t>
            </w:r>
            <w:r w:rsidRPr="00AE6D4C">
              <w:t xml:space="preserve"> are analysed in line with agency practice.</w:t>
            </w:r>
          </w:p>
          <w:p w:rsidR="00000000" w:rsidRPr="00AE6D4C" w:rsidP="00AE6D4C">
            <w:pPr>
              <w:pStyle w:val="List"/>
            </w:pPr>
            <w:r w:rsidRPr="00AE6D4C">
              <w:t>2.2</w:t>
            </w:r>
            <w:r w:rsidRPr="00AE6D4C">
              <w:tab/>
            </w:r>
            <w:r w:rsidRPr="00AE6D4C">
              <w:rPr>
                <w:rStyle w:val="BoldandItalics"/>
              </w:rPr>
              <w:t>Potential impact of risks</w:t>
            </w:r>
            <w:r w:rsidRPr="00AE6D4C">
              <w:t xml:space="preserve"> on agency, clients and other stakeholders is determined.</w:t>
            </w:r>
          </w:p>
          <w:p w:rsidR="00000000" w:rsidRPr="00AE6D4C" w:rsidP="00AE6D4C">
            <w:pPr>
              <w:pStyle w:val="List"/>
            </w:pPr>
            <w:r w:rsidRPr="00AE6D4C">
              <w:t>2.3</w:t>
            </w:r>
            <w:r w:rsidRPr="00AE6D4C">
              <w:tab/>
            </w:r>
            <w:r w:rsidRPr="00AE6D4C">
              <w:rPr>
                <w:rStyle w:val="BoldandItalics"/>
              </w:rPr>
              <w:t>Consequences</w:t>
            </w:r>
            <w:r w:rsidRPr="00AE6D4C">
              <w:t xml:space="preserve">, </w:t>
            </w:r>
            <w:r w:rsidRPr="00AE6D4C">
              <w:rPr>
                <w:rStyle w:val="BoldandItalics"/>
              </w:rPr>
              <w:t>likelihood and severity of risks</w:t>
            </w:r>
            <w:r w:rsidRPr="00AE6D4C">
              <w:t xml:space="preserve"> are assessed.</w:t>
            </w:r>
          </w:p>
          <w:p w:rsidR="00000000" w:rsidRPr="00AE6D4C" w:rsidP="00AE6D4C">
            <w:pPr>
              <w:pStyle w:val="List"/>
            </w:pPr>
            <w:r w:rsidRPr="00AE6D4C">
              <w:t>2.4</w:t>
            </w:r>
            <w:r w:rsidRPr="00AE6D4C">
              <w:tab/>
            </w:r>
            <w:r w:rsidRPr="00AE6D4C">
              <w:rPr>
                <w:rStyle w:val="BoldandItalics"/>
              </w:rPr>
              <w:t>Risk categorisation</w:t>
            </w:r>
            <w:r w:rsidRPr="00AE6D4C">
              <w:t xml:space="preserve"> is undertaken and </w:t>
            </w:r>
            <w:r w:rsidRPr="00AE6D4C">
              <w:rPr>
                <w:rStyle w:val="BoldandItalics"/>
              </w:rPr>
              <w:t>risk priorities</w:t>
            </w:r>
            <w:r w:rsidRPr="00AE6D4C">
              <w:t xml:space="preserve"> are set.</w:t>
            </w:r>
          </w:p>
          <w:p w:rsidR="00000000" w:rsidP="00AE6D4C">
            <w:pPr>
              <w:pStyle w:val="List"/>
              <w:rPr>
                <w:lang w:val="en-NZ"/>
              </w:rPr>
            </w:pPr>
            <w:r w:rsidRPr="00AE6D4C">
              <w:t>2.5</w:t>
            </w:r>
            <w:r w:rsidRPr="00AE6D4C">
              <w:tab/>
              <w:t>Risk analysis processes and outcomes are documented.</w:t>
            </w:r>
          </w:p>
        </w:tc>
      </w:tr>
      <w:tr w:rsidTr="00C73D4F">
        <w:tblPrEx>
          <w:tblW w:w="0" w:type="auto"/>
          <w:tblLayout w:type="fixed"/>
          <w:tblCellMar>
            <w:left w:w="62" w:type="dxa"/>
            <w:right w:w="62" w:type="dxa"/>
          </w:tblCellMar>
          <w:tblLook w:val="0000"/>
        </w:tblPrEx>
        <w:trPr>
          <w:gridAfter w:val="1"/>
          <w:wAfter w:w="25" w:type="dxa"/>
        </w:trPr>
        <w:tc>
          <w:tcPr>
            <w:tcW w:w="2970" w:type="dxa"/>
            <w:tcBorders>
              <w:top w:val="nil"/>
              <w:left w:val="nil"/>
              <w:bottom w:val="nil"/>
              <w:right w:val="nil"/>
            </w:tcBorders>
            <w:tcMar>
              <w:top w:w="0" w:type="dxa"/>
              <w:left w:w="62" w:type="dxa"/>
              <w:bottom w:w="0" w:type="dxa"/>
              <w:right w:w="62" w:type="dxa"/>
            </w:tcMar>
          </w:tcPr>
          <w:p w:rsidR="00000000" w:rsidP="00AE6D4C">
            <w:pPr>
              <w:pStyle w:val="List"/>
              <w:rPr>
                <w:lang w:val="en-NZ"/>
              </w:rPr>
            </w:pPr>
            <w:r w:rsidRPr="00AE6D4C">
              <w:rPr>
                <w:rStyle w:val="SpecialBold"/>
              </w:rPr>
              <w:t>3</w:t>
            </w:r>
            <w:r w:rsidRPr="00AE6D4C">
              <w:tab/>
            </w:r>
            <w:r w:rsidRPr="00AE6D4C">
              <w:rPr>
                <w:rStyle w:val="SpecialBold"/>
              </w:rPr>
              <w:t>Implement agency procedures and systems to minimise risk</w:t>
            </w:r>
            <w:r w:rsidRPr="00AE6D4C">
              <w:t>.</w:t>
            </w:r>
          </w:p>
        </w:tc>
        <w:tc>
          <w:tcPr>
            <w:tcW w:w="5760" w:type="dxa"/>
            <w:gridSpan w:val="2"/>
            <w:tcBorders>
              <w:top w:val="nil"/>
              <w:left w:val="nil"/>
              <w:bottom w:val="nil"/>
              <w:right w:val="nil"/>
            </w:tcBorders>
            <w:tcMar>
              <w:top w:w="0" w:type="dxa"/>
              <w:left w:w="62" w:type="dxa"/>
              <w:bottom w:w="0" w:type="dxa"/>
              <w:right w:w="62" w:type="dxa"/>
            </w:tcMar>
          </w:tcPr>
          <w:p w:rsidR="00000000" w:rsidRPr="00AE6D4C" w:rsidP="00AE6D4C">
            <w:pPr>
              <w:pStyle w:val="List"/>
            </w:pPr>
            <w:r w:rsidRPr="00AE6D4C">
              <w:t>3.1</w:t>
            </w:r>
            <w:r w:rsidRPr="00AE6D4C">
              <w:tab/>
            </w:r>
            <w:r w:rsidRPr="00AE6D4C">
              <w:rPr>
                <w:rStyle w:val="BoldandItalics"/>
              </w:rPr>
              <w:t>Options for minimisi</w:t>
            </w:r>
            <w:r w:rsidRPr="00AE6D4C">
              <w:rPr>
                <w:rStyle w:val="BoldandItalics"/>
              </w:rPr>
              <w:t>ng risks</w:t>
            </w:r>
            <w:r w:rsidRPr="00AE6D4C">
              <w:t>, including legislative measures, are determined and assessed for strengths and weaknesses.</w:t>
            </w:r>
          </w:p>
          <w:p w:rsidR="00000000" w:rsidRPr="00AE6D4C" w:rsidP="00AE6D4C">
            <w:pPr>
              <w:pStyle w:val="List"/>
            </w:pPr>
            <w:r w:rsidRPr="00AE6D4C">
              <w:t>3.2</w:t>
            </w:r>
            <w:r w:rsidRPr="00AE6D4C">
              <w:tab/>
              <w:t>Risks are continuously monitored in line with agency practice.</w:t>
            </w:r>
          </w:p>
          <w:p w:rsidR="00000000" w:rsidRPr="00AE6D4C" w:rsidP="00AE6D4C">
            <w:pPr>
              <w:pStyle w:val="List"/>
            </w:pPr>
            <w:r w:rsidRPr="00AE6D4C">
              <w:t>3.3</w:t>
            </w:r>
            <w:r w:rsidRPr="00AE6D4C">
              <w:tab/>
              <w:t xml:space="preserve">Agency </w:t>
            </w:r>
            <w:r w:rsidRPr="00AE6D4C">
              <w:rPr>
                <w:rStyle w:val="BoldandItalics"/>
              </w:rPr>
              <w:t>procedures and systems for controlling risks</w:t>
            </w:r>
            <w:r w:rsidRPr="00AE6D4C">
              <w:t>, including handling complaints, a</w:t>
            </w:r>
            <w:r w:rsidRPr="00AE6D4C">
              <w:t>re identified and implemented, as required.</w:t>
            </w:r>
          </w:p>
          <w:p w:rsidR="00000000" w:rsidRPr="00AE6D4C" w:rsidP="00AE6D4C">
            <w:pPr>
              <w:pStyle w:val="List2"/>
            </w:pPr>
            <w:r w:rsidRPr="00AE6D4C">
              <w:t>3.4</w:t>
            </w:r>
            <w:r w:rsidRPr="00AE6D4C">
              <w:tab/>
              <w:t>Control measures are chosen and implemented as required.</w:t>
            </w:r>
          </w:p>
          <w:p w:rsidR="00000000" w:rsidP="00AE6D4C">
            <w:pPr>
              <w:pStyle w:val="List2"/>
              <w:rPr>
                <w:lang w:val="en-NZ"/>
              </w:rPr>
            </w:pPr>
            <w:r w:rsidRPr="00AE6D4C">
              <w:t>3.5</w:t>
            </w:r>
            <w:r w:rsidRPr="00AE6D4C">
              <w:tab/>
              <w:t>Risk treatment plans are implemented as required.</w:t>
            </w:r>
          </w:p>
        </w:tc>
      </w:tr>
      <w:tr w:rsidTr="00C73D4F">
        <w:tblPrEx>
          <w:tblW w:w="0" w:type="auto"/>
          <w:tblLayout w:type="fixed"/>
          <w:tblCellMar>
            <w:left w:w="62" w:type="dxa"/>
            <w:right w:w="62" w:type="dxa"/>
          </w:tblCellMar>
          <w:tblLook w:val="0000"/>
        </w:tblPrEx>
        <w:trPr>
          <w:gridAfter w:val="1"/>
          <w:wAfter w:w="25" w:type="dxa"/>
        </w:trPr>
        <w:tc>
          <w:tcPr>
            <w:tcW w:w="2970" w:type="dxa"/>
            <w:tcBorders>
              <w:top w:val="nil"/>
              <w:left w:val="nil"/>
              <w:bottom w:val="nil"/>
              <w:right w:val="nil"/>
            </w:tcBorders>
            <w:tcMar>
              <w:top w:w="0" w:type="dxa"/>
              <w:left w:w="62" w:type="dxa"/>
              <w:bottom w:w="0" w:type="dxa"/>
              <w:right w:w="62" w:type="dxa"/>
            </w:tcMar>
          </w:tcPr>
          <w:p w:rsidR="00000000" w:rsidP="00AE6D4C">
            <w:pPr>
              <w:pStyle w:val="List"/>
              <w:rPr>
                <w:lang w:val="en-NZ"/>
              </w:rPr>
            </w:pPr>
            <w:r w:rsidRPr="00AE6D4C">
              <w:rPr>
                <w:rStyle w:val="SpecialBold"/>
              </w:rPr>
              <w:t>4</w:t>
            </w:r>
            <w:r w:rsidRPr="00AE6D4C">
              <w:tab/>
            </w:r>
            <w:r w:rsidRPr="00AE6D4C">
              <w:rPr>
                <w:rStyle w:val="SpecialBold"/>
              </w:rPr>
              <w:t>Implement agency procedures and systems to minimise consumer risk</w:t>
            </w:r>
            <w:r w:rsidRPr="00AE6D4C">
              <w:t>.</w:t>
            </w:r>
          </w:p>
        </w:tc>
        <w:tc>
          <w:tcPr>
            <w:tcW w:w="5760" w:type="dxa"/>
            <w:gridSpan w:val="2"/>
            <w:tcBorders>
              <w:top w:val="nil"/>
              <w:left w:val="nil"/>
              <w:bottom w:val="nil"/>
              <w:right w:val="nil"/>
            </w:tcBorders>
            <w:tcMar>
              <w:top w:w="0" w:type="dxa"/>
              <w:left w:w="62" w:type="dxa"/>
              <w:bottom w:w="0" w:type="dxa"/>
              <w:right w:w="62" w:type="dxa"/>
            </w:tcMar>
          </w:tcPr>
          <w:p w:rsidR="00000000" w:rsidRPr="00AE6D4C" w:rsidP="00AE6D4C">
            <w:pPr>
              <w:pStyle w:val="List2"/>
            </w:pPr>
            <w:r w:rsidRPr="00AE6D4C">
              <w:t>4.1</w:t>
            </w:r>
            <w:r w:rsidRPr="00AE6D4C">
              <w:tab/>
            </w:r>
            <w:r w:rsidRPr="00AE6D4C">
              <w:rPr>
                <w:rStyle w:val="BoldandItalics"/>
              </w:rPr>
              <w:t>Risks to consumers</w:t>
            </w:r>
            <w:r w:rsidRPr="00AE6D4C">
              <w:t xml:space="preserve"> engaged in business dealings with the agency are identified and assessed in line with legislative requirements and agency practice.</w:t>
            </w:r>
          </w:p>
          <w:p w:rsidR="00000000" w:rsidRPr="00AE6D4C" w:rsidP="00AE6D4C">
            <w:pPr>
              <w:pStyle w:val="List2"/>
            </w:pPr>
            <w:r w:rsidRPr="00AE6D4C">
              <w:t>4.2</w:t>
            </w:r>
            <w:r w:rsidRPr="00AE6D4C">
              <w:tab/>
              <w:t>Consumer risks are continually monitored in line with agency practice.</w:t>
            </w:r>
          </w:p>
          <w:p w:rsidR="00000000" w:rsidRPr="00AE6D4C" w:rsidP="00AE6D4C">
            <w:pPr>
              <w:pStyle w:val="List2"/>
            </w:pPr>
            <w:r w:rsidRPr="00AE6D4C">
              <w:t>4.3</w:t>
            </w:r>
            <w:r w:rsidRPr="00AE6D4C">
              <w:tab/>
              <w:t>Agency procedures and systems for minimising</w:t>
            </w:r>
            <w:r w:rsidRPr="00AE6D4C">
              <w:t xml:space="preserve"> consumer risk are identified and implemented as required.</w:t>
            </w:r>
          </w:p>
          <w:p w:rsidR="00000000" w:rsidRPr="00AE6D4C" w:rsidP="00AE6D4C">
            <w:pPr>
              <w:pStyle w:val="List2"/>
            </w:pPr>
            <w:r w:rsidRPr="00AE6D4C">
              <w:t>4.4</w:t>
            </w:r>
            <w:r w:rsidRPr="00AE6D4C">
              <w:tab/>
              <w:t xml:space="preserve">Personal skills in identifying and assessing consumer risk are reviewed, and where appropriate, strategies are implemented for </w:t>
            </w:r>
            <w:r w:rsidRPr="00AE6D4C">
              <w:t>improving this aspect of professional practice.</w:t>
            </w:r>
          </w:p>
        </w:tc>
      </w:tr>
    </w:tbl>
    <w:p w:rsidR="00C73D4F" w:rsidP="00AE6D4C">
      <w:pPr>
        <w:pStyle w:val="BodyText"/>
      </w:pPr>
    </w:p>
    <w:p w:rsidR="00C73D4F" w:rsidP="00AE6D4C">
      <w:pPr>
        <w:pStyle w:val="BodyText"/>
      </w:pPr>
    </w:p>
    <w:p w:rsidR="00000000" w:rsidRPr="00AE6D4C" w:rsidP="00AE6D4C">
      <w:pPr>
        <w:pStyle w:val="Heading1"/>
      </w:pPr>
      <w:bookmarkStart w:id="9" w:name="O_258711"/>
      <w:bookmarkEnd w:id="9"/>
      <w:r w:rsidRPr="00AE6D4C">
        <w:t>Required Skills and Knowledge</w:t>
      </w:r>
    </w:p>
    <w:tbl>
      <w:tblPr>
        <w:tblW w:w="0" w:type="auto"/>
        <w:tblLayout w:type="fixed"/>
        <w:tblCellMar>
          <w:left w:w="62" w:type="dxa"/>
          <w:right w:w="62" w:type="dxa"/>
        </w:tblCellMar>
        <w:tblLook w:val="0000"/>
      </w:tblPr>
      <w:tblGrid>
        <w:gridCol w:w="8513"/>
        <w:gridCol w:w="9"/>
      </w:tblGrid>
      <w:tr w:rsidTr="00C73D4F">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AE6D4C">
            <w:pPr>
              <w:pStyle w:val="BodyText"/>
              <w:rPr>
                <w:lang w:val="en-NZ"/>
              </w:rPr>
            </w:pPr>
            <w:r w:rsidRPr="00AE6D4C">
              <w:rPr>
                <w:rStyle w:val="SpecialBold"/>
              </w:rPr>
              <w:t>REQUIRED SKILLS AND KNOWLEDGE</w:t>
            </w:r>
          </w:p>
        </w:tc>
      </w:tr>
      <w:tr w:rsidTr="00C73D4F">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P="00AE6D4C">
            <w:pPr>
              <w:pStyle w:val="BodyText"/>
              <w:rPr>
                <w:lang w:val="en-NZ"/>
              </w:rPr>
            </w:pPr>
            <w:r w:rsidRPr="00AE6D4C">
              <w:t>This section describes the essential skills and knowledge and their level, required for this unit.</w:t>
            </w:r>
          </w:p>
        </w:tc>
      </w:tr>
      <w:tr w:rsidTr="00C73D4F">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AE6D4C" w:rsidP="00AE6D4C">
            <w:pPr>
              <w:pStyle w:val="BodyText"/>
            </w:pPr>
            <w:r w:rsidRPr="00AE6D4C">
              <w:rPr>
                <w:rStyle w:val="SpecialBold"/>
              </w:rPr>
              <w:t>Required skills</w:t>
            </w:r>
            <w:r w:rsidRPr="00AE6D4C">
              <w:t>:</w:t>
            </w:r>
          </w:p>
          <w:p w:rsidR="00000000" w:rsidRPr="00AE6D4C" w:rsidP="00AE6D4C">
            <w:pPr>
              <w:pStyle w:val="ListBullet"/>
            </w:pPr>
            <w:r w:rsidRPr="00AE6D4C">
              <w:t>ability to communicate with and relate to a range of people from diverse social, economic and cultural backgrounds and with varying physical and mental abilities</w:t>
            </w:r>
          </w:p>
          <w:p w:rsidR="00000000" w:rsidRPr="00AE6D4C" w:rsidP="00AE6D4C">
            <w:pPr>
              <w:pStyle w:val="ListBullet"/>
            </w:pPr>
            <w:r w:rsidRPr="00AE6D4C">
              <w:t>analytical skills to interpret documents such as legislation, regulations, sale authorities, r</w:t>
            </w:r>
            <w:r w:rsidRPr="00AE6D4C">
              <w:t>eports from professional service providers and contracts</w:t>
            </w:r>
          </w:p>
          <w:p w:rsidR="00000000" w:rsidRPr="00AE6D4C" w:rsidP="00AE6D4C">
            <w:pPr>
              <w:pStyle w:val="ListBullet"/>
            </w:pPr>
            <w:r w:rsidRPr="00AE6D4C">
              <w:t>application of risk identification, assessment, treatment and monitoring skills</w:t>
            </w:r>
          </w:p>
          <w:p w:rsidR="00000000" w:rsidRPr="00AE6D4C" w:rsidP="00AE6D4C">
            <w:pPr>
              <w:pStyle w:val="ListBullet"/>
            </w:pPr>
            <w:r w:rsidRPr="00AE6D4C">
              <w:t>computing skills to access agency and resource databases, use standard software packages, send and receive emails, acce</w:t>
            </w:r>
            <w:r w:rsidRPr="00AE6D4C">
              <w:t>ss the internet and web pages, and complete and lodge standard documents online</w:t>
            </w:r>
          </w:p>
          <w:p w:rsidR="00000000" w:rsidRPr="00AE6D4C" w:rsidP="00AE6D4C">
            <w:pPr>
              <w:pStyle w:val="ListBullet"/>
            </w:pPr>
            <w:r w:rsidRPr="00AE6D4C">
              <w:t>decision making and problem solving skills to analyse risk situations and make decisions consistent with legislative and ethical requirements</w:t>
            </w:r>
          </w:p>
          <w:p w:rsidR="00000000" w:rsidRPr="00AE6D4C" w:rsidP="00AE6D4C">
            <w:pPr>
              <w:pStyle w:val="ListBullet"/>
            </w:pPr>
            <w:r w:rsidRPr="00AE6D4C">
              <w:t>literacy skills to access and inte</w:t>
            </w:r>
            <w:r w:rsidRPr="00AE6D4C">
              <w:t>rpret a variety of texts, including legislation, regulations and rules of ethics; prepare general information and papers; prepare formal and informal letters; prepare reports and applications; and complete standard and statutory forms</w:t>
            </w:r>
          </w:p>
          <w:p w:rsidR="00000000" w:rsidRPr="00AE6D4C" w:rsidP="00AE6D4C">
            <w:pPr>
              <w:pStyle w:val="ListBullet"/>
            </w:pPr>
            <w:r w:rsidRPr="00AE6D4C">
              <w:t>numeracy skills to pe</w:t>
            </w:r>
            <w:r w:rsidRPr="00AE6D4C">
              <w:t>rform and apply calculations used in risk identification, assessment, treatment and monitoring</w:t>
            </w:r>
          </w:p>
          <w:p w:rsidR="00000000" w:rsidRPr="00AE6D4C" w:rsidP="00AE6D4C">
            <w:pPr>
              <w:pStyle w:val="ListBullet"/>
            </w:pPr>
            <w:r w:rsidRPr="00AE6D4C">
              <w:t>planning, organising and scheduling skills to undertake work-related tasks associated with identifying, assessing, treating and monitoring risks</w:t>
            </w:r>
          </w:p>
          <w:p w:rsidR="00000000" w:rsidRPr="00AE6D4C" w:rsidP="00AE6D4C">
            <w:pPr>
              <w:pStyle w:val="ListBullet"/>
            </w:pPr>
            <w:r w:rsidRPr="00AE6D4C">
              <w:t>research skills to identify and locate documents and information relating to identifying and treating risks</w:t>
            </w:r>
          </w:p>
          <w:p w:rsidR="00000000" w:rsidRPr="00AE6D4C" w:rsidP="00AE6D4C">
            <w:pPr>
              <w:pStyle w:val="ListBullet"/>
            </w:pPr>
            <w:r w:rsidRPr="00AE6D4C">
              <w:t>self-management skills to organise own work, deliver quality customer service and effectively manage competing demands</w:t>
            </w:r>
          </w:p>
          <w:p w:rsidR="00000000" w:rsidP="00AE6D4C">
            <w:pPr>
              <w:pStyle w:val="ListBullet"/>
              <w:rPr>
                <w:lang w:val="en-NZ"/>
              </w:rPr>
            </w:pPr>
            <w:r w:rsidRPr="00AE6D4C">
              <w:t>teamwork skills to work effec</w:t>
            </w:r>
            <w:r w:rsidRPr="00AE6D4C">
              <w:t>tively in and promote communication between sales, property management and administrative teams in an agency environment.</w:t>
            </w:r>
          </w:p>
        </w:tc>
      </w:tr>
      <w:tr w:rsidTr="00C73D4F">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AE6D4C" w:rsidP="00AE6D4C">
            <w:pPr>
              <w:pStyle w:val="BodyText"/>
            </w:pPr>
            <w:r w:rsidRPr="00AE6D4C">
              <w:rPr>
                <w:rStyle w:val="SpecialBold"/>
              </w:rPr>
              <w:t>Required knowledge and understanding</w:t>
            </w:r>
            <w:r w:rsidRPr="00AE6D4C">
              <w:t>:</w:t>
            </w:r>
          </w:p>
          <w:p w:rsidR="00000000" w:rsidRPr="00AE6D4C" w:rsidP="00AE6D4C">
            <w:pPr>
              <w:pStyle w:val="ListBullet"/>
            </w:pPr>
            <w:r w:rsidRPr="00AE6D4C">
              <w:t xml:space="preserve">agency policies and procedures, including: </w:t>
            </w:r>
          </w:p>
          <w:p w:rsidR="00000000" w:rsidRPr="00AE6D4C" w:rsidP="00AE6D4C">
            <w:pPr>
              <w:pStyle w:val="ListBullet2"/>
            </w:pPr>
            <w:r w:rsidRPr="00AE6D4C">
              <w:t>policies and procedures for risk management</w:t>
            </w:r>
          </w:p>
          <w:p w:rsidR="00000000" w:rsidRPr="00AE6D4C" w:rsidP="00AE6D4C">
            <w:pPr>
              <w:pStyle w:val="ListBullet2"/>
            </w:pPr>
            <w:r w:rsidRPr="00AE6D4C">
              <w:t>risk management strategies</w:t>
            </w:r>
          </w:p>
          <w:p w:rsidR="00000000" w:rsidRPr="00AE6D4C" w:rsidP="00AE6D4C">
            <w:pPr>
              <w:pStyle w:val="ListBullet"/>
            </w:pPr>
            <w:r w:rsidRPr="00AE6D4C">
              <w:t>approaches for monitoring the risk environment</w:t>
            </w:r>
          </w:p>
          <w:p w:rsidR="00000000" w:rsidRPr="00AE6D4C" w:rsidP="00AE6D4C">
            <w:pPr>
              <w:pStyle w:val="ListBullet"/>
            </w:pPr>
            <w:r w:rsidRPr="00AE6D4C">
              <w:t>auditing requirements</w:t>
            </w:r>
          </w:p>
          <w:p w:rsidR="00000000" w:rsidRPr="00AE6D4C" w:rsidP="00AE6D4C">
            <w:pPr>
              <w:pStyle w:val="ListBullet"/>
            </w:pPr>
            <w:r w:rsidRPr="00AE6D4C">
              <w:t>Australian and New Zealand risk management standards</w:t>
            </w:r>
          </w:p>
          <w:p w:rsidR="00000000" w:rsidRPr="00AE6D4C" w:rsidP="00AE6D4C">
            <w:pPr>
              <w:pStyle w:val="ListBullet"/>
            </w:pPr>
            <w:r w:rsidRPr="00AE6D4C">
              <w:t>causes of risks</w:t>
            </w:r>
          </w:p>
          <w:p w:rsidR="00000000" w:rsidRPr="00AE6D4C" w:rsidP="00AE6D4C">
            <w:pPr>
              <w:pStyle w:val="ListBullet"/>
            </w:pPr>
            <w:r w:rsidRPr="00AE6D4C">
              <w:t>classification of risks</w:t>
            </w:r>
          </w:p>
          <w:p w:rsidR="00000000" w:rsidRPr="00AE6D4C" w:rsidP="00AE6D4C">
            <w:pPr>
              <w:pStyle w:val="ListBullet"/>
            </w:pPr>
            <w:r w:rsidRPr="00AE6D4C">
              <w:t>complaint-handling procedures</w:t>
            </w:r>
          </w:p>
          <w:p w:rsidR="00000000" w:rsidRPr="00AE6D4C" w:rsidP="00AE6D4C">
            <w:pPr>
              <w:pStyle w:val="ListBullet"/>
            </w:pPr>
            <w:r w:rsidRPr="00AE6D4C">
              <w:t>consumer risk</w:t>
            </w:r>
          </w:p>
          <w:p w:rsidR="00000000" w:rsidRPr="00AE6D4C" w:rsidP="00AE6D4C">
            <w:pPr>
              <w:pStyle w:val="ListBullet"/>
            </w:pPr>
            <w:r w:rsidRPr="00AE6D4C">
              <w:t>impact of risks on age</w:t>
            </w:r>
            <w:r w:rsidRPr="00AE6D4C">
              <w:t>ncy, clients and other stakeholders</w:t>
            </w:r>
          </w:p>
          <w:p w:rsidR="00000000" w:rsidRPr="00AE6D4C" w:rsidP="00AE6D4C">
            <w:pPr>
              <w:pStyle w:val="ListBullet"/>
            </w:pPr>
            <w:r w:rsidRPr="00AE6D4C">
              <w:t>insurance policies, codes and operations</w:t>
            </w:r>
          </w:p>
          <w:p w:rsidR="00000000" w:rsidRPr="00AE6D4C" w:rsidP="00AE6D4C">
            <w:pPr>
              <w:pStyle w:val="ListBullet"/>
            </w:pPr>
            <w:r w:rsidRPr="00AE6D4C">
              <w:t>potential impact of risk</w:t>
            </w:r>
          </w:p>
          <w:p w:rsidR="00000000" w:rsidRPr="00AE6D4C" w:rsidP="00AE6D4C">
            <w:pPr>
              <w:pStyle w:val="ListBullet"/>
            </w:pPr>
            <w:r w:rsidRPr="00AE6D4C">
              <w:t>reasons for monitoring risk environment</w:t>
            </w:r>
          </w:p>
          <w:p w:rsidR="00000000" w:rsidRPr="00AE6D4C" w:rsidP="00AE6D4C">
            <w:pPr>
              <w:pStyle w:val="ListBullet"/>
            </w:pPr>
            <w:r w:rsidRPr="00AE6D4C">
              <w:t>relevant federal, and state or territory legislation and local government regulations relating to:</w:t>
            </w:r>
          </w:p>
          <w:p w:rsidR="00000000" w:rsidRPr="00AE6D4C" w:rsidP="00AE6D4C">
            <w:pPr>
              <w:pStyle w:val="ListBullet2"/>
            </w:pPr>
            <w:r w:rsidRPr="00AE6D4C">
              <w:t>anti-discrimination and equal employment opportunity</w:t>
            </w:r>
          </w:p>
          <w:p w:rsidR="00000000" w:rsidRPr="00AE6D4C" w:rsidP="00AE6D4C">
            <w:pPr>
              <w:pStyle w:val="ListBullet2"/>
            </w:pPr>
            <w:r w:rsidRPr="00AE6D4C">
              <w:t>anti-money laundering</w:t>
            </w:r>
          </w:p>
          <w:p w:rsidR="00000000" w:rsidRPr="00AE6D4C" w:rsidP="00AE6D4C">
            <w:pPr>
              <w:pStyle w:val="ListBullet2"/>
            </w:pPr>
            <w:r w:rsidRPr="00AE6D4C">
              <w:t>auctions</w:t>
            </w:r>
          </w:p>
          <w:p w:rsidR="00000000" w:rsidRPr="00AE6D4C" w:rsidP="00AE6D4C">
            <w:pPr>
              <w:pStyle w:val="ListBullet2"/>
            </w:pPr>
            <w:r w:rsidRPr="00AE6D4C">
              <w:t>consumer protection, fair trading and trade practices</w:t>
            </w:r>
          </w:p>
          <w:p w:rsidR="00000000" w:rsidRPr="00AE6D4C" w:rsidP="00AE6D4C">
            <w:pPr>
              <w:pStyle w:val="ListBullet2"/>
            </w:pPr>
            <w:r w:rsidRPr="00AE6D4C">
              <w:t>employment and industrial relations</w:t>
            </w:r>
          </w:p>
          <w:p w:rsidR="00000000" w:rsidRPr="00AE6D4C" w:rsidP="00AE6D4C">
            <w:pPr>
              <w:pStyle w:val="ListBullet2"/>
            </w:pPr>
            <w:r w:rsidRPr="00AE6D4C">
              <w:t>environment and sustainability</w:t>
            </w:r>
          </w:p>
          <w:p w:rsidR="00000000" w:rsidRPr="00AE6D4C" w:rsidP="00AE6D4C">
            <w:pPr>
              <w:pStyle w:val="ListBullet2"/>
            </w:pPr>
            <w:r w:rsidRPr="00AE6D4C">
              <w:t>financial services</w:t>
            </w:r>
          </w:p>
          <w:p w:rsidR="00000000" w:rsidRPr="00AE6D4C" w:rsidP="00AE6D4C">
            <w:pPr>
              <w:pStyle w:val="ListBullet2"/>
            </w:pPr>
            <w:r w:rsidRPr="00AE6D4C">
              <w:t>leasing</w:t>
            </w:r>
          </w:p>
          <w:p w:rsidR="00000000" w:rsidRPr="00AE6D4C" w:rsidP="00AE6D4C">
            <w:pPr>
              <w:pStyle w:val="ListBullet2"/>
            </w:pPr>
            <w:r w:rsidRPr="00AE6D4C">
              <w:t>OHS</w:t>
            </w:r>
          </w:p>
          <w:p w:rsidR="00000000" w:rsidRPr="00AE6D4C" w:rsidP="00AE6D4C">
            <w:pPr>
              <w:pStyle w:val="ListBullet2"/>
            </w:pPr>
            <w:r w:rsidRPr="00AE6D4C">
              <w:t>privacy</w:t>
            </w:r>
          </w:p>
          <w:p w:rsidR="00000000" w:rsidRPr="00AE6D4C" w:rsidP="00AE6D4C">
            <w:pPr>
              <w:pStyle w:val="ListBullet2"/>
            </w:pPr>
            <w:r w:rsidRPr="00AE6D4C">
              <w:t>property sal</w:t>
            </w:r>
            <w:r w:rsidRPr="00AE6D4C">
              <w:t>es and management</w:t>
            </w:r>
          </w:p>
          <w:p w:rsidR="00000000" w:rsidRPr="00AE6D4C" w:rsidP="00AE6D4C">
            <w:pPr>
              <w:pStyle w:val="ListBullet"/>
            </w:pPr>
            <w:r w:rsidRPr="00AE6D4C">
              <w:t>sources of information on risk</w:t>
            </w:r>
          </w:p>
          <w:p w:rsidR="00000000" w:rsidRPr="00AE6D4C" w:rsidP="00AE6D4C">
            <w:pPr>
              <w:pStyle w:val="ListBullet"/>
            </w:pPr>
            <w:r w:rsidRPr="00AE6D4C">
              <w:t>sources of risk</w:t>
            </w:r>
          </w:p>
          <w:p w:rsidR="00000000" w:rsidRPr="00AE6D4C" w:rsidP="00AE6D4C">
            <w:pPr>
              <w:pStyle w:val="ListBullet"/>
            </w:pPr>
            <w:r w:rsidRPr="00AE6D4C">
              <w:t>techniques and tools for identifying and analysing risk.</w:t>
            </w:r>
          </w:p>
        </w:tc>
      </w:tr>
    </w:tbl>
    <w:p w:rsidR="00C73D4F" w:rsidP="00AE6D4C">
      <w:pPr>
        <w:pStyle w:val="BodyText"/>
      </w:pPr>
    </w:p>
    <w:p w:rsidR="00C73D4F" w:rsidP="00AE6D4C">
      <w:pPr>
        <w:pStyle w:val="BodyText"/>
      </w:pPr>
    </w:p>
    <w:p w:rsidR="00000000" w:rsidRPr="00AE6D4C" w:rsidP="00AE6D4C">
      <w:pPr>
        <w:pStyle w:val="Heading1"/>
      </w:pPr>
      <w:bookmarkStart w:id="10" w:name="O_242745"/>
      <w:bookmarkEnd w:id="10"/>
      <w:r w:rsidRPr="00AE6D4C">
        <w:t>Evidence Guide</w:t>
      </w:r>
    </w:p>
    <w:p w:rsidR="00000000" w:rsidRPr="00AE6D4C" w:rsidP="00AE6D4C">
      <w:pPr>
        <w:pStyle w:val="BodyText"/>
      </w:pPr>
      <w:r w:rsidRPr="00AE6D4C">
        <w:rPr>
          <w:rStyle w:val="SpecialBold"/>
        </w:rPr>
        <w:t>EVIDENCE GUIDE</w:t>
      </w:r>
    </w:p>
    <w:p w:rsidR="00000000" w:rsidRPr="00AE6D4C" w:rsidP="00AE6D4C">
      <w:pPr>
        <w:pStyle w:val="BodyText"/>
      </w:pPr>
      <w:r w:rsidRPr="00AE6D4C">
        <w:t>The evidence guide provides advice on assessment and must be read in conjunction with the performance criteria, required skills and knowledge, the range statement and the Assessment Guidelines for this Training Package.</w:t>
      </w:r>
    </w:p>
    <w:tbl>
      <w:tblPr>
        <w:tblW w:w="0" w:type="auto"/>
        <w:tblLayout w:type="fixed"/>
        <w:tblCellMar>
          <w:left w:w="62" w:type="dxa"/>
          <w:right w:w="62" w:type="dxa"/>
        </w:tblCellMar>
        <w:tblLook w:val="0000"/>
      </w:tblPr>
      <w:tblGrid>
        <w:gridCol w:w="2865"/>
        <w:gridCol w:w="5940"/>
      </w:tblGrid>
      <w:tr w:rsidTr="00C73D4F">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AE6D4C">
            <w:pPr>
              <w:pStyle w:val="BodyText"/>
              <w:rPr>
                <w:lang w:val="en-NZ"/>
              </w:rPr>
            </w:pPr>
            <w:r w:rsidRPr="00AE6D4C">
              <w:rPr>
                <w:rStyle w:val="SpecialBold"/>
              </w:rPr>
              <w:t>Overview of assessment</w:t>
            </w:r>
          </w:p>
        </w:tc>
        <w:tc>
          <w:tcPr>
            <w:tcW w:w="5940" w:type="dxa"/>
            <w:tcBorders>
              <w:top w:val="nil"/>
              <w:left w:val="nil"/>
              <w:bottom w:val="nil"/>
              <w:right w:val="nil"/>
            </w:tcBorders>
            <w:tcMar>
              <w:top w:w="0" w:type="dxa"/>
              <w:left w:w="62" w:type="dxa"/>
              <w:bottom w:w="0" w:type="dxa"/>
              <w:right w:w="62" w:type="dxa"/>
            </w:tcMar>
          </w:tcPr>
          <w:p w:rsidR="00000000" w:rsidP="00AE6D4C">
            <w:pPr>
              <w:pStyle w:val="BodyText"/>
              <w:rPr>
                <w:lang w:val="en-NZ"/>
              </w:rPr>
            </w:pPr>
            <w:r w:rsidRPr="00AE6D4C">
              <w:t xml:space="preserve">This unit of </w:t>
            </w:r>
            <w:r w:rsidRPr="00AE6D4C">
              <w:t>competency could be assessed through case studies and practical demonstration of identifying, assessing, treating and monitoring risks to the agency and consumers. Targeted written (including alternative formats where necessary) or verbal questioning to as</w:t>
            </w:r>
            <w:r w:rsidRPr="00AE6D4C">
              <w:t>sess the candidate's underpinning knowledge would provide additional supporting evidence of competence. The demonstration and questioning would include collecting evidence of the candidate's knowledge and application of ethical standards and relevant feder</w:t>
            </w:r>
            <w:r w:rsidRPr="00AE6D4C">
              <w:t>al, and state or territory legislation and regulations. This assessment may be carried out in a simulated or workplace environment.</w:t>
            </w:r>
          </w:p>
        </w:tc>
      </w:tr>
      <w:tr w:rsidTr="00C73D4F">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AE6D4C">
            <w:pPr>
              <w:pStyle w:val="BodyText"/>
              <w:rPr>
                <w:lang w:val="en-NZ"/>
              </w:rPr>
            </w:pPr>
            <w:r w:rsidRPr="00AE6D4C">
              <w:rPr>
                <w:rStyle w:val="SpecialBold"/>
              </w:rPr>
              <w:t>Critical aspects for assessment and evidence required to demonstrate competency in this unit</w:t>
            </w:r>
          </w:p>
        </w:tc>
        <w:tc>
          <w:tcPr>
            <w:tcW w:w="5940" w:type="dxa"/>
            <w:tcBorders>
              <w:top w:val="nil"/>
              <w:left w:val="nil"/>
              <w:bottom w:val="nil"/>
              <w:right w:val="nil"/>
            </w:tcBorders>
            <w:tcMar>
              <w:top w:w="0" w:type="dxa"/>
              <w:left w:w="62" w:type="dxa"/>
              <w:bottom w:w="0" w:type="dxa"/>
              <w:right w:w="62" w:type="dxa"/>
            </w:tcMar>
          </w:tcPr>
          <w:p w:rsidR="00000000" w:rsidRPr="00AE6D4C" w:rsidP="00AE6D4C">
            <w:pPr>
              <w:pStyle w:val="BodyText"/>
            </w:pPr>
            <w:r w:rsidRPr="00AE6D4C">
              <w:t>A person who demonstrates competency in this unit must be able to provide evidence of:</w:t>
            </w:r>
          </w:p>
          <w:p w:rsidR="00000000" w:rsidRPr="00AE6D4C" w:rsidP="00AE6D4C">
            <w:pPr>
              <w:pStyle w:val="ListBullet"/>
            </w:pPr>
            <w:r w:rsidRPr="00AE6D4C">
              <w:t>analysing the causes and potential impact of risks on agency, clients and other stakeholders</w:t>
            </w:r>
          </w:p>
          <w:p w:rsidR="00000000" w:rsidRPr="00AE6D4C" w:rsidP="00AE6D4C">
            <w:pPr>
              <w:pStyle w:val="ListBullet"/>
            </w:pPr>
            <w:r w:rsidRPr="00AE6D4C">
              <w:t xml:space="preserve">establishing ongoing monitoring and reporting systems to minimise risks to </w:t>
            </w:r>
            <w:r w:rsidRPr="00AE6D4C">
              <w:t>agency, clients and other stakeholders</w:t>
            </w:r>
          </w:p>
          <w:p w:rsidR="00000000" w:rsidRPr="00AE6D4C" w:rsidP="00AE6D4C">
            <w:pPr>
              <w:pStyle w:val="ListBullet"/>
            </w:pPr>
            <w:r w:rsidRPr="00AE6D4C">
              <w:t>identifying and implementing agency policies and procedures for minimising and treating risks</w:t>
            </w:r>
          </w:p>
          <w:p w:rsidR="00000000" w:rsidRPr="00AE6D4C" w:rsidP="00AE6D4C">
            <w:pPr>
              <w:pStyle w:val="ListBullet"/>
            </w:pPr>
            <w:r w:rsidRPr="00AE6D4C">
              <w:t>identifying actual and potential risks to agency, clients and other stakeholders</w:t>
            </w:r>
          </w:p>
          <w:p w:rsidR="00000000" w:rsidP="00AE6D4C">
            <w:pPr>
              <w:pStyle w:val="ListBullet"/>
              <w:rPr>
                <w:lang w:val="en-NZ"/>
              </w:rPr>
            </w:pPr>
            <w:r w:rsidRPr="00AE6D4C">
              <w:t xml:space="preserve">identifying, minimising and responding to </w:t>
            </w:r>
            <w:r w:rsidRPr="00AE6D4C">
              <w:t>consumer risks associated with agency operations.</w:t>
            </w:r>
          </w:p>
        </w:tc>
      </w:tr>
      <w:tr w:rsidTr="00C73D4F">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AE6D4C">
            <w:pPr>
              <w:pStyle w:val="BodyText"/>
              <w:rPr>
                <w:lang w:val="en-NZ"/>
              </w:rPr>
            </w:pPr>
            <w:r w:rsidRPr="00AE6D4C">
              <w:rPr>
                <w:rStyle w:val="SpecialBold"/>
              </w:rPr>
              <w:t>Context of and specific resources for assessment</w:t>
            </w:r>
          </w:p>
        </w:tc>
        <w:tc>
          <w:tcPr>
            <w:tcW w:w="5940" w:type="dxa"/>
            <w:tcBorders>
              <w:top w:val="nil"/>
              <w:left w:val="nil"/>
              <w:bottom w:val="nil"/>
              <w:right w:val="nil"/>
            </w:tcBorders>
            <w:tcMar>
              <w:top w:w="0" w:type="dxa"/>
              <w:left w:w="62" w:type="dxa"/>
              <w:bottom w:w="0" w:type="dxa"/>
              <w:right w:w="62" w:type="dxa"/>
            </w:tcMar>
          </w:tcPr>
          <w:p w:rsidR="00000000" w:rsidRPr="00AE6D4C" w:rsidP="00AE6D4C">
            <w:pPr>
              <w:pStyle w:val="BodyText"/>
            </w:pPr>
            <w:r w:rsidRPr="00AE6D4C">
              <w:t>Resource implications for assessment include:</w:t>
            </w:r>
          </w:p>
          <w:p w:rsidR="00000000" w:rsidRPr="00AE6D4C" w:rsidP="00AE6D4C">
            <w:pPr>
              <w:pStyle w:val="ListBullet"/>
            </w:pPr>
            <w:r w:rsidRPr="00AE6D4C">
              <w:t>access to suitable simulated or real opportunities and resources to demonstrate competence</w:t>
            </w:r>
          </w:p>
          <w:p w:rsidR="00000000" w:rsidRPr="00AE6D4C" w:rsidP="00AE6D4C">
            <w:pPr>
              <w:pStyle w:val="ListBullet"/>
            </w:pPr>
            <w:r w:rsidRPr="00AE6D4C">
              <w:t>assessment instrum</w:t>
            </w:r>
            <w:r w:rsidRPr="00AE6D4C">
              <w:t>ents that may include personal planner and assessment record book</w:t>
            </w:r>
          </w:p>
          <w:p w:rsidR="00000000" w:rsidRPr="00AE6D4C" w:rsidP="00AE6D4C">
            <w:pPr>
              <w:pStyle w:val="ListBullet"/>
            </w:pPr>
            <w:r w:rsidRPr="00AE6D4C">
              <w:t>access to a registered provider of assessment services.</w:t>
            </w:r>
          </w:p>
          <w:p w:rsidR="00000000" w:rsidRPr="00AE6D4C" w:rsidP="00AE6D4C">
            <w:pPr>
              <w:pStyle w:val="BodyText"/>
            </w:pPr>
            <w:r w:rsidRPr="00AE6D4C">
              <w:t>Where applicable, physical resources should include equipment modified for people with disabilities.</w:t>
            </w:r>
          </w:p>
          <w:p w:rsidR="00000000" w:rsidRPr="00AE6D4C" w:rsidP="00AE6D4C">
            <w:pPr>
              <w:pStyle w:val="BodyText"/>
            </w:pPr>
            <w:r w:rsidRPr="00AE6D4C">
              <w:t>Access must be provided to approp</w:t>
            </w:r>
            <w:r w:rsidRPr="00AE6D4C">
              <w:t>riate learning and/or assessment support when required.</w:t>
            </w:r>
          </w:p>
          <w:p w:rsidR="00000000" w:rsidP="00AE6D4C">
            <w:pPr>
              <w:pStyle w:val="BodyText"/>
              <w:rPr>
                <w:lang w:val="en-NZ"/>
              </w:rPr>
            </w:pPr>
            <w:r w:rsidRPr="00AE6D4C">
              <w:t>Assessment processes and techniques must be culturally appropriate, and appropriate to the language and literacy capacity of the candidate and the work being performed.</w:t>
            </w:r>
          </w:p>
        </w:tc>
      </w:tr>
      <w:tr w:rsidTr="00C73D4F">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0" w:type="dxa"/>
            <w:tcBorders>
              <w:top w:val="nil"/>
              <w:left w:val="nil"/>
              <w:bottom w:val="nil"/>
              <w:right w:val="nil"/>
            </w:tcBorders>
            <w:tcMar>
              <w:top w:w="0" w:type="dxa"/>
              <w:left w:w="62" w:type="dxa"/>
              <w:bottom w:w="0" w:type="dxa"/>
              <w:right w:w="62" w:type="dxa"/>
            </w:tcMar>
          </w:tcPr>
          <w:p w:rsidR="00000000" w:rsidRPr="00AE6D4C" w:rsidP="00AE6D4C">
            <w:pPr>
              <w:pStyle w:val="BodyText"/>
            </w:pPr>
            <w:r w:rsidRPr="00AE6D4C">
              <w:t>Validity and sufficiency of evidence require that:</w:t>
            </w:r>
          </w:p>
          <w:p w:rsidR="00000000" w:rsidRPr="00AE6D4C" w:rsidP="00AE6D4C">
            <w:pPr>
              <w:pStyle w:val="ListBullet"/>
            </w:pPr>
            <w:r w:rsidRPr="00AE6D4C">
              <w:t>competency will need to be demonstrated over a period of time reflecting the scope of the role and the practical requirements of the workplace</w:t>
            </w:r>
          </w:p>
          <w:p w:rsidR="00000000" w:rsidRPr="00AE6D4C" w:rsidP="00AE6D4C">
            <w:pPr>
              <w:pStyle w:val="ListBullet"/>
            </w:pPr>
            <w:r w:rsidRPr="00AE6D4C">
              <w:t>where the assessment is part of a structured learning experie</w:t>
            </w:r>
            <w:r w:rsidRPr="00AE6D4C">
              <w:t>nce the evidence collected must relate to a number of performances assessed at different points in time and separated by further learning and practice with a decision of competence only taken at the point when the assessor has complete confidence in the pe</w:t>
            </w:r>
            <w:r w:rsidRPr="00AE6D4C">
              <w:t>rson's competence</w:t>
            </w:r>
          </w:p>
          <w:p w:rsidR="00000000" w:rsidRPr="00AE6D4C" w:rsidP="00AE6D4C">
            <w:pPr>
              <w:pStyle w:val="ListBullet"/>
            </w:pPr>
            <w:r w:rsidRPr="00AE6D4C">
              <w:t>all assessment that is part of a structured learning experience must include a combination of direct, indirect and supplementary evidence</w:t>
            </w:r>
          </w:p>
          <w:p w:rsidR="00000000" w:rsidRPr="00AE6D4C" w:rsidP="00AE6D4C">
            <w:pPr>
              <w:pStyle w:val="ListBullet"/>
            </w:pPr>
            <w:r w:rsidRPr="00AE6D4C">
              <w:t xml:space="preserve">where assessment is for the purpose of recognition (RCC/RPL), the evidence provided will need to be </w:t>
            </w:r>
            <w:r w:rsidRPr="00AE6D4C">
              <w:t>current and show that it represents competency demonstrated over a period of time</w:t>
            </w:r>
          </w:p>
          <w:p w:rsidR="00000000" w:rsidRPr="00AE6D4C" w:rsidP="00AE6D4C">
            <w:pPr>
              <w:pStyle w:val="ListBullet"/>
            </w:pPr>
            <w:r w:rsidRPr="00AE6D4C">
              <w:t>assessment can be through simulated project-based activity and must include evidence relating to each of the elements in this unit.</w:t>
            </w:r>
          </w:p>
          <w:p w:rsidR="00000000" w:rsidP="00AE6D4C">
            <w:pPr>
              <w:pStyle w:val="BodyText"/>
              <w:rPr>
                <w:lang w:val="en-NZ"/>
              </w:rPr>
            </w:pPr>
            <w:r w:rsidRPr="00AE6D4C">
              <w:t>In all cases where practical assessment is</w:t>
            </w:r>
            <w:r w:rsidRPr="00AE6D4C">
              <w:t xml:space="preserve"> used it will be combined with targeted questioning to assess the underpinning knowledge. Questioning will be undertaken in such a manner as is appropriate to the language and literacy levels of the candidate and any cultural issues that may affect respons</w:t>
            </w:r>
            <w:r w:rsidRPr="00AE6D4C">
              <w:t>es to the questions, and will reflect the requirements of the competency and the work being performed.</w:t>
            </w:r>
          </w:p>
        </w:tc>
      </w:tr>
      <w:tr w:rsidTr="00C73D4F">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0" w:type="dxa"/>
            <w:tcBorders>
              <w:top w:val="nil"/>
              <w:left w:val="nil"/>
              <w:bottom w:val="nil"/>
              <w:right w:val="nil"/>
            </w:tcBorders>
            <w:tcMar>
              <w:top w:w="0" w:type="dxa"/>
              <w:left w:w="62" w:type="dxa"/>
              <w:bottom w:w="0" w:type="dxa"/>
              <w:right w:w="62" w:type="dxa"/>
            </w:tcMar>
          </w:tcPr>
          <w:p w:rsidR="00000000" w:rsidRPr="00AE6D4C" w:rsidP="00AE6D4C">
            <w:pPr>
              <w:pStyle w:val="BodyText"/>
            </w:pPr>
          </w:p>
        </w:tc>
      </w:tr>
    </w:tbl>
    <w:p w:rsidR="00C73D4F" w:rsidP="00AE6D4C">
      <w:pPr>
        <w:pStyle w:val="BodyText"/>
      </w:pPr>
    </w:p>
    <w:p w:rsidR="00C73D4F" w:rsidP="00AE6D4C">
      <w:pPr>
        <w:pStyle w:val="BodyText"/>
      </w:pPr>
    </w:p>
    <w:p w:rsidR="00000000" w:rsidRPr="00AE6D4C" w:rsidP="00AE6D4C">
      <w:pPr>
        <w:pStyle w:val="Heading1"/>
      </w:pPr>
      <w:bookmarkStart w:id="11" w:name="O_250728"/>
      <w:bookmarkEnd w:id="11"/>
      <w:r w:rsidRPr="00AE6D4C">
        <w:t>Range Statement</w:t>
      </w:r>
    </w:p>
    <w:p w:rsidR="00000000" w:rsidRPr="00AE6D4C" w:rsidP="00AE6D4C">
      <w:pPr>
        <w:pStyle w:val="BodyText"/>
      </w:pPr>
      <w:r w:rsidRPr="00AE6D4C">
        <w:rPr>
          <w:rStyle w:val="SpecialBold"/>
        </w:rPr>
        <w:t>RANGE STATEMENT</w:t>
      </w:r>
    </w:p>
    <w:p w:rsidR="00000000" w:rsidRPr="00AE6D4C" w:rsidP="00AE6D4C">
      <w:pPr>
        <w:pStyle w:val="BodyText"/>
      </w:pPr>
      <w:r w:rsidRPr="00AE6D4C">
        <w:t xml:space="preserve">The range statement relates to the unit of competency as a whole. It allows for different work environments and situations that may affect performance. </w:t>
      </w:r>
      <w:r w:rsidRPr="00AE6D4C">
        <w:rPr>
          <w:rStyle w:val="BoldandItalics"/>
        </w:rPr>
        <w:t>Bold italicised</w:t>
      </w:r>
      <w:r w:rsidRPr="00AE6D4C">
        <w:t xml:space="preserve"> wording in the performance criteria is detailed below. Add any essential operating condi</w:t>
      </w:r>
      <w:r w:rsidRPr="00AE6D4C">
        <w:t>tions that may be present with training and assessment depending on the work situation, needs of the candidate, accessibility of the item, and local industry and regional contexts.</w:t>
      </w:r>
    </w:p>
    <w:tbl>
      <w:tblPr>
        <w:tblW w:w="0" w:type="auto"/>
        <w:tblLayout w:type="fixed"/>
        <w:tblCellMar>
          <w:left w:w="62" w:type="dxa"/>
          <w:right w:w="62" w:type="dxa"/>
        </w:tblCellMar>
        <w:tblLook w:val="0000"/>
      </w:tblPr>
      <w:tblGrid>
        <w:gridCol w:w="2786"/>
        <w:gridCol w:w="5962"/>
      </w:tblGrid>
      <w:tr w:rsidTr="00C73D4F">
        <w:tblPrEx>
          <w:tblW w:w="0" w:type="auto"/>
          <w:tblLayout w:type="fixed"/>
          <w:tblCellMar>
            <w:left w:w="62" w:type="dxa"/>
            <w:right w:w="62" w:type="dxa"/>
          </w:tblCellMar>
          <w:tblLook w:val="0000"/>
        </w:tblPrEx>
        <w:tc>
          <w:tcPr>
            <w:tcW w:w="2786" w:type="dxa"/>
            <w:tcBorders>
              <w:top w:val="nil"/>
              <w:left w:val="nil"/>
              <w:bottom w:val="nil"/>
              <w:right w:val="nil"/>
            </w:tcBorders>
            <w:tcMar>
              <w:top w:w="0" w:type="dxa"/>
              <w:left w:w="62" w:type="dxa"/>
              <w:bottom w:w="0" w:type="dxa"/>
              <w:right w:w="62" w:type="dxa"/>
            </w:tcMar>
          </w:tcPr>
          <w:p w:rsidR="00000000" w:rsidP="00AE6D4C">
            <w:pPr>
              <w:pStyle w:val="BodyText"/>
              <w:rPr>
                <w:lang w:val="en-NZ"/>
              </w:rPr>
            </w:pPr>
            <w:r w:rsidRPr="00AE6D4C">
              <w:rPr>
                <w:rStyle w:val="BoldandItalics"/>
              </w:rPr>
              <w:t>Sources of information</w:t>
            </w:r>
            <w:r w:rsidRPr="00AE6D4C">
              <w:t xml:space="preserve"> may include:</w:t>
            </w:r>
          </w:p>
        </w:tc>
        <w:tc>
          <w:tcPr>
            <w:tcW w:w="5962" w:type="dxa"/>
            <w:tcBorders>
              <w:top w:val="nil"/>
              <w:left w:val="nil"/>
              <w:bottom w:val="nil"/>
              <w:right w:val="nil"/>
            </w:tcBorders>
            <w:tcMar>
              <w:top w:w="0" w:type="dxa"/>
              <w:left w:w="62" w:type="dxa"/>
              <w:bottom w:w="0" w:type="dxa"/>
              <w:right w:w="62" w:type="dxa"/>
            </w:tcMar>
          </w:tcPr>
          <w:p w:rsidR="00000000" w:rsidRPr="00AE6D4C" w:rsidP="00AE6D4C">
            <w:pPr>
              <w:pStyle w:val="ListBullet"/>
            </w:pPr>
            <w:r w:rsidRPr="00AE6D4C">
              <w:t>agency records</w:t>
            </w:r>
          </w:p>
          <w:p w:rsidR="00000000" w:rsidRPr="00AE6D4C" w:rsidP="00AE6D4C">
            <w:pPr>
              <w:pStyle w:val="ListBullet"/>
            </w:pPr>
            <w:r w:rsidRPr="00AE6D4C">
              <w:t>experience</w:t>
            </w:r>
          </w:p>
          <w:p w:rsidR="00000000" w:rsidRPr="00AE6D4C" w:rsidP="00AE6D4C">
            <w:pPr>
              <w:pStyle w:val="ListBullet"/>
            </w:pPr>
            <w:r w:rsidRPr="00AE6D4C">
              <w:t>industry pra</w:t>
            </w:r>
            <w:r w:rsidRPr="00AE6D4C">
              <w:t>ctice and experience</w:t>
            </w:r>
          </w:p>
          <w:p w:rsidR="00000000" w:rsidRPr="00AE6D4C" w:rsidP="00AE6D4C">
            <w:pPr>
              <w:pStyle w:val="ListBullet"/>
            </w:pPr>
            <w:r w:rsidRPr="00AE6D4C">
              <w:t>legislation</w:t>
            </w:r>
          </w:p>
          <w:p w:rsidR="00000000" w:rsidRPr="00AE6D4C" w:rsidP="00AE6D4C">
            <w:pPr>
              <w:pStyle w:val="ListBullet"/>
            </w:pPr>
            <w:r w:rsidRPr="00AE6D4C">
              <w:t>market research</w:t>
            </w:r>
          </w:p>
          <w:p w:rsidR="00000000" w:rsidRPr="00AE6D4C" w:rsidP="00AE6D4C">
            <w:pPr>
              <w:pStyle w:val="ListBullet"/>
            </w:pPr>
            <w:r w:rsidRPr="00AE6D4C">
              <w:t>published literature</w:t>
            </w:r>
          </w:p>
          <w:p w:rsidR="00000000" w:rsidRPr="00AE6D4C" w:rsidP="00AE6D4C">
            <w:pPr>
              <w:pStyle w:val="ListBullet"/>
            </w:pPr>
            <w:r w:rsidRPr="00AE6D4C">
              <w:t>specialist or expert advice from:</w:t>
            </w:r>
          </w:p>
          <w:p w:rsidR="00000000" w:rsidRPr="00AE6D4C" w:rsidP="00AE6D4C">
            <w:pPr>
              <w:pStyle w:val="ListBullet2"/>
            </w:pPr>
            <w:r w:rsidRPr="00AE6D4C">
              <w:t>government agencies</w:t>
            </w:r>
          </w:p>
          <w:p w:rsidR="00000000" w:rsidP="00AE6D4C">
            <w:pPr>
              <w:pStyle w:val="ListBullet2"/>
              <w:rPr>
                <w:lang w:val="en-NZ"/>
              </w:rPr>
            </w:pPr>
            <w:r w:rsidRPr="00AE6D4C">
              <w:t>professional and industry associations.</w:t>
            </w:r>
          </w:p>
        </w:tc>
      </w:tr>
      <w:tr w:rsidTr="00C73D4F">
        <w:tblPrEx>
          <w:tblW w:w="0" w:type="auto"/>
          <w:tblLayout w:type="fixed"/>
          <w:tblCellMar>
            <w:left w:w="62" w:type="dxa"/>
            <w:right w:w="62" w:type="dxa"/>
          </w:tblCellMar>
          <w:tblLook w:val="0000"/>
        </w:tblPrEx>
        <w:tc>
          <w:tcPr>
            <w:tcW w:w="2786" w:type="dxa"/>
            <w:tcBorders>
              <w:top w:val="nil"/>
              <w:left w:val="nil"/>
              <w:bottom w:val="nil"/>
              <w:right w:val="nil"/>
            </w:tcBorders>
            <w:tcMar>
              <w:top w:w="0" w:type="dxa"/>
              <w:left w:w="62" w:type="dxa"/>
              <w:bottom w:w="0" w:type="dxa"/>
              <w:right w:w="62" w:type="dxa"/>
            </w:tcMar>
          </w:tcPr>
          <w:p w:rsidR="00000000" w:rsidP="00AE6D4C">
            <w:pPr>
              <w:pStyle w:val="BodyText"/>
              <w:rPr>
                <w:lang w:val="en-NZ"/>
              </w:rPr>
            </w:pPr>
            <w:r w:rsidRPr="00AE6D4C">
              <w:rPr>
                <w:rStyle w:val="BoldandItalics"/>
              </w:rPr>
              <w:t>Tools for identification</w:t>
            </w:r>
            <w:r w:rsidRPr="00AE6D4C">
              <w:t xml:space="preserve"> may include:</w:t>
            </w:r>
          </w:p>
        </w:tc>
        <w:tc>
          <w:tcPr>
            <w:tcW w:w="5962" w:type="dxa"/>
            <w:tcBorders>
              <w:top w:val="nil"/>
              <w:left w:val="nil"/>
              <w:bottom w:val="nil"/>
              <w:right w:val="nil"/>
            </w:tcBorders>
            <w:tcMar>
              <w:top w:w="0" w:type="dxa"/>
              <w:left w:w="62" w:type="dxa"/>
              <w:bottom w:w="0" w:type="dxa"/>
              <w:right w:w="62" w:type="dxa"/>
            </w:tcMar>
          </w:tcPr>
          <w:p w:rsidR="00000000" w:rsidRPr="00AE6D4C" w:rsidP="00AE6D4C">
            <w:pPr>
              <w:pStyle w:val="ListBullet"/>
            </w:pPr>
            <w:r w:rsidRPr="00AE6D4C">
              <w:t>documentation to assist in the process of identifying risks and assessing impact and likelihood of occurrence</w:t>
            </w:r>
          </w:p>
          <w:p w:rsidR="00000000" w:rsidRPr="00AE6D4C" w:rsidP="00AE6D4C">
            <w:pPr>
              <w:pStyle w:val="ListBullet"/>
            </w:pPr>
            <w:r w:rsidRPr="00AE6D4C">
              <w:t>standard instruments developed for the agency and contextualised for sections of the workplace's operations, such as checklists and testing proced</w:t>
            </w:r>
            <w:r w:rsidRPr="00AE6D4C">
              <w:t>ures</w:t>
            </w:r>
          </w:p>
          <w:p w:rsidR="00000000" w:rsidP="00AE6D4C">
            <w:pPr>
              <w:pStyle w:val="ListBullet"/>
              <w:rPr>
                <w:lang w:val="en-NZ"/>
              </w:rPr>
            </w:pPr>
            <w:r w:rsidRPr="00AE6D4C">
              <w:t>tools to prioritise risks, including where relevant, numerical scoring systems for risks.</w:t>
            </w:r>
          </w:p>
        </w:tc>
      </w:tr>
      <w:tr w:rsidTr="00C73D4F">
        <w:tblPrEx>
          <w:tblW w:w="0" w:type="auto"/>
          <w:tblLayout w:type="fixed"/>
          <w:tblCellMar>
            <w:left w:w="62" w:type="dxa"/>
            <w:right w:w="62" w:type="dxa"/>
          </w:tblCellMar>
          <w:tblLook w:val="0000"/>
        </w:tblPrEx>
        <w:tc>
          <w:tcPr>
            <w:tcW w:w="2786" w:type="dxa"/>
            <w:tcBorders>
              <w:top w:val="nil"/>
              <w:left w:val="nil"/>
              <w:bottom w:val="nil"/>
              <w:right w:val="nil"/>
            </w:tcBorders>
            <w:tcMar>
              <w:top w:w="0" w:type="dxa"/>
              <w:left w:w="62" w:type="dxa"/>
              <w:bottom w:w="0" w:type="dxa"/>
              <w:right w:w="62" w:type="dxa"/>
            </w:tcMar>
          </w:tcPr>
          <w:p w:rsidR="00000000" w:rsidP="00AE6D4C">
            <w:pPr>
              <w:pStyle w:val="BodyText"/>
              <w:rPr>
                <w:lang w:val="en-NZ"/>
              </w:rPr>
            </w:pPr>
            <w:r w:rsidRPr="00AE6D4C">
              <w:rPr>
                <w:rStyle w:val="BoldandItalics"/>
              </w:rPr>
              <w:t>Actual and potential risks</w:t>
            </w:r>
            <w:r w:rsidRPr="00AE6D4C">
              <w:t xml:space="preserve"> may relate to:</w:t>
            </w:r>
          </w:p>
        </w:tc>
        <w:tc>
          <w:tcPr>
            <w:tcW w:w="5962" w:type="dxa"/>
            <w:tcBorders>
              <w:top w:val="nil"/>
              <w:left w:val="nil"/>
              <w:bottom w:val="nil"/>
              <w:right w:val="nil"/>
            </w:tcBorders>
            <w:tcMar>
              <w:top w:w="0" w:type="dxa"/>
              <w:left w:w="62" w:type="dxa"/>
              <w:bottom w:w="0" w:type="dxa"/>
              <w:right w:w="62" w:type="dxa"/>
            </w:tcMar>
          </w:tcPr>
          <w:p w:rsidR="00000000" w:rsidRPr="00AE6D4C" w:rsidP="00AE6D4C">
            <w:pPr>
              <w:pStyle w:val="ListBullet"/>
            </w:pPr>
            <w:r w:rsidRPr="00AE6D4C">
              <w:t>administrative and business systems, policies and practices</w:t>
            </w:r>
          </w:p>
          <w:p w:rsidR="00000000" w:rsidRPr="00AE6D4C" w:rsidP="00AE6D4C">
            <w:pPr>
              <w:pStyle w:val="ListBullet"/>
            </w:pPr>
            <w:r w:rsidRPr="00AE6D4C">
              <w:t>commercial and legal relationships between the agency, consumers and other organisations, such as buyers, sellers, employees, landlords, tenants, subcontractors, developers and suppliers</w:t>
            </w:r>
          </w:p>
          <w:p w:rsidR="00000000" w:rsidRPr="00AE6D4C" w:rsidP="00AE6D4C">
            <w:pPr>
              <w:pStyle w:val="ListBullet"/>
            </w:pPr>
            <w:r w:rsidRPr="00AE6D4C">
              <w:t>consumer risk</w:t>
            </w:r>
          </w:p>
          <w:p w:rsidR="00000000" w:rsidRPr="00AE6D4C" w:rsidP="00AE6D4C">
            <w:pPr>
              <w:pStyle w:val="ListBullet"/>
            </w:pPr>
            <w:r w:rsidRPr="00AE6D4C">
              <w:t>economic and financial circumstances</w:t>
            </w:r>
          </w:p>
          <w:p w:rsidR="00000000" w:rsidRPr="00AE6D4C" w:rsidP="00AE6D4C">
            <w:pPr>
              <w:pStyle w:val="ListBullet"/>
            </w:pPr>
            <w:r w:rsidRPr="00AE6D4C">
              <w:t>individual actions</w:t>
            </w:r>
            <w:r w:rsidRPr="00AE6D4C">
              <w:t>, such as discrimination and ineffective communication</w:t>
            </w:r>
          </w:p>
          <w:p w:rsidR="00000000" w:rsidRPr="00AE6D4C" w:rsidP="00AE6D4C">
            <w:pPr>
              <w:pStyle w:val="ListBullet"/>
            </w:pPr>
            <w:r w:rsidRPr="00AE6D4C">
              <w:t>management activities and controls</w:t>
            </w:r>
          </w:p>
          <w:p w:rsidR="00000000" w:rsidRPr="00AE6D4C" w:rsidP="00AE6D4C">
            <w:pPr>
              <w:pStyle w:val="ListBullet"/>
            </w:pPr>
            <w:r w:rsidRPr="00AE6D4C">
              <w:t>natural events</w:t>
            </w:r>
          </w:p>
          <w:p w:rsidR="00000000" w:rsidRPr="00AE6D4C" w:rsidP="00AE6D4C">
            <w:pPr>
              <w:pStyle w:val="ListBullet"/>
            </w:pPr>
            <w:r w:rsidRPr="00AE6D4C">
              <w:t>non-compliance with legislative and regulatory requirements, such as:</w:t>
            </w:r>
          </w:p>
          <w:p w:rsidR="00000000" w:rsidRPr="00AE6D4C" w:rsidP="00AE6D4C">
            <w:pPr>
              <w:pStyle w:val="ListBullet2"/>
            </w:pPr>
            <w:r w:rsidRPr="00AE6D4C">
              <w:t>consumer protection</w:t>
            </w:r>
          </w:p>
          <w:p w:rsidR="00000000" w:rsidRPr="00AE6D4C" w:rsidP="00AE6D4C">
            <w:pPr>
              <w:pStyle w:val="ListBullet2"/>
            </w:pPr>
            <w:r w:rsidRPr="00AE6D4C">
              <w:t>OHS</w:t>
            </w:r>
          </w:p>
          <w:p w:rsidR="00000000" w:rsidRPr="00AE6D4C" w:rsidP="00AE6D4C">
            <w:pPr>
              <w:pStyle w:val="ListBullet2"/>
            </w:pPr>
            <w:r w:rsidRPr="00AE6D4C">
              <w:t>trade practices</w:t>
            </w:r>
          </w:p>
          <w:p w:rsidR="00000000" w:rsidRPr="00AE6D4C" w:rsidP="00AE6D4C">
            <w:pPr>
              <w:pStyle w:val="ListBullet"/>
            </w:pPr>
            <w:r w:rsidRPr="00AE6D4C">
              <w:t>non-compliance with quality systems, such as:</w:t>
            </w:r>
          </w:p>
          <w:p w:rsidR="00000000" w:rsidRPr="00AE6D4C" w:rsidP="00AE6D4C">
            <w:pPr>
              <w:pStyle w:val="ListBullet2"/>
            </w:pPr>
            <w:r w:rsidRPr="00AE6D4C">
              <w:t>enterprise</w:t>
            </w:r>
          </w:p>
          <w:p w:rsidR="00000000" w:rsidRPr="00AE6D4C" w:rsidP="00AE6D4C">
            <w:pPr>
              <w:pStyle w:val="ListBullet2"/>
            </w:pPr>
            <w:r w:rsidRPr="00AE6D4C">
              <w:t>franchise</w:t>
            </w:r>
          </w:p>
          <w:p w:rsidR="00000000" w:rsidRPr="00AE6D4C" w:rsidP="00AE6D4C">
            <w:pPr>
              <w:pStyle w:val="ListBullet2"/>
            </w:pPr>
            <w:r w:rsidRPr="00AE6D4C">
              <w:t>International Standards Organisation (ISO)</w:t>
            </w:r>
          </w:p>
          <w:p w:rsidR="00000000" w:rsidRPr="00AE6D4C" w:rsidP="00AE6D4C">
            <w:pPr>
              <w:pStyle w:val="ListBullet"/>
            </w:pPr>
            <w:r w:rsidRPr="00AE6D4C">
              <w:t>OHS</w:t>
            </w:r>
          </w:p>
          <w:p w:rsidR="00000000" w:rsidP="00AE6D4C">
            <w:pPr>
              <w:pStyle w:val="ListBullet"/>
              <w:rPr>
                <w:lang w:val="en-NZ"/>
              </w:rPr>
            </w:pPr>
            <w:r w:rsidRPr="00AE6D4C">
              <w:t>physical and personal security</w:t>
            </w:r>
          </w:p>
        </w:tc>
      </w:tr>
      <w:tr w:rsidTr="00C73D4F">
        <w:tblPrEx>
          <w:tblW w:w="0" w:type="auto"/>
          <w:tblLayout w:type="fixed"/>
          <w:tblCellMar>
            <w:left w:w="62" w:type="dxa"/>
            <w:right w:w="62" w:type="dxa"/>
          </w:tblCellMar>
          <w:tblLook w:val="0000"/>
        </w:tblPrEx>
        <w:tc>
          <w:tcPr>
            <w:tcW w:w="2786" w:type="dxa"/>
            <w:tcBorders>
              <w:top w:val="nil"/>
              <w:left w:val="nil"/>
              <w:bottom w:val="nil"/>
              <w:right w:val="nil"/>
            </w:tcBorders>
            <w:tcMar>
              <w:top w:w="0" w:type="dxa"/>
              <w:left w:w="62" w:type="dxa"/>
              <w:bottom w:w="0" w:type="dxa"/>
              <w:right w:w="62" w:type="dxa"/>
            </w:tcMar>
          </w:tcPr>
          <w:p w:rsidR="00000000" w:rsidP="00AE6D4C">
            <w:pPr>
              <w:pStyle w:val="BodyText"/>
              <w:rPr>
                <w:lang w:val="en-NZ"/>
              </w:rPr>
            </w:pPr>
          </w:p>
        </w:tc>
        <w:tc>
          <w:tcPr>
            <w:tcW w:w="5962" w:type="dxa"/>
            <w:tcBorders>
              <w:top w:val="nil"/>
              <w:left w:val="nil"/>
              <w:bottom w:val="nil"/>
              <w:right w:val="nil"/>
            </w:tcBorders>
            <w:tcMar>
              <w:top w:w="0" w:type="dxa"/>
              <w:left w:w="62" w:type="dxa"/>
              <w:bottom w:w="0" w:type="dxa"/>
              <w:right w:w="62" w:type="dxa"/>
            </w:tcMar>
          </w:tcPr>
          <w:p w:rsidR="00000000" w:rsidRPr="00AE6D4C" w:rsidP="00AE6D4C">
            <w:pPr>
              <w:pStyle w:val="ListBullet"/>
            </w:pPr>
            <w:r w:rsidRPr="00AE6D4C">
              <w:t xml:space="preserve">political circumstances, such as legislative change </w:t>
            </w:r>
          </w:p>
          <w:p w:rsidR="00000000" w:rsidRPr="00AE6D4C" w:rsidP="00AE6D4C">
            <w:pPr>
              <w:pStyle w:val="ListBullet"/>
            </w:pPr>
            <w:r w:rsidRPr="00AE6D4C">
              <w:t>property ownership, including intellectual property</w:t>
            </w:r>
          </w:p>
          <w:p w:rsidR="00000000" w:rsidP="00AE6D4C">
            <w:pPr>
              <w:pStyle w:val="ListBullet"/>
              <w:rPr>
                <w:lang w:val="en-NZ"/>
              </w:rPr>
            </w:pPr>
            <w:r w:rsidRPr="00AE6D4C">
              <w:t>technological and technical issues, both internal and external to the agency, such as loss of data.</w:t>
            </w:r>
          </w:p>
        </w:tc>
      </w:tr>
      <w:tr w:rsidTr="00C73D4F">
        <w:tblPrEx>
          <w:tblW w:w="0" w:type="auto"/>
          <w:tblLayout w:type="fixed"/>
          <w:tblCellMar>
            <w:left w:w="62" w:type="dxa"/>
            <w:right w:w="62" w:type="dxa"/>
          </w:tblCellMar>
          <w:tblLook w:val="0000"/>
        </w:tblPrEx>
        <w:tc>
          <w:tcPr>
            <w:tcW w:w="2786" w:type="dxa"/>
            <w:tcBorders>
              <w:top w:val="nil"/>
              <w:left w:val="nil"/>
              <w:bottom w:val="nil"/>
              <w:right w:val="nil"/>
            </w:tcBorders>
            <w:tcMar>
              <w:top w:w="0" w:type="dxa"/>
              <w:left w:w="62" w:type="dxa"/>
              <w:bottom w:w="0" w:type="dxa"/>
              <w:right w:w="62" w:type="dxa"/>
            </w:tcMar>
          </w:tcPr>
          <w:p w:rsidR="00000000" w:rsidP="00AE6D4C">
            <w:pPr>
              <w:pStyle w:val="BodyText"/>
              <w:rPr>
                <w:lang w:val="en-NZ"/>
              </w:rPr>
            </w:pPr>
            <w:r w:rsidRPr="00AE6D4C">
              <w:rPr>
                <w:rStyle w:val="BoldandItalics"/>
              </w:rPr>
              <w:t>Agency</w:t>
            </w:r>
            <w:r w:rsidRPr="00AE6D4C">
              <w:t xml:space="preserve">, </w:t>
            </w:r>
            <w:r w:rsidRPr="00AE6D4C">
              <w:rPr>
                <w:rStyle w:val="BoldandItalics"/>
              </w:rPr>
              <w:t>clients and other stakeholders</w:t>
            </w:r>
            <w:r w:rsidRPr="00AE6D4C">
              <w:t xml:space="preserve"> may include:</w:t>
            </w:r>
          </w:p>
        </w:tc>
        <w:tc>
          <w:tcPr>
            <w:tcW w:w="5962" w:type="dxa"/>
            <w:tcBorders>
              <w:top w:val="nil"/>
              <w:left w:val="nil"/>
              <w:bottom w:val="nil"/>
              <w:right w:val="nil"/>
            </w:tcBorders>
            <w:tcMar>
              <w:top w:w="0" w:type="dxa"/>
              <w:left w:w="62" w:type="dxa"/>
              <w:bottom w:w="0" w:type="dxa"/>
              <w:right w:w="62" w:type="dxa"/>
            </w:tcMar>
          </w:tcPr>
          <w:p w:rsidR="00000000" w:rsidRPr="00AE6D4C" w:rsidP="00AE6D4C">
            <w:pPr>
              <w:pStyle w:val="ListBullet"/>
            </w:pPr>
            <w:r w:rsidRPr="00AE6D4C">
              <w:t>consumers and clients</w:t>
            </w:r>
          </w:p>
          <w:p w:rsidR="00000000" w:rsidRPr="00AE6D4C" w:rsidP="00AE6D4C">
            <w:pPr>
              <w:pStyle w:val="ListBullet"/>
            </w:pPr>
            <w:r w:rsidRPr="00AE6D4C">
              <w:t>co-owners</w:t>
            </w:r>
          </w:p>
          <w:p w:rsidR="00000000" w:rsidRPr="00AE6D4C" w:rsidP="00AE6D4C">
            <w:pPr>
              <w:pStyle w:val="ListBullet"/>
            </w:pPr>
            <w:r w:rsidRPr="00AE6D4C">
              <w:t>financial institutions with an interest in the agency</w:t>
            </w:r>
          </w:p>
          <w:p w:rsidR="00000000" w:rsidRPr="00AE6D4C" w:rsidP="00AE6D4C">
            <w:pPr>
              <w:pStyle w:val="ListBullet"/>
            </w:pPr>
            <w:r w:rsidRPr="00AE6D4C">
              <w:t>principal</w:t>
            </w:r>
          </w:p>
          <w:p w:rsidR="00000000" w:rsidP="00AE6D4C">
            <w:pPr>
              <w:pStyle w:val="ListBullet"/>
              <w:rPr>
                <w:lang w:val="en-NZ"/>
              </w:rPr>
            </w:pPr>
            <w:r w:rsidRPr="00AE6D4C">
              <w:t xml:space="preserve">staff </w:t>
            </w:r>
            <w:r w:rsidRPr="00AE6D4C">
              <w:t>and others to whom a duty of care is owed.</w:t>
            </w:r>
          </w:p>
        </w:tc>
      </w:tr>
      <w:tr w:rsidTr="00C73D4F">
        <w:tblPrEx>
          <w:tblW w:w="0" w:type="auto"/>
          <w:tblLayout w:type="fixed"/>
          <w:tblCellMar>
            <w:left w:w="62" w:type="dxa"/>
            <w:right w:w="62" w:type="dxa"/>
          </w:tblCellMar>
          <w:tblLook w:val="0000"/>
        </w:tblPrEx>
        <w:tc>
          <w:tcPr>
            <w:tcW w:w="2786" w:type="dxa"/>
            <w:tcBorders>
              <w:top w:val="nil"/>
              <w:left w:val="nil"/>
              <w:bottom w:val="nil"/>
              <w:right w:val="nil"/>
            </w:tcBorders>
            <w:tcMar>
              <w:top w:w="0" w:type="dxa"/>
              <w:left w:w="62" w:type="dxa"/>
              <w:bottom w:w="0" w:type="dxa"/>
              <w:right w:w="62" w:type="dxa"/>
            </w:tcMar>
          </w:tcPr>
          <w:p w:rsidR="00000000" w:rsidP="00AE6D4C">
            <w:pPr>
              <w:pStyle w:val="BodyText"/>
              <w:rPr>
                <w:lang w:val="en-NZ"/>
              </w:rPr>
            </w:pPr>
            <w:r w:rsidRPr="00AE6D4C">
              <w:rPr>
                <w:rStyle w:val="BoldandItalics"/>
              </w:rPr>
              <w:t>Agency representations and information provided by clients</w:t>
            </w:r>
            <w:r w:rsidRPr="00AE6D4C">
              <w:t xml:space="preserve"> may refer to:</w:t>
            </w:r>
          </w:p>
        </w:tc>
        <w:tc>
          <w:tcPr>
            <w:tcW w:w="5962" w:type="dxa"/>
            <w:tcBorders>
              <w:top w:val="nil"/>
              <w:left w:val="nil"/>
              <w:bottom w:val="nil"/>
              <w:right w:val="nil"/>
            </w:tcBorders>
            <w:tcMar>
              <w:top w:w="0" w:type="dxa"/>
              <w:left w:w="62" w:type="dxa"/>
              <w:bottom w:w="0" w:type="dxa"/>
              <w:right w:w="62" w:type="dxa"/>
            </w:tcMar>
          </w:tcPr>
          <w:p w:rsidR="00000000" w:rsidRPr="00AE6D4C" w:rsidP="00AE6D4C">
            <w:pPr>
              <w:pStyle w:val="ListBullet"/>
            </w:pPr>
            <w:r w:rsidRPr="00AE6D4C">
              <w:t>anticipated income and expenditure</w:t>
            </w:r>
          </w:p>
          <w:p w:rsidR="00000000" w:rsidRPr="00AE6D4C" w:rsidP="00AE6D4C">
            <w:pPr>
              <w:pStyle w:val="ListBullet"/>
            </w:pPr>
            <w:r w:rsidRPr="00AE6D4C">
              <w:t>bankruptcy</w:t>
            </w:r>
          </w:p>
          <w:p w:rsidR="00000000" w:rsidRPr="00AE6D4C" w:rsidP="00AE6D4C">
            <w:pPr>
              <w:pStyle w:val="ListBullet"/>
            </w:pPr>
            <w:r w:rsidRPr="00AE6D4C">
              <w:t>business status and ownership</w:t>
            </w:r>
          </w:p>
          <w:p w:rsidR="00000000" w:rsidRPr="00AE6D4C" w:rsidP="00AE6D4C">
            <w:pPr>
              <w:pStyle w:val="ListBullet"/>
            </w:pPr>
            <w:r w:rsidRPr="00AE6D4C">
              <w:t>compliance with legislative and regulatory requirements</w:t>
            </w:r>
          </w:p>
          <w:p w:rsidR="00000000" w:rsidRPr="00AE6D4C" w:rsidP="00AE6D4C">
            <w:pPr>
              <w:pStyle w:val="ListBullet"/>
            </w:pPr>
            <w:r w:rsidRPr="00AE6D4C">
              <w:t>condition of property</w:t>
            </w:r>
          </w:p>
          <w:p w:rsidR="00000000" w:rsidRPr="00AE6D4C" w:rsidP="00AE6D4C">
            <w:pPr>
              <w:pStyle w:val="ListBullet"/>
            </w:pPr>
            <w:r w:rsidRPr="00AE6D4C">
              <w:t>covenants</w:t>
            </w:r>
          </w:p>
          <w:p w:rsidR="00000000" w:rsidRPr="00AE6D4C" w:rsidP="00AE6D4C">
            <w:pPr>
              <w:pStyle w:val="ListBullet"/>
            </w:pPr>
            <w:r w:rsidRPr="00AE6D4C">
              <w:t>customer base</w:t>
            </w:r>
          </w:p>
          <w:p w:rsidR="00000000" w:rsidRPr="00AE6D4C" w:rsidP="00AE6D4C">
            <w:pPr>
              <w:pStyle w:val="ListBullet"/>
            </w:pPr>
            <w:r w:rsidRPr="00AE6D4C">
              <w:t>easements</w:t>
            </w:r>
          </w:p>
          <w:p w:rsidR="00000000" w:rsidRPr="00AE6D4C" w:rsidP="00AE6D4C">
            <w:pPr>
              <w:pStyle w:val="ListBullet"/>
            </w:pPr>
            <w:r w:rsidRPr="00AE6D4C">
              <w:t>family law matters</w:t>
            </w:r>
          </w:p>
          <w:p w:rsidR="00000000" w:rsidRPr="00AE6D4C" w:rsidP="00AE6D4C">
            <w:pPr>
              <w:pStyle w:val="ListBullet"/>
            </w:pPr>
            <w:r w:rsidRPr="00AE6D4C">
              <w:t>financial records</w:t>
            </w:r>
          </w:p>
          <w:p w:rsidR="00000000" w:rsidRPr="00AE6D4C" w:rsidP="00AE6D4C">
            <w:pPr>
              <w:pStyle w:val="ListBullet"/>
            </w:pPr>
            <w:r w:rsidRPr="00AE6D4C">
              <w:t>insolvency</w:t>
            </w:r>
          </w:p>
          <w:p w:rsidR="00000000" w:rsidRPr="00AE6D4C" w:rsidP="00AE6D4C">
            <w:pPr>
              <w:pStyle w:val="ListBullet"/>
            </w:pPr>
            <w:r w:rsidRPr="00AE6D4C">
              <w:t>leases or tenancy agreements</w:t>
            </w:r>
          </w:p>
          <w:p w:rsidR="00000000" w:rsidRPr="00AE6D4C" w:rsidP="00AE6D4C">
            <w:pPr>
              <w:pStyle w:val="ListBullet"/>
            </w:pPr>
            <w:r w:rsidRPr="00AE6D4C">
              <w:t>legal action</w:t>
            </w:r>
          </w:p>
          <w:p w:rsidR="00000000" w:rsidRPr="00AE6D4C" w:rsidP="00AE6D4C">
            <w:pPr>
              <w:pStyle w:val="ListBullet"/>
            </w:pPr>
            <w:r w:rsidRPr="00AE6D4C">
              <w:t>licences</w:t>
            </w:r>
          </w:p>
          <w:p w:rsidR="00000000" w:rsidRPr="00AE6D4C" w:rsidP="00AE6D4C">
            <w:pPr>
              <w:pStyle w:val="ListBullet"/>
            </w:pPr>
            <w:r w:rsidRPr="00AE6D4C">
              <w:t>permits</w:t>
            </w:r>
          </w:p>
          <w:p w:rsidR="00000000" w:rsidRPr="00AE6D4C" w:rsidP="00AE6D4C">
            <w:pPr>
              <w:pStyle w:val="ListBullet"/>
            </w:pPr>
            <w:r w:rsidRPr="00AE6D4C">
              <w:t>property status and ownership</w:t>
            </w:r>
          </w:p>
          <w:p w:rsidR="00000000" w:rsidRPr="00AE6D4C" w:rsidP="00AE6D4C">
            <w:pPr>
              <w:pStyle w:val="ListBullet"/>
            </w:pPr>
            <w:r w:rsidRPr="00AE6D4C">
              <w:t>quotas</w:t>
            </w:r>
          </w:p>
          <w:p w:rsidR="00000000" w:rsidRPr="00AE6D4C" w:rsidP="00AE6D4C">
            <w:pPr>
              <w:pStyle w:val="ListBullet"/>
            </w:pPr>
            <w:r w:rsidRPr="00AE6D4C">
              <w:t>stock</w:t>
            </w:r>
          </w:p>
          <w:p w:rsidR="00000000" w:rsidP="00AE6D4C">
            <w:pPr>
              <w:pStyle w:val="ListBullet"/>
              <w:rPr>
                <w:lang w:val="en-NZ"/>
              </w:rPr>
            </w:pPr>
            <w:r w:rsidRPr="00AE6D4C">
              <w:t>value of property.</w:t>
            </w:r>
          </w:p>
        </w:tc>
      </w:tr>
      <w:tr w:rsidTr="00C73D4F">
        <w:tblPrEx>
          <w:tblW w:w="0" w:type="auto"/>
          <w:tblLayout w:type="fixed"/>
          <w:tblCellMar>
            <w:left w:w="62" w:type="dxa"/>
            <w:right w:w="62" w:type="dxa"/>
          </w:tblCellMar>
          <w:tblLook w:val="0000"/>
        </w:tblPrEx>
        <w:tc>
          <w:tcPr>
            <w:tcW w:w="2786" w:type="dxa"/>
            <w:tcBorders>
              <w:top w:val="nil"/>
              <w:left w:val="nil"/>
              <w:bottom w:val="nil"/>
              <w:right w:val="nil"/>
            </w:tcBorders>
            <w:tcMar>
              <w:top w:w="0" w:type="dxa"/>
              <w:left w:w="62" w:type="dxa"/>
              <w:bottom w:w="0" w:type="dxa"/>
              <w:right w:w="62" w:type="dxa"/>
            </w:tcMar>
          </w:tcPr>
          <w:p w:rsidR="00000000" w:rsidP="00AE6D4C">
            <w:pPr>
              <w:pStyle w:val="BodyText"/>
              <w:rPr>
                <w:lang w:val="en-NZ"/>
              </w:rPr>
            </w:pPr>
            <w:r w:rsidRPr="00AE6D4C">
              <w:rPr>
                <w:rStyle w:val="BoldandItalics"/>
              </w:rPr>
              <w:t>Causes of risks</w:t>
            </w:r>
            <w:r w:rsidRPr="00AE6D4C">
              <w:t xml:space="preserve"> may include:</w:t>
            </w:r>
          </w:p>
        </w:tc>
        <w:tc>
          <w:tcPr>
            <w:tcW w:w="5962" w:type="dxa"/>
            <w:tcBorders>
              <w:top w:val="nil"/>
              <w:left w:val="nil"/>
              <w:bottom w:val="nil"/>
              <w:right w:val="nil"/>
            </w:tcBorders>
            <w:tcMar>
              <w:top w:w="0" w:type="dxa"/>
              <w:left w:w="62" w:type="dxa"/>
              <w:bottom w:w="0" w:type="dxa"/>
              <w:right w:w="62" w:type="dxa"/>
            </w:tcMar>
          </w:tcPr>
          <w:p w:rsidR="00000000" w:rsidRPr="00AE6D4C" w:rsidP="00AE6D4C">
            <w:pPr>
              <w:pStyle w:val="ListBullet"/>
            </w:pPr>
            <w:r w:rsidRPr="00AE6D4C">
              <w:t>commercial and legal relationships</w:t>
            </w:r>
          </w:p>
          <w:p w:rsidR="00000000" w:rsidRPr="00AE6D4C" w:rsidP="00AE6D4C">
            <w:pPr>
              <w:pStyle w:val="ListBullet"/>
            </w:pPr>
            <w:r w:rsidRPr="00AE6D4C">
              <w:t>economic circumstances</w:t>
            </w:r>
          </w:p>
          <w:p w:rsidR="00000000" w:rsidRPr="00AE6D4C" w:rsidP="00AE6D4C">
            <w:pPr>
              <w:pStyle w:val="ListBullet"/>
            </w:pPr>
            <w:r w:rsidRPr="00AE6D4C">
              <w:t>human behaviour</w:t>
            </w:r>
          </w:p>
          <w:p w:rsidR="00000000" w:rsidRPr="00AE6D4C" w:rsidP="00AE6D4C">
            <w:pPr>
              <w:pStyle w:val="ListBullet"/>
            </w:pPr>
            <w:r w:rsidRPr="00AE6D4C">
              <w:t>inaccurate information provided by clients</w:t>
            </w:r>
          </w:p>
          <w:p w:rsidR="00000000" w:rsidRPr="00AE6D4C" w:rsidP="00AE6D4C">
            <w:pPr>
              <w:pStyle w:val="ListBullet"/>
            </w:pPr>
            <w:r w:rsidRPr="00AE6D4C">
              <w:t>individual activities</w:t>
            </w:r>
          </w:p>
          <w:p w:rsidR="00000000" w:rsidRPr="00AE6D4C" w:rsidP="00AE6D4C">
            <w:pPr>
              <w:pStyle w:val="ListBullet"/>
            </w:pPr>
            <w:r w:rsidRPr="00AE6D4C">
              <w:t>management activities and controls</w:t>
            </w:r>
          </w:p>
          <w:p w:rsidR="00000000" w:rsidRPr="00AE6D4C" w:rsidP="00AE6D4C">
            <w:pPr>
              <w:pStyle w:val="ListBullet"/>
            </w:pPr>
            <w:r w:rsidRPr="00AE6D4C">
              <w:t>natural events</w:t>
            </w:r>
          </w:p>
          <w:p w:rsidR="00000000" w:rsidRPr="00AE6D4C" w:rsidP="00AE6D4C">
            <w:pPr>
              <w:pStyle w:val="ListBullet"/>
            </w:pPr>
            <w:r w:rsidRPr="00AE6D4C">
              <w:t>political circumstances</w:t>
            </w:r>
          </w:p>
          <w:p w:rsidR="00000000" w:rsidP="00AE6D4C">
            <w:pPr>
              <w:pStyle w:val="ListBullet"/>
              <w:rPr>
                <w:lang w:val="en-NZ"/>
              </w:rPr>
            </w:pPr>
            <w:r w:rsidRPr="00AE6D4C">
              <w:t>technological issues.</w:t>
            </w:r>
          </w:p>
        </w:tc>
      </w:tr>
      <w:tr w:rsidTr="00C73D4F">
        <w:tblPrEx>
          <w:tblW w:w="0" w:type="auto"/>
          <w:tblLayout w:type="fixed"/>
          <w:tblCellMar>
            <w:left w:w="62" w:type="dxa"/>
            <w:right w:w="62" w:type="dxa"/>
          </w:tblCellMar>
          <w:tblLook w:val="0000"/>
        </w:tblPrEx>
        <w:tc>
          <w:tcPr>
            <w:tcW w:w="2786" w:type="dxa"/>
            <w:tcBorders>
              <w:top w:val="nil"/>
              <w:left w:val="nil"/>
              <w:bottom w:val="nil"/>
              <w:right w:val="nil"/>
            </w:tcBorders>
            <w:tcMar>
              <w:top w:w="0" w:type="dxa"/>
              <w:left w:w="62" w:type="dxa"/>
              <w:bottom w:w="0" w:type="dxa"/>
              <w:right w:w="62" w:type="dxa"/>
            </w:tcMar>
          </w:tcPr>
          <w:p w:rsidR="00000000" w:rsidP="00AE6D4C">
            <w:pPr>
              <w:pStyle w:val="BodyText"/>
              <w:rPr>
                <w:lang w:val="en-NZ"/>
              </w:rPr>
            </w:pPr>
            <w:r w:rsidRPr="00AE6D4C">
              <w:rPr>
                <w:rStyle w:val="BoldandItalics"/>
              </w:rPr>
              <w:t xml:space="preserve">Potential impact of </w:t>
            </w:r>
            <w:r w:rsidRPr="00AE6D4C">
              <w:rPr>
                <w:rStyle w:val="BoldandItalics"/>
              </w:rPr>
              <w:t>risks</w:t>
            </w:r>
            <w:r w:rsidRPr="00AE6D4C">
              <w:t xml:space="preserve"> may adversely affect:</w:t>
            </w:r>
          </w:p>
        </w:tc>
        <w:tc>
          <w:tcPr>
            <w:tcW w:w="5962" w:type="dxa"/>
            <w:tcBorders>
              <w:top w:val="nil"/>
              <w:left w:val="nil"/>
              <w:bottom w:val="nil"/>
              <w:right w:val="nil"/>
            </w:tcBorders>
            <w:tcMar>
              <w:top w:w="0" w:type="dxa"/>
              <w:left w:w="62" w:type="dxa"/>
              <w:bottom w:w="0" w:type="dxa"/>
              <w:right w:w="62" w:type="dxa"/>
            </w:tcMar>
          </w:tcPr>
          <w:p w:rsidR="00000000" w:rsidRPr="00AE6D4C" w:rsidP="00AE6D4C">
            <w:pPr>
              <w:pStyle w:val="ListBullet"/>
            </w:pPr>
            <w:r w:rsidRPr="00AE6D4C">
              <w:t>capital reserves</w:t>
            </w:r>
          </w:p>
          <w:p w:rsidR="00000000" w:rsidRPr="00AE6D4C" w:rsidP="00AE6D4C">
            <w:pPr>
              <w:pStyle w:val="ListBullet"/>
            </w:pPr>
            <w:r w:rsidRPr="00AE6D4C">
              <w:t>cash flow viability and resulting liquidity</w:t>
            </w:r>
          </w:p>
          <w:p w:rsidR="00000000" w:rsidRPr="00AE6D4C" w:rsidP="00AE6D4C">
            <w:pPr>
              <w:pStyle w:val="ListBullet"/>
            </w:pPr>
            <w:r w:rsidRPr="00AE6D4C">
              <w:t>goodwill value</w:t>
            </w:r>
          </w:p>
          <w:p w:rsidR="00000000" w:rsidRPr="00AE6D4C" w:rsidP="00AE6D4C">
            <w:pPr>
              <w:pStyle w:val="ListBullet"/>
            </w:pPr>
            <w:r w:rsidRPr="00AE6D4C">
              <w:t>nett worth of the business</w:t>
            </w:r>
          </w:p>
          <w:p w:rsidR="00000000" w:rsidP="00AE6D4C">
            <w:pPr>
              <w:pStyle w:val="ListBullet"/>
              <w:rPr>
                <w:lang w:val="en-NZ"/>
              </w:rPr>
            </w:pPr>
            <w:r w:rsidRPr="00AE6D4C">
              <w:t>return on investment.</w:t>
            </w:r>
          </w:p>
        </w:tc>
      </w:tr>
      <w:tr w:rsidTr="00C73D4F">
        <w:tblPrEx>
          <w:tblW w:w="0" w:type="auto"/>
          <w:tblLayout w:type="fixed"/>
          <w:tblCellMar>
            <w:left w:w="62" w:type="dxa"/>
            <w:right w:w="62" w:type="dxa"/>
          </w:tblCellMar>
          <w:tblLook w:val="0000"/>
        </w:tblPrEx>
        <w:tc>
          <w:tcPr>
            <w:tcW w:w="2786" w:type="dxa"/>
            <w:tcBorders>
              <w:top w:val="nil"/>
              <w:left w:val="nil"/>
              <w:bottom w:val="nil"/>
              <w:right w:val="nil"/>
            </w:tcBorders>
            <w:tcMar>
              <w:top w:w="0" w:type="dxa"/>
              <w:left w:w="62" w:type="dxa"/>
              <w:bottom w:w="0" w:type="dxa"/>
              <w:right w:w="62" w:type="dxa"/>
            </w:tcMar>
          </w:tcPr>
          <w:p w:rsidR="00000000" w:rsidP="00AE6D4C">
            <w:pPr>
              <w:pStyle w:val="BodyText"/>
              <w:rPr>
                <w:lang w:val="en-NZ"/>
              </w:rPr>
            </w:pPr>
            <w:r w:rsidRPr="00AE6D4C">
              <w:rPr>
                <w:rStyle w:val="BoldandItalics"/>
              </w:rPr>
              <w:t>Consequences</w:t>
            </w:r>
            <w:r w:rsidRPr="00AE6D4C">
              <w:t xml:space="preserve">, </w:t>
            </w:r>
            <w:r w:rsidRPr="00AE6D4C">
              <w:rPr>
                <w:rStyle w:val="BoldandItalics"/>
              </w:rPr>
              <w:t>likelihood and severity of risks</w:t>
            </w:r>
            <w:r w:rsidRPr="00AE6D4C">
              <w:t xml:space="preserve"> may refer to:</w:t>
            </w:r>
          </w:p>
        </w:tc>
        <w:tc>
          <w:tcPr>
            <w:tcW w:w="5962" w:type="dxa"/>
            <w:tcBorders>
              <w:top w:val="nil"/>
              <w:left w:val="nil"/>
              <w:bottom w:val="nil"/>
              <w:right w:val="nil"/>
            </w:tcBorders>
            <w:tcMar>
              <w:top w:w="0" w:type="dxa"/>
              <w:left w:w="62" w:type="dxa"/>
              <w:bottom w:w="0" w:type="dxa"/>
              <w:right w:w="62" w:type="dxa"/>
            </w:tcMar>
          </w:tcPr>
          <w:p w:rsidR="00000000" w:rsidRPr="00AE6D4C" w:rsidP="00AE6D4C">
            <w:pPr>
              <w:pStyle w:val="ListBullet"/>
            </w:pPr>
            <w:r w:rsidRPr="00AE6D4C">
              <w:t>consequences - extreme, very high, medium, low and negligible</w:t>
            </w:r>
          </w:p>
          <w:p w:rsidR="00000000" w:rsidRPr="00AE6D4C" w:rsidP="00AE6D4C">
            <w:pPr>
              <w:pStyle w:val="ListBullet"/>
            </w:pPr>
            <w:r w:rsidRPr="00AE6D4C">
              <w:t>likelihood - almost certain, likely, moderate, unlikely and rare</w:t>
            </w:r>
          </w:p>
          <w:p w:rsidR="00000000" w:rsidP="00AE6D4C">
            <w:pPr>
              <w:pStyle w:val="ListBullet"/>
              <w:rPr>
                <w:lang w:val="en-NZ"/>
              </w:rPr>
            </w:pPr>
            <w:r w:rsidRPr="00AE6D4C">
              <w:t>severity - severe, high, major, significant, moderate and trivial.</w:t>
            </w:r>
          </w:p>
        </w:tc>
      </w:tr>
      <w:tr w:rsidTr="00C73D4F">
        <w:tblPrEx>
          <w:tblW w:w="0" w:type="auto"/>
          <w:tblLayout w:type="fixed"/>
          <w:tblCellMar>
            <w:left w:w="62" w:type="dxa"/>
            <w:right w:w="62" w:type="dxa"/>
          </w:tblCellMar>
          <w:tblLook w:val="0000"/>
        </w:tblPrEx>
        <w:tc>
          <w:tcPr>
            <w:tcW w:w="2786" w:type="dxa"/>
            <w:tcBorders>
              <w:top w:val="nil"/>
              <w:left w:val="nil"/>
              <w:bottom w:val="nil"/>
              <w:right w:val="nil"/>
            </w:tcBorders>
            <w:tcMar>
              <w:top w:w="0" w:type="dxa"/>
              <w:left w:w="62" w:type="dxa"/>
              <w:bottom w:w="0" w:type="dxa"/>
              <w:right w:w="62" w:type="dxa"/>
            </w:tcMar>
          </w:tcPr>
          <w:p w:rsidR="00000000" w:rsidP="00AE6D4C">
            <w:pPr>
              <w:pStyle w:val="BodyText"/>
              <w:rPr>
                <w:lang w:val="en-NZ"/>
              </w:rPr>
            </w:pPr>
            <w:r w:rsidRPr="00AE6D4C">
              <w:rPr>
                <w:rStyle w:val="BoldandItalics"/>
              </w:rPr>
              <w:t>Risk categorisation</w:t>
            </w:r>
            <w:r w:rsidRPr="00AE6D4C">
              <w:t xml:space="preserve"> may refer to:</w:t>
            </w:r>
          </w:p>
        </w:tc>
        <w:tc>
          <w:tcPr>
            <w:tcW w:w="5962" w:type="dxa"/>
            <w:tcBorders>
              <w:top w:val="nil"/>
              <w:left w:val="nil"/>
              <w:bottom w:val="nil"/>
              <w:right w:val="nil"/>
            </w:tcBorders>
            <w:tcMar>
              <w:top w:w="0" w:type="dxa"/>
              <w:left w:w="62" w:type="dxa"/>
              <w:bottom w:w="0" w:type="dxa"/>
              <w:right w:w="62" w:type="dxa"/>
            </w:tcMar>
          </w:tcPr>
          <w:p w:rsidR="00000000" w:rsidRPr="00AE6D4C" w:rsidP="00AE6D4C">
            <w:pPr>
              <w:pStyle w:val="ListBullet"/>
            </w:pPr>
            <w:r w:rsidRPr="00AE6D4C">
              <w:t>administration - misrepres</w:t>
            </w:r>
            <w:r w:rsidRPr="00AE6D4C">
              <w:t>entation, personal injury and misappropriation</w:t>
            </w:r>
          </w:p>
          <w:p w:rsidR="00000000" w:rsidRPr="00AE6D4C" w:rsidP="00AE6D4C">
            <w:pPr>
              <w:pStyle w:val="ListBullet"/>
            </w:pPr>
            <w:r w:rsidRPr="00AE6D4C">
              <w:t>commercial sales and leasing - miscalculating rentable floor space and exclusivity of business (retail)</w:t>
            </w:r>
          </w:p>
          <w:p w:rsidR="00000000" w:rsidRPr="00AE6D4C" w:rsidP="00AE6D4C">
            <w:pPr>
              <w:pStyle w:val="ListBullet"/>
            </w:pPr>
            <w:r w:rsidRPr="00AE6D4C">
              <w:t>property management - maintenance, consumer protection and discrimination</w:t>
            </w:r>
          </w:p>
          <w:p w:rsidR="00000000" w:rsidP="00AE6D4C">
            <w:pPr>
              <w:pStyle w:val="ListBullet"/>
              <w:rPr>
                <w:lang w:val="en-NZ"/>
              </w:rPr>
            </w:pPr>
            <w:r w:rsidRPr="00AE6D4C">
              <w:t>property sales - incorrect disp</w:t>
            </w:r>
            <w:r w:rsidRPr="00AE6D4C">
              <w:t>osal of chattels, code of ethics and conduct, loss of documents, trade practices, consumer protection, unauthorised disclosure, and sale of goods under warrant of execution.</w:t>
            </w:r>
          </w:p>
        </w:tc>
      </w:tr>
      <w:tr w:rsidTr="00C73D4F">
        <w:tblPrEx>
          <w:tblW w:w="0" w:type="auto"/>
          <w:tblLayout w:type="fixed"/>
          <w:tblCellMar>
            <w:left w:w="62" w:type="dxa"/>
            <w:right w:w="62" w:type="dxa"/>
          </w:tblCellMar>
          <w:tblLook w:val="0000"/>
        </w:tblPrEx>
        <w:tc>
          <w:tcPr>
            <w:tcW w:w="2786" w:type="dxa"/>
            <w:tcBorders>
              <w:top w:val="nil"/>
              <w:left w:val="nil"/>
              <w:bottom w:val="nil"/>
              <w:right w:val="nil"/>
            </w:tcBorders>
            <w:tcMar>
              <w:top w:w="0" w:type="dxa"/>
              <w:left w:w="62" w:type="dxa"/>
              <w:bottom w:w="0" w:type="dxa"/>
              <w:right w:w="62" w:type="dxa"/>
            </w:tcMar>
          </w:tcPr>
          <w:p w:rsidR="00000000" w:rsidP="00AE6D4C">
            <w:pPr>
              <w:pStyle w:val="BodyText"/>
              <w:rPr>
                <w:lang w:val="en-NZ"/>
              </w:rPr>
            </w:pPr>
            <w:r w:rsidRPr="00AE6D4C">
              <w:rPr>
                <w:rStyle w:val="BoldandItalics"/>
              </w:rPr>
              <w:t>Risk priorities</w:t>
            </w:r>
            <w:r w:rsidRPr="00AE6D4C">
              <w:t xml:space="preserve"> may refer to:</w:t>
            </w:r>
          </w:p>
        </w:tc>
        <w:tc>
          <w:tcPr>
            <w:tcW w:w="5962" w:type="dxa"/>
            <w:tcBorders>
              <w:top w:val="nil"/>
              <w:left w:val="nil"/>
              <w:bottom w:val="nil"/>
              <w:right w:val="nil"/>
            </w:tcBorders>
            <w:tcMar>
              <w:top w:w="0" w:type="dxa"/>
              <w:left w:w="62" w:type="dxa"/>
              <w:bottom w:w="0" w:type="dxa"/>
              <w:right w:w="62" w:type="dxa"/>
            </w:tcMar>
          </w:tcPr>
          <w:p w:rsidR="00000000" w:rsidRPr="00AE6D4C" w:rsidP="00AE6D4C">
            <w:pPr>
              <w:pStyle w:val="ListBullet"/>
            </w:pPr>
            <w:r w:rsidRPr="00AE6D4C">
              <w:t>assessing consequences and likelihood</w:t>
            </w:r>
          </w:p>
          <w:p w:rsidR="00000000" w:rsidP="00AE6D4C">
            <w:pPr>
              <w:pStyle w:val="ListBullet"/>
              <w:rPr>
                <w:lang w:val="en-NZ"/>
              </w:rPr>
            </w:pPr>
            <w:r w:rsidRPr="00AE6D4C">
              <w:t>assigning a value to identified risks using available tools.</w:t>
            </w:r>
          </w:p>
        </w:tc>
      </w:tr>
      <w:tr w:rsidTr="00C73D4F">
        <w:tblPrEx>
          <w:tblW w:w="0" w:type="auto"/>
          <w:tblLayout w:type="fixed"/>
          <w:tblCellMar>
            <w:left w:w="62" w:type="dxa"/>
            <w:right w:w="62" w:type="dxa"/>
          </w:tblCellMar>
          <w:tblLook w:val="0000"/>
        </w:tblPrEx>
        <w:tc>
          <w:tcPr>
            <w:tcW w:w="2786" w:type="dxa"/>
            <w:tcBorders>
              <w:top w:val="nil"/>
              <w:left w:val="nil"/>
              <w:bottom w:val="nil"/>
              <w:right w:val="nil"/>
            </w:tcBorders>
            <w:tcMar>
              <w:top w:w="0" w:type="dxa"/>
              <w:left w:w="62" w:type="dxa"/>
              <w:bottom w:w="0" w:type="dxa"/>
              <w:right w:w="62" w:type="dxa"/>
            </w:tcMar>
          </w:tcPr>
          <w:p w:rsidR="00000000" w:rsidP="00AE6D4C">
            <w:pPr>
              <w:pStyle w:val="BodyText"/>
              <w:rPr>
                <w:lang w:val="en-NZ"/>
              </w:rPr>
            </w:pPr>
            <w:r w:rsidRPr="00AE6D4C">
              <w:rPr>
                <w:rStyle w:val="BoldandItalics"/>
              </w:rPr>
              <w:t>Options for minimising risks</w:t>
            </w:r>
            <w:r w:rsidRPr="00AE6D4C">
              <w:t xml:space="preserve"> may include:</w:t>
            </w:r>
          </w:p>
        </w:tc>
        <w:tc>
          <w:tcPr>
            <w:tcW w:w="5962" w:type="dxa"/>
            <w:tcBorders>
              <w:top w:val="nil"/>
              <w:left w:val="nil"/>
              <w:bottom w:val="nil"/>
              <w:right w:val="nil"/>
            </w:tcBorders>
            <w:tcMar>
              <w:top w:w="0" w:type="dxa"/>
              <w:left w:w="62" w:type="dxa"/>
              <w:bottom w:w="0" w:type="dxa"/>
              <w:right w:w="62" w:type="dxa"/>
            </w:tcMar>
          </w:tcPr>
          <w:p w:rsidR="00000000" w:rsidRPr="00AE6D4C" w:rsidP="00AE6D4C">
            <w:pPr>
              <w:pStyle w:val="ListBullet"/>
            </w:pPr>
            <w:r w:rsidRPr="00AE6D4C">
              <w:t>avoid the risk - deciding not to become involved in a risk situation</w:t>
            </w:r>
          </w:p>
          <w:p w:rsidR="00000000" w:rsidP="00AE6D4C">
            <w:pPr>
              <w:pStyle w:val="ListBullet"/>
              <w:rPr>
                <w:lang w:val="en-NZ"/>
              </w:rPr>
            </w:pPr>
            <w:r w:rsidRPr="00AE6D4C">
              <w:t>finance the risk - funding risk treatment and the financial consequences of risk</w:t>
            </w:r>
          </w:p>
        </w:tc>
      </w:tr>
      <w:tr w:rsidTr="00C73D4F">
        <w:tblPrEx>
          <w:tblW w:w="0" w:type="auto"/>
          <w:tblLayout w:type="fixed"/>
          <w:tblCellMar>
            <w:left w:w="62" w:type="dxa"/>
            <w:right w:w="62" w:type="dxa"/>
          </w:tblCellMar>
          <w:tblLook w:val="0000"/>
        </w:tblPrEx>
        <w:tc>
          <w:tcPr>
            <w:tcW w:w="2786" w:type="dxa"/>
            <w:tcBorders>
              <w:top w:val="nil"/>
              <w:left w:val="nil"/>
              <w:bottom w:val="nil"/>
              <w:right w:val="nil"/>
            </w:tcBorders>
            <w:tcMar>
              <w:top w:w="0" w:type="dxa"/>
              <w:left w:w="62" w:type="dxa"/>
              <w:bottom w:w="0" w:type="dxa"/>
              <w:right w:w="62" w:type="dxa"/>
            </w:tcMar>
          </w:tcPr>
          <w:p w:rsidR="00000000" w:rsidP="00AE6D4C">
            <w:pPr>
              <w:pStyle w:val="BodyText"/>
              <w:rPr>
                <w:lang w:val="en-NZ"/>
              </w:rPr>
            </w:pPr>
          </w:p>
        </w:tc>
        <w:tc>
          <w:tcPr>
            <w:tcW w:w="5962" w:type="dxa"/>
            <w:tcBorders>
              <w:top w:val="nil"/>
              <w:left w:val="nil"/>
              <w:bottom w:val="nil"/>
              <w:right w:val="nil"/>
            </w:tcBorders>
            <w:tcMar>
              <w:top w:w="0" w:type="dxa"/>
              <w:left w:w="62" w:type="dxa"/>
              <w:bottom w:w="0" w:type="dxa"/>
              <w:right w:w="62" w:type="dxa"/>
            </w:tcMar>
          </w:tcPr>
          <w:p w:rsidR="00000000" w:rsidRPr="00AE6D4C" w:rsidP="00AE6D4C">
            <w:pPr>
              <w:pStyle w:val="ListBullet"/>
            </w:pPr>
            <w:r w:rsidRPr="00AE6D4C">
              <w:t>reduce the risk - applying appropriate techniques and management principles to reduce the likelihood of an occurrence and its consequences</w:t>
            </w:r>
          </w:p>
          <w:p w:rsidR="00000000" w:rsidRPr="00AE6D4C" w:rsidP="00AE6D4C">
            <w:pPr>
              <w:pStyle w:val="ListBullet"/>
            </w:pPr>
            <w:r w:rsidRPr="00AE6D4C">
              <w:t>retain the risk - intentionally or unintentionally retaining responsibility for loss or financial burden of loss</w:t>
            </w:r>
          </w:p>
          <w:p w:rsidR="00000000" w:rsidP="00AE6D4C">
            <w:pPr>
              <w:pStyle w:val="ListBullet"/>
              <w:rPr>
                <w:lang w:val="en-NZ"/>
              </w:rPr>
            </w:pPr>
            <w:r w:rsidRPr="00AE6D4C">
              <w:t>tr</w:t>
            </w:r>
            <w:r w:rsidRPr="00AE6D4C">
              <w:t>ansfer the risk - shifting responsibility or burden of loss to another party through contract, insurance or other means.</w:t>
            </w:r>
          </w:p>
        </w:tc>
      </w:tr>
      <w:tr w:rsidTr="00C73D4F">
        <w:tblPrEx>
          <w:tblW w:w="0" w:type="auto"/>
          <w:tblLayout w:type="fixed"/>
          <w:tblCellMar>
            <w:left w:w="62" w:type="dxa"/>
            <w:right w:w="62" w:type="dxa"/>
          </w:tblCellMar>
          <w:tblLook w:val="0000"/>
        </w:tblPrEx>
        <w:tc>
          <w:tcPr>
            <w:tcW w:w="2786" w:type="dxa"/>
            <w:tcBorders>
              <w:top w:val="nil"/>
              <w:left w:val="nil"/>
              <w:bottom w:val="nil"/>
              <w:right w:val="nil"/>
            </w:tcBorders>
            <w:tcMar>
              <w:top w:w="0" w:type="dxa"/>
              <w:left w:w="62" w:type="dxa"/>
              <w:bottom w:w="0" w:type="dxa"/>
              <w:right w:w="62" w:type="dxa"/>
            </w:tcMar>
          </w:tcPr>
          <w:p w:rsidR="00000000" w:rsidP="00AE6D4C">
            <w:pPr>
              <w:pStyle w:val="BodyText"/>
              <w:rPr>
                <w:lang w:val="en-NZ"/>
              </w:rPr>
            </w:pPr>
            <w:r w:rsidRPr="00AE6D4C">
              <w:rPr>
                <w:rStyle w:val="BoldandItalics"/>
              </w:rPr>
              <w:t>Procedures and systems for controlling risks</w:t>
            </w:r>
            <w:r w:rsidRPr="00AE6D4C">
              <w:t xml:space="preserve"> may include:</w:t>
            </w:r>
          </w:p>
        </w:tc>
        <w:tc>
          <w:tcPr>
            <w:tcW w:w="5962" w:type="dxa"/>
            <w:tcBorders>
              <w:top w:val="nil"/>
              <w:left w:val="nil"/>
              <w:bottom w:val="nil"/>
              <w:right w:val="nil"/>
            </w:tcBorders>
            <w:tcMar>
              <w:top w:w="0" w:type="dxa"/>
              <w:left w:w="62" w:type="dxa"/>
              <w:bottom w:w="0" w:type="dxa"/>
              <w:right w:w="62" w:type="dxa"/>
            </w:tcMar>
          </w:tcPr>
          <w:p w:rsidR="00000000" w:rsidRPr="00AE6D4C" w:rsidP="00AE6D4C">
            <w:pPr>
              <w:pStyle w:val="ListBullet"/>
            </w:pPr>
            <w:r w:rsidRPr="00AE6D4C">
              <w:t>documentation</w:t>
            </w:r>
          </w:p>
          <w:p w:rsidR="00000000" w:rsidRPr="00AE6D4C" w:rsidP="00AE6D4C">
            <w:pPr>
              <w:pStyle w:val="ListBullet"/>
            </w:pPr>
            <w:r w:rsidRPr="00AE6D4C">
              <w:t>procedures, including:</w:t>
            </w:r>
          </w:p>
          <w:p w:rsidR="00000000" w:rsidRPr="00AE6D4C" w:rsidP="00AE6D4C">
            <w:pPr>
              <w:pStyle w:val="ListBullet2"/>
            </w:pPr>
            <w:r w:rsidRPr="00AE6D4C">
              <w:t>assessment</w:t>
            </w:r>
          </w:p>
          <w:p w:rsidR="00000000" w:rsidRPr="00AE6D4C" w:rsidP="00AE6D4C">
            <w:pPr>
              <w:pStyle w:val="ListBullet2"/>
            </w:pPr>
            <w:r w:rsidRPr="00AE6D4C">
              <w:t>confidentiality, security and privacy procedures</w:t>
            </w:r>
          </w:p>
          <w:p w:rsidR="00000000" w:rsidRPr="00AE6D4C" w:rsidP="00AE6D4C">
            <w:pPr>
              <w:pStyle w:val="ListBullet2"/>
            </w:pPr>
            <w:r w:rsidRPr="00AE6D4C">
              <w:t>control measures</w:t>
            </w:r>
          </w:p>
          <w:p w:rsidR="00000000" w:rsidRPr="00AE6D4C" w:rsidP="00AE6D4C">
            <w:pPr>
              <w:pStyle w:val="ListBullet2"/>
            </w:pPr>
            <w:r w:rsidRPr="00AE6D4C">
              <w:t>identification</w:t>
            </w:r>
          </w:p>
          <w:p w:rsidR="00000000" w:rsidRPr="00AE6D4C" w:rsidP="00AE6D4C">
            <w:pPr>
              <w:pStyle w:val="ListBullet2"/>
            </w:pPr>
            <w:r w:rsidRPr="00AE6D4C">
              <w:t>monitoring</w:t>
            </w:r>
          </w:p>
          <w:p w:rsidR="00000000" w:rsidRPr="00AE6D4C" w:rsidP="00AE6D4C">
            <w:pPr>
              <w:pStyle w:val="ListBullet2"/>
            </w:pPr>
            <w:r w:rsidRPr="00AE6D4C">
              <w:t>organisational procedures</w:t>
            </w:r>
          </w:p>
          <w:p w:rsidR="00000000" w:rsidRPr="00AE6D4C" w:rsidP="00AE6D4C">
            <w:pPr>
              <w:pStyle w:val="ListBullet2"/>
            </w:pPr>
            <w:r w:rsidRPr="00AE6D4C">
              <w:t>treatment</w:t>
            </w:r>
          </w:p>
          <w:p w:rsidR="00000000" w:rsidRPr="00AE6D4C" w:rsidP="00AE6D4C">
            <w:pPr>
              <w:pStyle w:val="ListBullet"/>
            </w:pPr>
            <w:r w:rsidRPr="00AE6D4C">
              <w:t>systems, including:</w:t>
            </w:r>
          </w:p>
          <w:p w:rsidR="00000000" w:rsidRPr="00AE6D4C" w:rsidP="00AE6D4C">
            <w:pPr>
              <w:pStyle w:val="ListBullet2"/>
            </w:pPr>
            <w:r w:rsidRPr="00AE6D4C">
              <w:t>company operations manual</w:t>
            </w:r>
          </w:p>
          <w:p w:rsidR="00000000" w:rsidP="00AE6D4C">
            <w:pPr>
              <w:pStyle w:val="ListBullet2"/>
              <w:rPr>
                <w:lang w:val="en-NZ"/>
              </w:rPr>
            </w:pPr>
            <w:r w:rsidRPr="00AE6D4C">
              <w:t>induction and training.</w:t>
            </w:r>
          </w:p>
        </w:tc>
      </w:tr>
      <w:tr w:rsidTr="00C73D4F">
        <w:tblPrEx>
          <w:tblW w:w="0" w:type="auto"/>
          <w:tblLayout w:type="fixed"/>
          <w:tblCellMar>
            <w:left w:w="62" w:type="dxa"/>
            <w:right w:w="62" w:type="dxa"/>
          </w:tblCellMar>
          <w:tblLook w:val="0000"/>
        </w:tblPrEx>
        <w:tc>
          <w:tcPr>
            <w:tcW w:w="2786" w:type="dxa"/>
            <w:tcBorders>
              <w:top w:val="nil"/>
              <w:left w:val="nil"/>
              <w:bottom w:val="nil"/>
              <w:right w:val="nil"/>
            </w:tcBorders>
            <w:tcMar>
              <w:top w:w="0" w:type="dxa"/>
              <w:left w:w="62" w:type="dxa"/>
              <w:bottom w:w="0" w:type="dxa"/>
              <w:right w:w="62" w:type="dxa"/>
            </w:tcMar>
          </w:tcPr>
          <w:p w:rsidR="00000000" w:rsidP="00AE6D4C">
            <w:pPr>
              <w:pStyle w:val="BodyText"/>
              <w:rPr>
                <w:lang w:val="en-NZ"/>
              </w:rPr>
            </w:pPr>
            <w:r w:rsidRPr="00AE6D4C">
              <w:rPr>
                <w:rStyle w:val="BoldandItalics"/>
              </w:rPr>
              <w:t>Risks to consumers</w:t>
            </w:r>
            <w:r w:rsidRPr="00AE6D4C">
              <w:t xml:space="preserve"> may relate to:</w:t>
            </w:r>
          </w:p>
        </w:tc>
        <w:tc>
          <w:tcPr>
            <w:tcW w:w="5962" w:type="dxa"/>
            <w:tcBorders>
              <w:top w:val="nil"/>
              <w:left w:val="nil"/>
              <w:bottom w:val="nil"/>
              <w:right w:val="nil"/>
            </w:tcBorders>
            <w:tcMar>
              <w:top w:w="0" w:type="dxa"/>
              <w:left w:w="62" w:type="dxa"/>
              <w:bottom w:w="0" w:type="dxa"/>
              <w:right w:w="62" w:type="dxa"/>
            </w:tcMar>
          </w:tcPr>
          <w:p w:rsidR="00000000" w:rsidRPr="00AE6D4C" w:rsidP="00AE6D4C">
            <w:pPr>
              <w:pStyle w:val="ListBullet"/>
            </w:pPr>
            <w:r w:rsidRPr="00AE6D4C">
              <w:t>advertising and marketing</w:t>
            </w:r>
          </w:p>
          <w:p w:rsidR="00000000" w:rsidRPr="00AE6D4C" w:rsidP="00AE6D4C">
            <w:pPr>
              <w:pStyle w:val="ListBullet"/>
            </w:pPr>
            <w:r w:rsidRPr="00AE6D4C">
              <w:t>moneys held in trust</w:t>
            </w:r>
          </w:p>
          <w:p w:rsidR="00000000" w:rsidRPr="00AE6D4C" w:rsidP="00AE6D4C">
            <w:pPr>
              <w:pStyle w:val="ListBullet"/>
            </w:pPr>
            <w:r w:rsidRPr="00AE6D4C">
              <w:t>property management</w:t>
            </w:r>
          </w:p>
          <w:p w:rsidR="00000000" w:rsidRPr="00AE6D4C" w:rsidP="00AE6D4C">
            <w:pPr>
              <w:pStyle w:val="ListBullet"/>
            </w:pPr>
            <w:r w:rsidRPr="00AE6D4C">
              <w:t>property sale</w:t>
            </w:r>
          </w:p>
          <w:p w:rsidR="00000000" w:rsidRPr="00AE6D4C" w:rsidP="00AE6D4C">
            <w:pPr>
              <w:pStyle w:val="ListBullet"/>
            </w:pPr>
            <w:r w:rsidRPr="00AE6D4C">
              <w:t>provision of information and advice</w:t>
            </w:r>
          </w:p>
          <w:p w:rsidR="00000000" w:rsidRPr="00AE6D4C" w:rsidP="00AE6D4C">
            <w:pPr>
              <w:pStyle w:val="ListBullet"/>
            </w:pPr>
            <w:r w:rsidRPr="00AE6D4C">
              <w:t>tenancy agreements.</w:t>
            </w:r>
          </w:p>
        </w:tc>
      </w:tr>
    </w:tbl>
    <w:p w:rsidR="00C73D4F" w:rsidP="00AE6D4C">
      <w:pPr>
        <w:pStyle w:val="BodyText"/>
      </w:pPr>
    </w:p>
    <w:p w:rsidR="00C73D4F" w:rsidP="00AE6D4C">
      <w:pPr>
        <w:pStyle w:val="BodyText"/>
      </w:pPr>
    </w:p>
    <w:p w:rsidR="00000000" w:rsidRPr="00AE6D4C" w:rsidP="00AE6D4C">
      <w:pPr>
        <w:pStyle w:val="Heading1"/>
      </w:pPr>
      <w:bookmarkStart w:id="12" w:name="O_200933"/>
      <w:bookmarkEnd w:id="12"/>
      <w:r w:rsidRPr="00AE6D4C">
        <w:t>Unit Sector(s)</w:t>
      </w:r>
    </w:p>
    <w:tbl>
      <w:tblPr>
        <w:tblW w:w="0" w:type="auto"/>
        <w:tblLayout w:type="fixed"/>
        <w:tblCellMar>
          <w:left w:w="62" w:type="dxa"/>
          <w:right w:w="62" w:type="dxa"/>
        </w:tblCellMar>
        <w:tblLook w:val="0000"/>
      </w:tblPr>
      <w:tblGrid>
        <w:gridCol w:w="2926"/>
        <w:gridCol w:w="5596"/>
      </w:tblGrid>
      <w:tr w:rsidTr="00C73D4F">
        <w:tblPrEx>
          <w:tblW w:w="0" w:type="auto"/>
          <w:tblLayout w:type="fixed"/>
          <w:tblCellMar>
            <w:left w:w="62" w:type="dxa"/>
            <w:right w:w="62" w:type="dxa"/>
          </w:tblCellMar>
          <w:tblLook w:val="0000"/>
        </w:tblPrEx>
        <w:trPr>
          <w:tblHeader/>
        </w:trPr>
        <w:tc>
          <w:tcPr>
            <w:tcW w:w="2926" w:type="dxa"/>
            <w:tcBorders>
              <w:top w:val="nil"/>
              <w:left w:val="nil"/>
              <w:bottom w:val="nil"/>
              <w:right w:val="nil"/>
            </w:tcBorders>
            <w:tcMar>
              <w:top w:w="0" w:type="dxa"/>
              <w:left w:w="62" w:type="dxa"/>
              <w:bottom w:w="0" w:type="dxa"/>
              <w:right w:w="62" w:type="dxa"/>
            </w:tcMar>
          </w:tcPr>
          <w:p w:rsidR="00000000" w:rsidP="00AE6D4C">
            <w:pPr>
              <w:pStyle w:val="BodyText"/>
              <w:rPr>
                <w:lang w:val="en-NZ"/>
              </w:rPr>
            </w:pPr>
            <w:r w:rsidRPr="00AE6D4C">
              <w:rPr>
                <w:rStyle w:val="SpecialBold"/>
              </w:rPr>
              <w:t>Unit sector</w:t>
            </w:r>
          </w:p>
        </w:tc>
        <w:tc>
          <w:tcPr>
            <w:tcW w:w="5596" w:type="dxa"/>
            <w:tcBorders>
              <w:top w:val="nil"/>
              <w:left w:val="nil"/>
              <w:bottom w:val="nil"/>
              <w:right w:val="nil"/>
            </w:tcBorders>
            <w:tcMar>
              <w:top w:w="0" w:type="dxa"/>
              <w:left w:w="62" w:type="dxa"/>
              <w:bottom w:w="0" w:type="dxa"/>
              <w:right w:w="62" w:type="dxa"/>
            </w:tcMar>
          </w:tcPr>
          <w:p w:rsidR="00000000" w:rsidRPr="00AE6D4C" w:rsidP="00AE6D4C">
            <w:pPr>
              <w:pStyle w:val="BodyText"/>
            </w:pPr>
            <w:r w:rsidRPr="00AE6D4C">
              <w:t>Property development, sales and management</w:t>
            </w:r>
          </w:p>
        </w:tc>
      </w:tr>
    </w:tbl>
    <w:p w:rsidR="00C73D4F" w:rsidP="00AE6D4C">
      <w:pPr>
        <w:pStyle w:val="BodyText"/>
      </w:pPr>
    </w:p>
    <w:p w:rsidR="00C73D4F" w:rsidP="00AE6D4C">
      <w:pPr>
        <w:pStyle w:val="BodyText"/>
      </w:pPr>
    </w:p>
    <w:p w:rsidR="00000000" w:rsidRPr="00AE6D4C" w:rsidP="00AE6D4C">
      <w:pPr>
        <w:pStyle w:val="Heading1"/>
      </w:pPr>
      <w:bookmarkStart w:id="13" w:name="O_200932"/>
      <w:bookmarkEnd w:id="13"/>
      <w:r w:rsidRPr="00AE6D4C">
        <w:t>Competency field</w:t>
      </w:r>
    </w:p>
    <w:tbl>
      <w:tblPr>
        <w:tblW w:w="0" w:type="auto"/>
        <w:tblLayout w:type="fixed"/>
        <w:tblCellMar>
          <w:left w:w="62" w:type="dxa"/>
          <w:right w:w="62" w:type="dxa"/>
        </w:tblCellMar>
        <w:tblLook w:val="0000"/>
      </w:tblPr>
      <w:tblGrid>
        <w:gridCol w:w="2926"/>
        <w:gridCol w:w="5596"/>
      </w:tblGrid>
      <w:tr w:rsidTr="00C73D4F">
        <w:tblPrEx>
          <w:tblW w:w="0" w:type="auto"/>
          <w:tblLayout w:type="fixed"/>
          <w:tblCellMar>
            <w:left w:w="62" w:type="dxa"/>
            <w:right w:w="62" w:type="dxa"/>
          </w:tblCellMar>
          <w:tblLook w:val="0000"/>
        </w:tblPrEx>
        <w:trPr>
          <w:tblHeader/>
        </w:trPr>
        <w:tc>
          <w:tcPr>
            <w:tcW w:w="2926" w:type="dxa"/>
            <w:tcBorders>
              <w:top w:val="nil"/>
              <w:left w:val="nil"/>
              <w:bottom w:val="nil"/>
              <w:right w:val="nil"/>
            </w:tcBorders>
            <w:tcMar>
              <w:top w:w="0" w:type="dxa"/>
              <w:left w:w="62" w:type="dxa"/>
              <w:bottom w:w="0" w:type="dxa"/>
              <w:right w:w="62" w:type="dxa"/>
            </w:tcMar>
          </w:tcPr>
          <w:p w:rsidR="00000000" w:rsidP="00AE6D4C">
            <w:pPr>
              <w:pStyle w:val="BodyText"/>
              <w:rPr>
                <w:lang w:val="en-NZ"/>
              </w:rPr>
            </w:pPr>
            <w:r w:rsidRPr="00AE6D4C">
              <w:rPr>
                <w:rStyle w:val="SpecialBold"/>
              </w:rPr>
              <w:t>Competency field</w:t>
            </w:r>
          </w:p>
        </w:tc>
        <w:tc>
          <w:tcPr>
            <w:tcW w:w="5596" w:type="dxa"/>
            <w:tcBorders>
              <w:top w:val="nil"/>
              <w:left w:val="nil"/>
              <w:bottom w:val="nil"/>
              <w:right w:val="nil"/>
            </w:tcBorders>
            <w:tcMar>
              <w:top w:w="0" w:type="dxa"/>
              <w:left w:w="62" w:type="dxa"/>
              <w:bottom w:w="0" w:type="dxa"/>
              <w:right w:w="62" w:type="dxa"/>
            </w:tcMar>
          </w:tcPr>
          <w:p w:rsidR="00000000" w:rsidRPr="00AE6D4C" w:rsidP="00AE6D4C">
            <w:pPr>
              <w:pStyle w:val="BodyText"/>
            </w:pPr>
            <w:r w:rsidRPr="00AE6D4C">
              <w:t>Real estate</w:t>
            </w:r>
          </w:p>
        </w:tc>
      </w:tr>
    </w:tbl>
    <w:p w:rsidR="00C73D4F" w:rsidP="00AE6D4C">
      <w:pPr>
        <w:pStyle w:val="BodyText"/>
      </w:pPr>
    </w:p>
    <w:p w:rsidR="00C73D4F" w:rsidP="00AE6D4C">
      <w:pPr>
        <w:pStyle w:val="BodyText"/>
      </w:pPr>
    </w:p>
    <w:p w:rsidR="00000000" w:rsidRPr="00AE6D4C" w:rsidP="00AE6D4C"/>
    <w:sectPr w:rsidSect="00AE6D4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D4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73D4F" w:rsidP="00C73D4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D4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D4F" w:rsidP="00AE6D4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C73D4F" w:rsidP="00AE6D4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C73D4F" w:rsidP="00AE6D4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D4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73D4F" w:rsidP="00C73D4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D4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D4F" w:rsidP="00AE6D4C">
    <w:pPr>
      <w:pStyle w:val="Header"/>
      <w:framePr w:wrap="around"/>
    </w:pPr>
    <w:r>
      <w:fldChar w:fldCharType="begin"/>
    </w:r>
    <w:r>
      <w:instrText xml:space="preserve"> TITLE   \* MERGEFORMAT </w:instrText>
    </w:r>
    <w:r>
      <w:fldChar w:fldCharType="separate"/>
    </w:r>
    <w:r>
      <w:t>CPPDSM4015B Minimise agency and consumer risk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73D4F" w:rsidP="00AE6D4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69439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586D6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DD625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6D4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E6D4C"/>
    <w:pPr>
      <w:spacing w:before="360" w:after="60"/>
      <w:outlineLvl w:val="0"/>
    </w:pPr>
    <w:rPr>
      <w:sz w:val="32"/>
    </w:rPr>
  </w:style>
  <w:style w:type="paragraph" w:styleId="Heading2">
    <w:name w:val="heading 2"/>
    <w:basedOn w:val="HeadingBase"/>
    <w:next w:val="BodyText"/>
    <w:link w:val="Heading2Char"/>
    <w:qFormat/>
    <w:rsid w:val="00AE6D4C"/>
    <w:pPr>
      <w:keepLines/>
      <w:spacing w:before="240" w:after="120"/>
      <w:outlineLvl w:val="1"/>
    </w:pPr>
    <w:rPr>
      <w:sz w:val="28"/>
      <w:szCs w:val="40"/>
    </w:rPr>
  </w:style>
  <w:style w:type="paragraph" w:styleId="Heading3">
    <w:name w:val="heading 3"/>
    <w:basedOn w:val="HeadingBase"/>
    <w:next w:val="BodyText"/>
    <w:link w:val="Heading3Char"/>
    <w:qFormat/>
    <w:rsid w:val="00AE6D4C"/>
    <w:pPr>
      <w:spacing w:before="180" w:after="120"/>
      <w:outlineLvl w:val="2"/>
    </w:pPr>
    <w:rPr>
      <w:spacing w:val="-10"/>
      <w:kern w:val="32"/>
    </w:rPr>
  </w:style>
  <w:style w:type="paragraph" w:styleId="Heading4">
    <w:name w:val="heading 4"/>
    <w:basedOn w:val="HeadingBase"/>
    <w:next w:val="BodyText"/>
    <w:link w:val="Heading4Char"/>
    <w:qFormat/>
    <w:rsid w:val="00AE6D4C"/>
    <w:pPr>
      <w:spacing w:before="160" w:after="120"/>
      <w:outlineLvl w:val="3"/>
    </w:pPr>
    <w:rPr>
      <w:sz w:val="22"/>
    </w:rPr>
  </w:style>
  <w:style w:type="paragraph" w:styleId="Heading5">
    <w:name w:val="heading 5"/>
    <w:basedOn w:val="HeadingBase"/>
    <w:next w:val="Normal"/>
    <w:link w:val="Heading5Char"/>
    <w:qFormat/>
    <w:rsid w:val="00AE6D4C"/>
    <w:pPr>
      <w:spacing w:before="80"/>
      <w:outlineLvl w:val="4"/>
    </w:pPr>
    <w:rPr>
      <w:color w:val="918585"/>
      <w:sz w:val="20"/>
    </w:rPr>
  </w:style>
  <w:style w:type="paragraph" w:styleId="Heading6">
    <w:name w:val="heading 6"/>
    <w:basedOn w:val="HeadingBase"/>
    <w:next w:val="Normal"/>
    <w:link w:val="Heading6Char"/>
    <w:qFormat/>
    <w:rsid w:val="00AE6D4C"/>
    <w:pPr>
      <w:spacing w:before="60"/>
      <w:outlineLvl w:val="5"/>
    </w:pPr>
    <w:rPr>
      <w:color w:val="918585"/>
      <w:sz w:val="20"/>
    </w:rPr>
  </w:style>
  <w:style w:type="paragraph" w:styleId="Heading7">
    <w:name w:val="heading 7"/>
    <w:basedOn w:val="Normal"/>
    <w:next w:val="Normal"/>
    <w:link w:val="Heading7Char"/>
    <w:qFormat/>
    <w:rsid w:val="00AE6D4C"/>
    <w:pPr>
      <w:ind w:left="720"/>
      <w:outlineLvl w:val="6"/>
    </w:pPr>
    <w:rPr>
      <w:i/>
    </w:rPr>
  </w:style>
  <w:style w:type="paragraph" w:styleId="Heading8">
    <w:name w:val="heading 8"/>
    <w:basedOn w:val="Normal"/>
    <w:next w:val="Normal"/>
    <w:link w:val="Heading8Char"/>
    <w:qFormat/>
    <w:rsid w:val="00AE6D4C"/>
    <w:pPr>
      <w:ind w:left="720"/>
      <w:outlineLvl w:val="7"/>
    </w:pPr>
    <w:rPr>
      <w:i/>
    </w:rPr>
  </w:style>
  <w:style w:type="paragraph" w:styleId="Heading9">
    <w:name w:val="heading 9"/>
    <w:basedOn w:val="Normal"/>
    <w:next w:val="Normal"/>
    <w:link w:val="Heading9Char"/>
    <w:qFormat/>
    <w:rsid w:val="00AE6D4C"/>
    <w:pPr>
      <w:ind w:left="720"/>
      <w:outlineLvl w:val="8"/>
    </w:pPr>
    <w:rPr>
      <w:i/>
    </w:rPr>
  </w:style>
  <w:style w:type="character" w:default="1" w:styleId="DefaultParagraphFont">
    <w:name w:val="Default Paragraph Font"/>
    <w:uiPriority w:val="1"/>
    <w:unhideWhenUsed/>
    <w:rsid w:val="00AE6D4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E6D4C"/>
  </w:style>
  <w:style w:type="character" w:customStyle="1" w:styleId="Heading1Char">
    <w:name w:val="Heading 1 Char"/>
    <w:basedOn w:val="DefaultParagraphFont"/>
    <w:link w:val="Heading1"/>
    <w:rsid w:val="00AE6D4C"/>
    <w:rPr>
      <w:rFonts w:ascii="Times New Roman" w:eastAsia="Times New Roman" w:hAnsi="Times New Roman" w:cs="Times New Roman"/>
      <w:b/>
      <w:sz w:val="32"/>
      <w:szCs w:val="20"/>
      <w:lang w:eastAsia="en-US"/>
    </w:rPr>
  </w:style>
  <w:style w:type="paragraph" w:styleId="BodyText">
    <w:name w:val="Body Text"/>
    <w:basedOn w:val="Normal"/>
    <w:link w:val="BodyTextChar"/>
    <w:rsid w:val="00AE6D4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E6D4C"/>
    <w:rPr>
      <w:rFonts w:ascii="Times New Roman" w:eastAsia="Times New Roman" w:hAnsi="Times New Roman" w:cs="Times New Roman"/>
      <w:sz w:val="24"/>
      <w:lang w:val="en-US" w:eastAsia="en-US"/>
    </w:rPr>
  </w:style>
  <w:style w:type="paragraph" w:styleId="Footer">
    <w:name w:val="footer"/>
    <w:basedOn w:val="Normal"/>
    <w:link w:val="FooterChar"/>
    <w:rsid w:val="00AE6D4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E6D4C"/>
    <w:rPr>
      <w:rFonts w:ascii="Times New Roman" w:eastAsia="Times New Roman" w:hAnsi="Times New Roman" w:cs="Times New Roman"/>
      <w:sz w:val="16"/>
      <w:lang w:val="en-US" w:eastAsia="en-US"/>
    </w:rPr>
  </w:style>
  <w:style w:type="paragraph" w:styleId="List">
    <w:name w:val="List"/>
    <w:basedOn w:val="BodyText"/>
    <w:next w:val="BodyText"/>
    <w:rsid w:val="00AE6D4C"/>
    <w:pPr>
      <w:tabs>
        <w:tab w:val="left" w:pos="340"/>
      </w:tabs>
      <w:spacing w:before="60" w:after="60"/>
      <w:ind w:left="340" w:hanging="340"/>
    </w:pPr>
  </w:style>
  <w:style w:type="paragraph" w:styleId="ListBullet">
    <w:name w:val="List Bullet"/>
    <w:basedOn w:val="List"/>
    <w:rsid w:val="00AE6D4C"/>
    <w:pPr>
      <w:numPr>
        <w:numId w:val="13"/>
      </w:numPr>
      <w:tabs>
        <w:tab w:val="clear" w:pos="340"/>
      </w:tabs>
      <w:spacing w:before="40" w:after="40"/>
    </w:pPr>
  </w:style>
  <w:style w:type="character" w:customStyle="1" w:styleId="SpecialBold">
    <w:name w:val="Special Bold"/>
    <w:basedOn w:val="DefaultParagraphFont"/>
    <w:rsid w:val="00AE6D4C"/>
    <w:rPr>
      <w:b/>
      <w:spacing w:val="0"/>
    </w:rPr>
  </w:style>
  <w:style w:type="paragraph" w:styleId="ListBullet2">
    <w:name w:val="List Bullet 2"/>
    <w:basedOn w:val="List2"/>
    <w:rsid w:val="00AE6D4C"/>
    <w:pPr>
      <w:numPr>
        <w:numId w:val="14"/>
      </w:numPr>
      <w:tabs>
        <w:tab w:val="clear" w:pos="680"/>
      </w:tabs>
    </w:pPr>
  </w:style>
  <w:style w:type="paragraph" w:styleId="Header">
    <w:name w:val="header"/>
    <w:basedOn w:val="Normal"/>
    <w:link w:val="HeaderChar"/>
    <w:rsid w:val="00AE6D4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E6D4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E6D4C"/>
    <w:pPr>
      <w:spacing w:before="240" w:after="120"/>
      <w:outlineLvl w:val="0"/>
    </w:pPr>
    <w:rPr>
      <w:rFonts w:ascii="Times New Roman" w:hAnsi="Times New Roman"/>
      <w:b/>
      <w:sz w:val="28"/>
    </w:rPr>
  </w:style>
  <w:style w:type="paragraph" w:customStyle="1" w:styleId="AllowPageBreak">
    <w:name w:val="AllowPageBreak"/>
    <w:rsid w:val="00AE6D4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E6D4C"/>
    <w:pPr>
      <w:tabs>
        <w:tab w:val="left" w:pos="680"/>
      </w:tabs>
      <w:spacing w:before="60" w:after="60"/>
      <w:ind w:left="680" w:hanging="340"/>
    </w:pPr>
  </w:style>
  <w:style w:type="character" w:customStyle="1" w:styleId="BoldandItalics">
    <w:name w:val="Bold and Italics"/>
    <w:qFormat/>
    <w:rsid w:val="00AE6D4C"/>
    <w:rPr>
      <w:b/>
      <w:i/>
      <w:u w:val="none"/>
    </w:rPr>
  </w:style>
  <w:style w:type="character" w:customStyle="1" w:styleId="Heading2Char">
    <w:name w:val="Heading 2 Char"/>
    <w:basedOn w:val="DefaultParagraphFont"/>
    <w:link w:val="Heading2"/>
    <w:rsid w:val="00AE6D4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E6D4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E6D4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E6D4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E6D4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E6D4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E6D4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E6D4C"/>
    <w:rPr>
      <w:rFonts w:ascii="Courier New" w:eastAsia="Times New Roman" w:hAnsi="Courier New" w:cs="Times New Roman"/>
      <w:i/>
      <w:szCs w:val="20"/>
      <w:lang w:val="en-US" w:eastAsia="en-US"/>
    </w:rPr>
  </w:style>
  <w:style w:type="paragraph" w:customStyle="1" w:styleId="HeadingBase">
    <w:name w:val="Heading Base"/>
    <w:rsid w:val="00AE6D4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E6D4C"/>
    <w:pPr>
      <w:tabs>
        <w:tab w:val="right" w:leader="dot" w:pos="9072"/>
      </w:tabs>
      <w:ind w:left="567"/>
    </w:pPr>
    <w:rPr>
      <w:szCs w:val="22"/>
    </w:rPr>
  </w:style>
  <w:style w:type="paragraph" w:customStyle="1" w:styleId="TOCBase">
    <w:name w:val="TOC Base"/>
    <w:rsid w:val="00AE6D4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E6D4C"/>
    <w:pPr>
      <w:tabs>
        <w:tab w:val="right" w:leader="dot" w:pos="9072"/>
      </w:tabs>
      <w:spacing w:before="40" w:after="40"/>
      <w:ind w:left="284"/>
    </w:pPr>
    <w:rPr>
      <w:rFonts w:ascii="Times New Roman" w:hAnsi="Times New Roman"/>
    </w:rPr>
  </w:style>
  <w:style w:type="paragraph" w:styleId="TOC1">
    <w:name w:val="toc 1"/>
    <w:basedOn w:val="TOCBase"/>
    <w:next w:val="Normal"/>
    <w:rsid w:val="00AE6D4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E6D4C"/>
    <w:pPr>
      <w:spacing w:before="5040"/>
      <w:jc w:val="center"/>
    </w:pPr>
    <w:rPr>
      <w:sz w:val="48"/>
      <w:szCs w:val="72"/>
      <w:lang w:val="en-US"/>
    </w:rPr>
  </w:style>
  <w:style w:type="character" w:customStyle="1" w:styleId="TitleChar">
    <w:name w:val="Title Char"/>
    <w:basedOn w:val="DefaultParagraphFont"/>
    <w:link w:val="Title"/>
    <w:rsid w:val="00AE6D4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E6D4C"/>
    <w:pPr>
      <w:tabs>
        <w:tab w:val="left" w:pos="3600"/>
        <w:tab w:val="left" w:pos="3958"/>
      </w:tabs>
    </w:pPr>
  </w:style>
  <w:style w:type="paragraph" w:customStyle="1" w:styleId="Note">
    <w:name w:val="Note"/>
    <w:basedOn w:val="BodyText"/>
    <w:rsid w:val="00AE6D4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E6D4C"/>
    <w:pPr>
      <w:framePr w:wrap="auto" w:hAnchor="text" w:y="6049"/>
    </w:pPr>
    <w:rPr>
      <w:color w:val="000000"/>
      <w:sz w:val="40"/>
    </w:rPr>
  </w:style>
  <w:style w:type="paragraph" w:customStyle="1" w:styleId="TOCTitle">
    <w:name w:val="TOCTitle"/>
    <w:basedOn w:val="Heading1"/>
    <w:rsid w:val="00AE6D4C"/>
    <w:pPr>
      <w:spacing w:after="240"/>
      <w:jc w:val="center"/>
      <w:outlineLvl w:val="9"/>
    </w:pPr>
    <w:rPr>
      <w:caps/>
    </w:rPr>
  </w:style>
  <w:style w:type="paragraph" w:customStyle="1" w:styleId="Version">
    <w:name w:val="Version"/>
    <w:rsid w:val="00AE6D4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E6D4C"/>
    <w:pPr>
      <w:keepNext w:val="0"/>
      <w:tabs>
        <w:tab w:val="right" w:pos="4176"/>
      </w:tabs>
      <w:ind w:left="198" w:hanging="198"/>
    </w:pPr>
    <w:rPr>
      <w:rFonts w:ascii="Garamond" w:hAnsi="Garamond"/>
    </w:rPr>
  </w:style>
  <w:style w:type="paragraph" w:styleId="IndexHeading">
    <w:name w:val="index heading"/>
    <w:basedOn w:val="Normal"/>
    <w:next w:val="Index1"/>
    <w:semiHidden/>
    <w:rsid w:val="00AE6D4C"/>
    <w:pPr>
      <w:spacing w:before="120" w:after="120"/>
    </w:pPr>
    <w:rPr>
      <w:rFonts w:ascii="Arial" w:hAnsi="Arial"/>
      <w:b/>
      <w:color w:val="918585"/>
      <w:sz w:val="24"/>
    </w:rPr>
  </w:style>
  <w:style w:type="paragraph" w:customStyle="1" w:styleId="Chapter">
    <w:name w:val="Chapter"/>
    <w:basedOn w:val="Normal"/>
    <w:rsid w:val="00AE6D4C"/>
    <w:pPr>
      <w:spacing w:before="240"/>
    </w:pPr>
    <w:rPr>
      <w:rFonts w:ascii="Times New Roman" w:hAnsi="Times New Roman"/>
      <w:smallCaps/>
      <w:spacing w:val="80"/>
      <w:sz w:val="28"/>
    </w:rPr>
  </w:style>
  <w:style w:type="paragraph" w:customStyle="1" w:styleId="InChapter">
    <w:name w:val="InChapter"/>
    <w:basedOn w:val="Heading3"/>
    <w:rsid w:val="00AE6D4C"/>
    <w:pPr>
      <w:spacing w:after="240"/>
      <w:outlineLvl w:val="9"/>
    </w:pPr>
    <w:rPr>
      <w:noProof/>
    </w:rPr>
  </w:style>
  <w:style w:type="paragraph" w:styleId="Index2">
    <w:name w:val="index 2"/>
    <w:basedOn w:val="Normal"/>
    <w:next w:val="Normal"/>
    <w:semiHidden/>
    <w:rsid w:val="00AE6D4C"/>
    <w:pPr>
      <w:tabs>
        <w:tab w:val="right" w:pos="4176"/>
      </w:tabs>
      <w:ind w:left="568" w:hanging="284"/>
    </w:pPr>
    <w:rPr>
      <w:rFonts w:ascii="Garamond" w:hAnsi="Garamond"/>
    </w:rPr>
  </w:style>
  <w:style w:type="paragraph" w:customStyle="1" w:styleId="Byline">
    <w:name w:val="Byline"/>
    <w:rsid w:val="00AE6D4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E6D4C"/>
    <w:pPr>
      <w:tabs>
        <w:tab w:val="clear" w:pos="3600"/>
        <w:tab w:val="clear" w:pos="3958"/>
      </w:tabs>
      <w:jc w:val="right"/>
    </w:pPr>
  </w:style>
  <w:style w:type="character" w:styleId="Emphasis">
    <w:name w:val="Emphasis"/>
    <w:basedOn w:val="DefaultParagraphFont"/>
    <w:qFormat/>
    <w:rsid w:val="00AE6D4C"/>
    <w:rPr>
      <w:i/>
    </w:rPr>
  </w:style>
  <w:style w:type="paragraph" w:styleId="Caption">
    <w:name w:val="caption"/>
    <w:basedOn w:val="BodyText"/>
    <w:next w:val="Normal"/>
    <w:qFormat/>
    <w:rsid w:val="00AE6D4C"/>
    <w:pPr>
      <w:framePr w:w="2268" w:hSpace="181" w:vSpace="181" w:wrap="around" w:vAnchor="text" w:hAnchor="page" w:x="1135" w:y="285" w:anchorLock="1"/>
    </w:pPr>
    <w:rPr>
      <w:i/>
    </w:rPr>
  </w:style>
  <w:style w:type="paragraph" w:customStyle="1" w:styleId="MiniTOCTitle">
    <w:name w:val="MiniTOCTitle"/>
    <w:basedOn w:val="Heading4"/>
    <w:rsid w:val="00AE6D4C"/>
    <w:pPr>
      <w:spacing w:before="240"/>
      <w:outlineLvl w:val="9"/>
    </w:pPr>
    <w:rPr>
      <w:noProof/>
      <w:sz w:val="24"/>
    </w:rPr>
  </w:style>
  <w:style w:type="paragraph" w:customStyle="1" w:styleId="MiniTOCItem">
    <w:name w:val="MiniTOCItem"/>
    <w:basedOn w:val="ListBullet"/>
    <w:rsid w:val="00AE6D4C"/>
    <w:pPr>
      <w:numPr>
        <w:numId w:val="0"/>
      </w:numPr>
      <w:tabs>
        <w:tab w:val="right" w:leader="dot" w:pos="6521"/>
      </w:tabs>
      <w:spacing w:before="0" w:after="0"/>
    </w:pPr>
  </w:style>
  <w:style w:type="paragraph" w:customStyle="1" w:styleId="TOFTitle">
    <w:name w:val="TOFTitle"/>
    <w:basedOn w:val="TOCTitle"/>
    <w:rsid w:val="00AE6D4C"/>
  </w:style>
  <w:style w:type="paragraph" w:styleId="TableofFigures">
    <w:name w:val="table of figures"/>
    <w:basedOn w:val="Normal"/>
    <w:next w:val="Normal"/>
    <w:semiHidden/>
    <w:rsid w:val="00AE6D4C"/>
    <w:pPr>
      <w:tabs>
        <w:tab w:val="right" w:leader="dot" w:pos="9072"/>
      </w:tabs>
      <w:ind w:left="970" w:hanging="403"/>
    </w:pPr>
    <w:rPr>
      <w:rFonts w:ascii="Times New Roman" w:hAnsi="Times New Roman"/>
      <w:b/>
    </w:rPr>
  </w:style>
  <w:style w:type="paragraph" w:styleId="ListNumber">
    <w:name w:val="List Number"/>
    <w:basedOn w:val="List"/>
    <w:rsid w:val="00AE6D4C"/>
    <w:pPr>
      <w:numPr>
        <w:numId w:val="11"/>
      </w:numPr>
    </w:pPr>
  </w:style>
  <w:style w:type="character" w:customStyle="1" w:styleId="WingdingSymbols">
    <w:name w:val="Wingding Symbols"/>
    <w:rsid w:val="00AE6D4C"/>
    <w:rPr>
      <w:rFonts w:ascii="Wingdings" w:hAnsi="Wingdings"/>
    </w:rPr>
  </w:style>
  <w:style w:type="paragraph" w:customStyle="1" w:styleId="TableHeading">
    <w:name w:val="Table Heading"/>
    <w:basedOn w:val="HeadingBase"/>
    <w:rsid w:val="00AE6D4C"/>
    <w:pPr>
      <w:keepLines/>
      <w:pBdr>
        <w:bottom w:val="single" w:sz="6" w:space="1" w:color="918585"/>
      </w:pBdr>
      <w:spacing w:before="240"/>
    </w:pPr>
  </w:style>
  <w:style w:type="character" w:customStyle="1" w:styleId="HotSpot">
    <w:name w:val="HotSpot"/>
    <w:rsid w:val="00AE6D4C"/>
    <w:rPr>
      <w:color w:val="0033CC"/>
      <w:u w:val="none"/>
    </w:rPr>
  </w:style>
  <w:style w:type="paragraph" w:customStyle="1" w:styleId="BodyTextRight">
    <w:name w:val="Body Text Right"/>
    <w:basedOn w:val="BodyText"/>
    <w:rsid w:val="00AE6D4C"/>
    <w:pPr>
      <w:spacing w:before="0" w:after="0"/>
      <w:jc w:val="right"/>
    </w:pPr>
  </w:style>
  <w:style w:type="paragraph" w:styleId="Index3">
    <w:name w:val="index 3"/>
    <w:basedOn w:val="ListNumber2"/>
    <w:next w:val="Normal"/>
    <w:semiHidden/>
    <w:rsid w:val="00AE6D4C"/>
    <w:pPr>
      <w:numPr>
        <w:numId w:val="0"/>
      </w:numPr>
      <w:tabs>
        <w:tab w:val="right" w:leader="dot" w:pos="4176"/>
      </w:tabs>
    </w:pPr>
  </w:style>
  <w:style w:type="paragraph" w:styleId="ListNumber2">
    <w:name w:val="List Number 2"/>
    <w:basedOn w:val="List2"/>
    <w:rsid w:val="00AE6D4C"/>
    <w:pPr>
      <w:numPr>
        <w:numId w:val="10"/>
      </w:numPr>
      <w:tabs>
        <w:tab w:val="clear" w:pos="1060"/>
      </w:tabs>
    </w:pPr>
  </w:style>
  <w:style w:type="paragraph" w:customStyle="1" w:styleId="MarginNote">
    <w:name w:val="Margin Note"/>
    <w:basedOn w:val="BodyText"/>
    <w:rsid w:val="00AE6D4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E6D4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E6D4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E6D4C"/>
    <w:rPr>
      <w:sz w:val="32"/>
    </w:rPr>
  </w:style>
  <w:style w:type="paragraph" w:customStyle="1" w:styleId="HeadingProcedure">
    <w:name w:val="Heading Procedure"/>
    <w:basedOn w:val="HeadingBase"/>
    <w:next w:val="Normal"/>
    <w:rsid w:val="00AE6D4C"/>
    <w:pPr>
      <w:tabs>
        <w:tab w:val="left" w:pos="0"/>
      </w:tabs>
      <w:spacing w:before="120" w:after="60"/>
    </w:pPr>
    <w:rPr>
      <w:i/>
      <w:color w:val="918585"/>
      <w:sz w:val="22"/>
    </w:rPr>
  </w:style>
  <w:style w:type="paragraph" w:customStyle="1" w:styleId="TableBodyText">
    <w:name w:val="Table Body Text"/>
    <w:basedOn w:val="BodyText"/>
    <w:rsid w:val="00AE6D4C"/>
    <w:pPr>
      <w:spacing w:before="60" w:after="60"/>
    </w:pPr>
  </w:style>
  <w:style w:type="paragraph" w:styleId="ListContinue">
    <w:name w:val="List Continue"/>
    <w:basedOn w:val="List"/>
    <w:rsid w:val="00AE6D4C"/>
    <w:pPr>
      <w:ind w:firstLine="0"/>
    </w:pPr>
  </w:style>
  <w:style w:type="paragraph" w:customStyle="1" w:styleId="ListNote">
    <w:name w:val="List Note"/>
    <w:basedOn w:val="List"/>
    <w:rsid w:val="00AE6D4C"/>
    <w:pPr>
      <w:pBdr>
        <w:top w:val="single" w:sz="6" w:space="2" w:color="918585"/>
        <w:bottom w:val="single" w:sz="6" w:space="2" w:color="918585"/>
      </w:pBdr>
      <w:tabs>
        <w:tab w:val="left" w:pos="1021"/>
      </w:tabs>
      <w:ind w:firstLine="0"/>
    </w:pPr>
  </w:style>
  <w:style w:type="paragraph" w:customStyle="1" w:styleId="Warning">
    <w:name w:val="Warning"/>
    <w:basedOn w:val="BodyText"/>
    <w:rsid w:val="00AE6D4C"/>
    <w:pPr>
      <w:shd w:val="clear" w:color="auto" w:fill="D9D9D9"/>
      <w:tabs>
        <w:tab w:val="left" w:pos="992"/>
      </w:tabs>
      <w:ind w:left="119" w:right="119"/>
    </w:pPr>
    <w:rPr>
      <w:sz w:val="20"/>
    </w:rPr>
  </w:style>
  <w:style w:type="paragraph" w:customStyle="1" w:styleId="MarginIcons">
    <w:name w:val="Margin Icons"/>
    <w:basedOn w:val="BodyText"/>
    <w:rsid w:val="00AE6D4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E6D4C"/>
    <w:rPr>
      <w:rFonts w:ascii="Courier New" w:hAnsi="Courier New"/>
    </w:rPr>
  </w:style>
  <w:style w:type="paragraph" w:customStyle="1" w:styleId="NoteBullet">
    <w:name w:val="Note Bullet"/>
    <w:basedOn w:val="Note"/>
    <w:rsid w:val="00AE6D4C"/>
    <w:pPr>
      <w:tabs>
        <w:tab w:val="clear" w:pos="680"/>
      </w:tabs>
      <w:spacing w:before="60" w:after="60"/>
    </w:pPr>
  </w:style>
  <w:style w:type="paragraph" w:customStyle="1" w:styleId="SubHeading2">
    <w:name w:val="SubHeading2"/>
    <w:basedOn w:val="HeadingBase"/>
    <w:rsid w:val="00AE6D4C"/>
    <w:pPr>
      <w:spacing w:before="240" w:after="60"/>
    </w:pPr>
    <w:rPr>
      <w:sz w:val="20"/>
    </w:rPr>
  </w:style>
  <w:style w:type="paragraph" w:customStyle="1" w:styleId="SubHeading1">
    <w:name w:val="SubHeading1"/>
    <w:basedOn w:val="HeadingBase"/>
    <w:rsid w:val="00AE6D4C"/>
    <w:pPr>
      <w:spacing w:before="240" w:after="60"/>
    </w:pPr>
    <w:rPr>
      <w:color w:val="918585"/>
      <w:sz w:val="22"/>
    </w:rPr>
  </w:style>
  <w:style w:type="paragraph" w:customStyle="1" w:styleId="SideHeading">
    <w:name w:val="Side Heading"/>
    <w:basedOn w:val="HeadingBase"/>
    <w:rsid w:val="00AE6D4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E6D4C"/>
    <w:pPr>
      <w:numPr>
        <w:numId w:val="12"/>
      </w:numPr>
    </w:pPr>
  </w:style>
  <w:style w:type="paragraph" w:styleId="PlainText">
    <w:name w:val="Plain Text"/>
    <w:basedOn w:val="Normal"/>
    <w:link w:val="PlainTextChar"/>
    <w:rsid w:val="00AE6D4C"/>
    <w:rPr>
      <w:sz w:val="20"/>
    </w:rPr>
  </w:style>
  <w:style w:type="character" w:customStyle="1" w:styleId="PlainTextChar">
    <w:name w:val="Plain Text Char"/>
    <w:basedOn w:val="DefaultParagraphFont"/>
    <w:link w:val="PlainText"/>
    <w:rsid w:val="00AE6D4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E6D4C"/>
    <w:rPr>
      <w:b/>
      <w:smallCaps/>
    </w:rPr>
  </w:style>
  <w:style w:type="paragraph" w:customStyle="1" w:styleId="TableListNumber">
    <w:name w:val="Table List Number"/>
    <w:basedOn w:val="ListNumber"/>
    <w:rsid w:val="00AE6D4C"/>
    <w:pPr>
      <w:numPr>
        <w:numId w:val="0"/>
      </w:numPr>
    </w:pPr>
  </w:style>
  <w:style w:type="paragraph" w:styleId="TOC4">
    <w:name w:val="toc 4"/>
    <w:basedOn w:val="TOCBase"/>
    <w:next w:val="Normal"/>
    <w:semiHidden/>
    <w:rsid w:val="00AE6D4C"/>
    <w:pPr>
      <w:tabs>
        <w:tab w:val="right" w:leader="dot" w:pos="9071"/>
      </w:tabs>
      <w:ind w:left="1701"/>
    </w:pPr>
  </w:style>
  <w:style w:type="paragraph" w:customStyle="1" w:styleId="ListAlpha">
    <w:name w:val="List Alpha"/>
    <w:basedOn w:val="List"/>
    <w:rsid w:val="00AE6D4C"/>
    <w:pPr>
      <w:numPr>
        <w:numId w:val="9"/>
      </w:numPr>
    </w:pPr>
  </w:style>
  <w:style w:type="paragraph" w:customStyle="1" w:styleId="ListAlpha2">
    <w:name w:val="List Alpha 2"/>
    <w:basedOn w:val="List2"/>
    <w:rsid w:val="00AE6D4C"/>
    <w:pPr>
      <w:numPr>
        <w:numId w:val="8"/>
      </w:numPr>
    </w:pPr>
  </w:style>
  <w:style w:type="paragraph" w:styleId="List3">
    <w:name w:val="List 3"/>
    <w:basedOn w:val="BodyText"/>
    <w:rsid w:val="00AE6D4C"/>
    <w:pPr>
      <w:tabs>
        <w:tab w:val="left" w:pos="1021"/>
      </w:tabs>
      <w:spacing w:before="60" w:after="60"/>
      <w:ind w:left="1020" w:hanging="340"/>
    </w:pPr>
  </w:style>
  <w:style w:type="paragraph" w:styleId="List4">
    <w:name w:val="List 4"/>
    <w:basedOn w:val="BodyText"/>
    <w:rsid w:val="00AE6D4C"/>
    <w:pPr>
      <w:tabs>
        <w:tab w:val="left" w:pos="1361"/>
      </w:tabs>
      <w:spacing w:before="60" w:after="60"/>
      <w:ind w:left="1361" w:hanging="340"/>
    </w:pPr>
  </w:style>
  <w:style w:type="paragraph" w:styleId="List5">
    <w:name w:val="List 5"/>
    <w:basedOn w:val="BodyText"/>
    <w:rsid w:val="00AE6D4C"/>
    <w:pPr>
      <w:tabs>
        <w:tab w:val="left" w:pos="1701"/>
      </w:tabs>
      <w:spacing w:before="60" w:after="60"/>
      <w:ind w:left="1701" w:hanging="340"/>
    </w:pPr>
  </w:style>
  <w:style w:type="paragraph" w:styleId="ListBullet3">
    <w:name w:val="List Bullet 3"/>
    <w:basedOn w:val="List3"/>
    <w:rsid w:val="00AE6D4C"/>
    <w:pPr>
      <w:numPr>
        <w:numId w:val="15"/>
      </w:numPr>
      <w:tabs>
        <w:tab w:val="clear" w:pos="1021"/>
      </w:tabs>
      <w:ind w:left="1037" w:hanging="357"/>
    </w:pPr>
  </w:style>
  <w:style w:type="paragraph" w:styleId="ListBullet4">
    <w:name w:val="List Bullet 4"/>
    <w:basedOn w:val="List4"/>
    <w:rsid w:val="00AE6D4C"/>
    <w:pPr>
      <w:numPr>
        <w:numId w:val="3"/>
      </w:numPr>
    </w:pPr>
  </w:style>
  <w:style w:type="paragraph" w:styleId="ListBullet5">
    <w:name w:val="List Bullet 5"/>
    <w:basedOn w:val="List5"/>
    <w:rsid w:val="00AE6D4C"/>
    <w:pPr>
      <w:numPr>
        <w:numId w:val="4"/>
      </w:numPr>
    </w:pPr>
  </w:style>
  <w:style w:type="paragraph" w:styleId="ListContinue2">
    <w:name w:val="List Continue 2"/>
    <w:basedOn w:val="List2"/>
    <w:rsid w:val="00AE6D4C"/>
    <w:pPr>
      <w:ind w:firstLine="0"/>
    </w:pPr>
  </w:style>
  <w:style w:type="paragraph" w:styleId="ListContinue3">
    <w:name w:val="List Continue 3"/>
    <w:basedOn w:val="List3"/>
    <w:rsid w:val="00AE6D4C"/>
    <w:pPr>
      <w:ind w:left="1021" w:firstLine="0"/>
    </w:pPr>
  </w:style>
  <w:style w:type="paragraph" w:styleId="ListContinue4">
    <w:name w:val="List Continue 4"/>
    <w:basedOn w:val="List4"/>
    <w:rsid w:val="00AE6D4C"/>
    <w:pPr>
      <w:ind w:firstLine="0"/>
    </w:pPr>
  </w:style>
  <w:style w:type="paragraph" w:styleId="ListContinue5">
    <w:name w:val="List Continue 5"/>
    <w:basedOn w:val="List5"/>
    <w:rsid w:val="00AE6D4C"/>
    <w:pPr>
      <w:ind w:firstLine="0"/>
    </w:pPr>
  </w:style>
  <w:style w:type="paragraph" w:styleId="ListNumber3">
    <w:name w:val="List Number 3"/>
    <w:basedOn w:val="List3"/>
    <w:rsid w:val="00AE6D4C"/>
    <w:pPr>
      <w:numPr>
        <w:numId w:val="5"/>
      </w:numPr>
    </w:pPr>
  </w:style>
  <w:style w:type="paragraph" w:styleId="ListNumber4">
    <w:name w:val="List Number 4"/>
    <w:basedOn w:val="List4"/>
    <w:rsid w:val="00AE6D4C"/>
    <w:pPr>
      <w:numPr>
        <w:numId w:val="6"/>
      </w:numPr>
    </w:pPr>
  </w:style>
  <w:style w:type="paragraph" w:styleId="ListNumber5">
    <w:name w:val="List Number 5"/>
    <w:basedOn w:val="List5"/>
    <w:rsid w:val="00AE6D4C"/>
    <w:pPr>
      <w:numPr>
        <w:numId w:val="7"/>
      </w:numPr>
    </w:pPr>
  </w:style>
  <w:style w:type="paragraph" w:styleId="BlockText">
    <w:name w:val="Block Text"/>
    <w:basedOn w:val="Normal"/>
    <w:rsid w:val="00AE6D4C"/>
    <w:pPr>
      <w:spacing w:after="120"/>
      <w:ind w:left="1440" w:right="1440"/>
    </w:pPr>
  </w:style>
  <w:style w:type="character" w:customStyle="1" w:styleId="Subscript">
    <w:name w:val="Subscript"/>
    <w:basedOn w:val="DefaultParagraphFont"/>
    <w:rsid w:val="00AE6D4C"/>
    <w:rPr>
      <w:sz w:val="16"/>
      <w:vertAlign w:val="subscript"/>
    </w:rPr>
  </w:style>
  <w:style w:type="character" w:customStyle="1" w:styleId="Superscript">
    <w:name w:val="Superscript"/>
    <w:basedOn w:val="DefaultParagraphFont"/>
    <w:rsid w:val="00AE6D4C"/>
    <w:rPr>
      <w:sz w:val="16"/>
      <w:vertAlign w:val="superscript"/>
    </w:rPr>
  </w:style>
  <w:style w:type="character" w:customStyle="1" w:styleId="Symbols">
    <w:name w:val="Symbols"/>
    <w:basedOn w:val="DefaultParagraphFont"/>
    <w:rsid w:val="00AE6D4C"/>
    <w:rPr>
      <w:rFonts w:ascii="Symbol" w:hAnsi="Symbol"/>
    </w:rPr>
  </w:style>
  <w:style w:type="character" w:customStyle="1" w:styleId="MenuOptions">
    <w:name w:val="Menu Options"/>
    <w:basedOn w:val="DefaultParagraphFont"/>
    <w:rsid w:val="00AE6D4C"/>
    <w:rPr>
      <w:rFonts w:ascii="Arial Narrow" w:hAnsi="Arial Narrow"/>
      <w:smallCaps/>
    </w:rPr>
  </w:style>
  <w:style w:type="character" w:customStyle="1" w:styleId="Buttons">
    <w:name w:val="Buttons"/>
    <w:basedOn w:val="DefaultParagraphFont"/>
    <w:rsid w:val="00AE6D4C"/>
    <w:rPr>
      <w:b/>
    </w:rPr>
  </w:style>
  <w:style w:type="character" w:customStyle="1" w:styleId="Underlined">
    <w:name w:val="Underlined"/>
    <w:basedOn w:val="DefaultParagraphFont"/>
    <w:rsid w:val="00AE6D4C"/>
    <w:rPr>
      <w:u w:val="single"/>
    </w:rPr>
  </w:style>
  <w:style w:type="paragraph" w:customStyle="1" w:styleId="TableBodyTextRight">
    <w:name w:val="Table Body Text Right"/>
    <w:basedOn w:val="TableBodyText"/>
    <w:rsid w:val="00AE6D4C"/>
    <w:pPr>
      <w:widowControl w:val="0"/>
      <w:autoSpaceDE w:val="0"/>
      <w:autoSpaceDN w:val="0"/>
      <w:adjustRightInd w:val="0"/>
      <w:jc w:val="right"/>
    </w:pPr>
    <w:rPr>
      <w:rFonts w:cs="Arial"/>
      <w:szCs w:val="18"/>
    </w:rPr>
  </w:style>
  <w:style w:type="paragraph" w:customStyle="1" w:styleId="CopyrightText">
    <w:name w:val="Copyright Text"/>
    <w:basedOn w:val="BodyText"/>
    <w:rsid w:val="00AE6D4C"/>
    <w:rPr>
      <w:sz w:val="18"/>
    </w:rPr>
  </w:style>
  <w:style w:type="paragraph" w:customStyle="1" w:styleId="BodySmallRight">
    <w:name w:val="Body Small Right"/>
    <w:basedOn w:val="BodyTextRight"/>
    <w:rsid w:val="00AE6D4C"/>
    <w:rPr>
      <w:sz w:val="18"/>
      <w:szCs w:val="18"/>
    </w:rPr>
  </w:style>
  <w:style w:type="paragraph" w:customStyle="1" w:styleId="MarginEdition">
    <w:name w:val="Margin Edition"/>
    <w:basedOn w:val="MarginNote"/>
    <w:rsid w:val="00AE6D4C"/>
    <w:pPr>
      <w:spacing w:before="0" w:after="0"/>
    </w:pPr>
    <w:rPr>
      <w:rFonts w:ascii="Times New Roman" w:hAnsi="Times New Roman"/>
      <w:color w:val="999999"/>
    </w:rPr>
  </w:style>
  <w:style w:type="paragraph" w:customStyle="1" w:styleId="Spacer">
    <w:name w:val="Spacer"/>
    <w:basedOn w:val="Normal"/>
    <w:rsid w:val="00AE6D4C"/>
    <w:rPr>
      <w:sz w:val="2"/>
      <w:szCs w:val="2"/>
    </w:rPr>
  </w:style>
  <w:style w:type="character" w:customStyle="1" w:styleId="Small">
    <w:name w:val="Small"/>
    <w:basedOn w:val="DefaultParagraphFont"/>
    <w:rsid w:val="00AE6D4C"/>
    <w:rPr>
      <w:sz w:val="16"/>
    </w:rPr>
  </w:style>
  <w:style w:type="paragraph" w:customStyle="1" w:styleId="WideTable">
    <w:name w:val="Wide Table"/>
    <w:basedOn w:val="Normal"/>
    <w:rsid w:val="00AE6D4C"/>
    <w:pPr>
      <w:ind w:left="-1418"/>
    </w:pPr>
    <w:rPr>
      <w:sz w:val="2"/>
      <w:szCs w:val="2"/>
    </w:rPr>
  </w:style>
  <w:style w:type="character" w:styleId="PageNumber">
    <w:name w:val="page number"/>
    <w:basedOn w:val="DefaultParagraphFont"/>
    <w:rsid w:val="00AE6D4C"/>
  </w:style>
  <w:style w:type="paragraph" w:styleId="Quote">
    <w:name w:val="Quote"/>
    <w:basedOn w:val="Heading1"/>
    <w:link w:val="QuoteChar"/>
    <w:qFormat/>
    <w:rsid w:val="00AE6D4C"/>
    <w:rPr>
      <w:b w:val="0"/>
      <w:sz w:val="72"/>
      <w:szCs w:val="72"/>
      <w:lang w:val="en-NZ"/>
    </w:rPr>
  </w:style>
  <w:style w:type="character" w:customStyle="1" w:styleId="QuoteChar">
    <w:name w:val="Quote Char"/>
    <w:basedOn w:val="DefaultParagraphFont"/>
    <w:link w:val="Quote"/>
    <w:rsid w:val="00AE6D4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E6D4C"/>
    <w:pPr>
      <w:pageBreakBefore/>
    </w:pPr>
  </w:style>
  <w:style w:type="paragraph" w:customStyle="1" w:styleId="Border">
    <w:name w:val="Border"/>
    <w:basedOn w:val="Normal"/>
    <w:qFormat/>
    <w:rsid w:val="00AE6D4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E6D4C"/>
    <w:rPr>
      <w:b/>
      <w:bCs/>
      <w:i/>
      <w:iCs/>
      <w:color w:val="auto"/>
    </w:rPr>
  </w:style>
  <w:style w:type="paragraph" w:styleId="IntenseQuote">
    <w:name w:val="Intense Quote"/>
    <w:basedOn w:val="Normal"/>
    <w:next w:val="Normal"/>
    <w:link w:val="IntenseQuoteChar"/>
    <w:uiPriority w:val="30"/>
    <w:qFormat/>
    <w:rsid w:val="00AE6D4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E6D4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E6D4C"/>
    <w:rPr>
      <w:smallCaps/>
      <w:color w:val="auto"/>
      <w:u w:val="single"/>
    </w:rPr>
  </w:style>
  <w:style w:type="character" w:styleId="IntenseReference">
    <w:name w:val="Intense Reference"/>
    <w:basedOn w:val="DefaultParagraphFont"/>
    <w:uiPriority w:val="32"/>
    <w:qFormat/>
    <w:rsid w:val="00AE6D4C"/>
    <w:rPr>
      <w:b/>
      <w:bCs/>
      <w:smallCaps/>
      <w:color w:val="auto"/>
      <w:spacing w:val="5"/>
      <w:u w:val="single"/>
    </w:rPr>
  </w:style>
  <w:style w:type="paragraph" w:customStyle="1" w:styleId="2ColumnHeading">
    <w:name w:val="2Column Heading"/>
    <w:basedOn w:val="BodyText"/>
    <w:qFormat/>
    <w:rsid w:val="00AE6D4C"/>
    <w:pPr>
      <w:spacing w:after="60"/>
      <w:ind w:left="-2268"/>
    </w:pPr>
    <w:rPr>
      <w:b/>
    </w:rPr>
  </w:style>
  <w:style w:type="paragraph" w:customStyle="1" w:styleId="Heading1TOC">
    <w:name w:val="Heading1 TOC"/>
    <w:basedOn w:val="Normal"/>
    <w:qFormat/>
    <w:rsid w:val="00AE6D4C"/>
    <w:pPr>
      <w:spacing w:before="240" w:after="120"/>
    </w:pPr>
    <w:rPr>
      <w:rFonts w:ascii="Times New Roman" w:hAnsi="Times New Roman"/>
      <w:b/>
      <w:sz w:val="32"/>
    </w:rPr>
  </w:style>
  <w:style w:type="paragraph" w:customStyle="1" w:styleId="Heading2TOC">
    <w:name w:val="Heading2 TOC"/>
    <w:basedOn w:val="Normal"/>
    <w:qFormat/>
    <w:rsid w:val="00AE6D4C"/>
    <w:pPr>
      <w:spacing w:before="240" w:after="60"/>
    </w:pPr>
    <w:rPr>
      <w:rFonts w:ascii="Times New Roman" w:hAnsi="Times New Roman"/>
      <w:b/>
      <w:sz w:val="28"/>
    </w:rPr>
  </w:style>
  <w:style w:type="character" w:customStyle="1" w:styleId="Underline">
    <w:name w:val="Underline"/>
    <w:basedOn w:val="DefaultParagraphFont"/>
    <w:qFormat/>
    <w:rsid w:val="00AE6D4C"/>
    <w:rPr>
      <w:u w:val="single"/>
    </w:rPr>
  </w:style>
  <w:style w:type="paragraph" w:styleId="BalloonText">
    <w:name w:val="Balloon Text"/>
    <w:basedOn w:val="Normal"/>
    <w:link w:val="BalloonTextChar"/>
    <w:rsid w:val="00AE6D4C"/>
    <w:rPr>
      <w:rFonts w:ascii="Tahoma" w:hAnsi="Tahoma" w:cs="Tahoma"/>
      <w:sz w:val="16"/>
      <w:szCs w:val="16"/>
    </w:rPr>
  </w:style>
  <w:style w:type="character" w:customStyle="1" w:styleId="BalloonTextChar">
    <w:name w:val="Balloon Text Char"/>
    <w:basedOn w:val="DefaultParagraphFont"/>
    <w:link w:val="BalloonText"/>
    <w:rsid w:val="00AE6D4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E6D4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E6D4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2129</Words>
  <Characters>13537</Characters>
  <Application>Microsoft Office Word</Application>
  <DocSecurity>0</DocSecurity>
  <Lines>450</Lines>
  <Paragraphs>244</Paragraphs>
  <ScaleCrop>false</ScaleCrop>
  <Company>Author-it Software Corporation Ltd.</Company>
  <LinksUpToDate>false</LinksUpToDate>
  <CharactersWithSpaces>15578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CPPDSM4015B Minimise agency and consumer risk</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2012-05-26T06:07:00Z</dcterms:created>
  <dcterms:modified xsi:type="dcterms:W3CDTF">2012-05-26T06:07:00Z</dcterms:modified>
</cp:coreProperties>
</file>