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619B" w:rsidP="00E7619B">
      <w:pPr>
        <w:pStyle w:val="Title"/>
      </w:pPr>
      <w:r>
        <w:fldChar w:fldCharType="begin"/>
      </w:r>
      <w:r>
        <w:instrText xml:space="preserve"> TITLE   \* MERGEFORMAT </w:instrText>
      </w:r>
      <w:r>
        <w:fldChar w:fldCharType="separate"/>
      </w:r>
      <w:r>
        <w:t>CPPDSM3018B Identify risks to agency operations</w:t>
      </w:r>
      <w:r>
        <w:fldChar w:fldCharType="end"/>
      </w:r>
    </w:p>
    <w:p w:rsidR="00E7619B" w:rsidP="00E7619B">
      <w:pPr>
        <w:pStyle w:val="Version"/>
        <w:sectPr w:rsidSect="00BA4C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C7A" w:rsidP="00BA4C7A">
      <w:pPr>
        <w:pStyle w:val="SuperHeading"/>
      </w:pPr>
      <w:r w:rsidRPr="00BA4C7A">
        <w:t>CPPDSM3018B Identify risks to agency operations</w:t>
      </w:r>
    </w:p>
    <w:p w:rsidR="00000000" w:rsidRPr="00BA4C7A" w:rsidP="00BA4C7A">
      <w:pPr>
        <w:pStyle w:val="Heading1"/>
      </w:pPr>
      <w:bookmarkStart w:id="1" w:name="O_270032"/>
      <w:bookmarkEnd w:id="1"/>
      <w:r w:rsidRPr="00BA4C7A">
        <w:t>Modification History</w:t>
      </w:r>
    </w:p>
    <w:p w:rsidR="00000000" w:rsidRPr="00BA4C7A" w:rsidP="00BA4C7A">
      <w:pPr>
        <w:pStyle w:val="BodyText"/>
      </w:pPr>
      <w:r w:rsidRPr="00BA4C7A">
        <w:t>Not Applicable</w:t>
      </w:r>
    </w:p>
    <w:p w:rsidR="00000000" w:rsidRPr="00BA4C7A" w:rsidP="00BA4C7A">
      <w:pPr>
        <w:pStyle w:val="AllowPageBreak"/>
      </w:pPr>
    </w:p>
    <w:p w:rsidR="00000000" w:rsidRPr="00BA4C7A" w:rsidP="00BA4C7A">
      <w:pPr>
        <w:pStyle w:val="Heading1"/>
      </w:pPr>
      <w:bookmarkStart w:id="2" w:name="O_200832"/>
      <w:bookmarkEnd w:id="2"/>
      <w:r w:rsidRPr="00BA4C7A">
        <w:t>Unit Descriptor</w:t>
      </w:r>
    </w:p>
    <w:tbl>
      <w:tblPr>
        <w:tblW w:w="0" w:type="auto"/>
        <w:tblLayout w:type="fixed"/>
        <w:tblCellMar>
          <w:left w:w="62" w:type="dxa"/>
          <w:right w:w="62" w:type="dxa"/>
        </w:tblCellMar>
        <w:tblLook w:val="0000"/>
      </w:tblPr>
      <w:tblGrid>
        <w:gridCol w:w="2926"/>
        <w:gridCol w:w="5596"/>
      </w:tblGrid>
      <w:tr w:rsidTr="00E7619B">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BA4C7A">
            <w:pPr>
              <w:pStyle w:val="BodyText"/>
              <w:rPr>
                <w:lang w:val="en-NZ"/>
              </w:rPr>
            </w:pPr>
            <w:r w:rsidRPr="00BA4C7A">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BA4C7A" w:rsidP="00BA4C7A">
            <w:pPr>
              <w:pStyle w:val="BodyText"/>
            </w:pPr>
            <w:r w:rsidRPr="00BA4C7A">
              <w:t>This unit of competency specifies the outcomes required to identify risks to agency operati</w:t>
            </w:r>
            <w:r w:rsidRPr="00BA4C7A">
              <w:t>ons. It includes identifying potential risks, identifying the causes and potential impact of risks, and implementing agency procedures for responding to risks.</w:t>
            </w:r>
          </w:p>
          <w:p w:rsidR="00000000" w:rsidRPr="00BA4C7A" w:rsidP="00BA4C7A">
            <w:pPr>
              <w:pStyle w:val="BodyText"/>
            </w:pPr>
            <w:r w:rsidRPr="00BA4C7A">
              <w:t>The unit may form part of the licensing requirements for persons engaged in property development</w:t>
            </w:r>
            <w:r w:rsidRPr="00BA4C7A">
              <w:t xml:space="preserve"> and management activities, including those working in the real estate, business broking, stock and station agency and property operations and development sectors, in those States and Territories where these are regulated activities.</w:t>
            </w:r>
          </w:p>
        </w:tc>
      </w:tr>
    </w:tbl>
    <w:p w:rsidR="00E7619B" w:rsidP="00BA4C7A">
      <w:pPr>
        <w:pStyle w:val="BodyText"/>
      </w:pPr>
    </w:p>
    <w:p w:rsidR="00E7619B" w:rsidP="00BA4C7A">
      <w:pPr>
        <w:pStyle w:val="BodyText"/>
      </w:pPr>
    </w:p>
    <w:p w:rsidR="00000000" w:rsidRPr="00BA4C7A" w:rsidP="00BA4C7A">
      <w:pPr>
        <w:pStyle w:val="Heading1"/>
      </w:pPr>
      <w:bookmarkStart w:id="3" w:name="O_200835"/>
      <w:bookmarkEnd w:id="3"/>
      <w:r w:rsidRPr="00BA4C7A">
        <w:t>Application of the Unit</w:t>
      </w:r>
    </w:p>
    <w:tbl>
      <w:tblPr>
        <w:tblW w:w="0" w:type="auto"/>
        <w:tblLayout w:type="fixed"/>
        <w:tblCellMar>
          <w:left w:w="62" w:type="dxa"/>
          <w:right w:w="62" w:type="dxa"/>
        </w:tblCellMar>
        <w:tblLook w:val="0000"/>
      </w:tblPr>
      <w:tblGrid>
        <w:gridCol w:w="2926"/>
        <w:gridCol w:w="5596"/>
      </w:tblGrid>
      <w:tr w:rsidTr="00E7619B">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BA4C7A">
            <w:pPr>
              <w:pStyle w:val="BodyText"/>
              <w:rPr>
                <w:lang w:val="en-NZ"/>
              </w:rPr>
            </w:pPr>
            <w:r w:rsidRPr="00BA4C7A">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BA4C7A" w:rsidP="00BA4C7A">
            <w:pPr>
              <w:pStyle w:val="BodyText"/>
            </w:pPr>
            <w:r w:rsidRPr="00BA4C7A">
              <w:t>This unit of competency supports the work of all staff involved in identifying and responding to risks in an agency environment.</w:t>
            </w:r>
          </w:p>
        </w:tc>
      </w:tr>
    </w:tbl>
    <w:p w:rsidR="00E7619B" w:rsidP="00BA4C7A">
      <w:pPr>
        <w:pStyle w:val="BodyText"/>
      </w:pPr>
    </w:p>
    <w:p w:rsidR="00E7619B" w:rsidP="00BA4C7A">
      <w:pPr>
        <w:pStyle w:val="BodyText"/>
      </w:pPr>
    </w:p>
    <w:p w:rsidR="00000000" w:rsidRPr="00BA4C7A" w:rsidP="00BA4C7A">
      <w:pPr>
        <w:pStyle w:val="Heading1"/>
      </w:pPr>
      <w:bookmarkStart w:id="4" w:name="O_278292"/>
      <w:bookmarkEnd w:id="4"/>
      <w:r w:rsidRPr="00BA4C7A">
        <w:t>Licensing/Regulatory Information</w:t>
      </w:r>
    </w:p>
    <w:p w:rsidR="00000000" w:rsidRPr="00BA4C7A" w:rsidP="00BA4C7A">
      <w:pPr>
        <w:pStyle w:val="BodyText"/>
      </w:pPr>
      <w:r w:rsidRPr="00BA4C7A">
        <w:t>Refer to Unit Descriptor</w:t>
      </w:r>
    </w:p>
    <w:p w:rsidR="00000000" w:rsidRPr="00BA4C7A" w:rsidP="00BA4C7A">
      <w:pPr>
        <w:pStyle w:val="AllowPageBreak"/>
      </w:pPr>
    </w:p>
    <w:p w:rsidR="00000000" w:rsidRPr="00BA4C7A" w:rsidP="00BA4C7A">
      <w:pPr>
        <w:pStyle w:val="Heading1"/>
      </w:pPr>
      <w:bookmarkStart w:id="5" w:name="O_200834"/>
      <w:bookmarkEnd w:id="5"/>
      <w:r w:rsidRPr="00BA4C7A">
        <w:t>Pre-Requisites</w:t>
      </w:r>
    </w:p>
    <w:tbl>
      <w:tblPr>
        <w:tblW w:w="0" w:type="auto"/>
        <w:tblLayout w:type="fixed"/>
        <w:tblCellMar>
          <w:left w:w="62" w:type="dxa"/>
          <w:right w:w="62" w:type="dxa"/>
        </w:tblCellMar>
        <w:tblLook w:val="0000"/>
      </w:tblPr>
      <w:tblGrid>
        <w:gridCol w:w="2926"/>
        <w:gridCol w:w="5596"/>
      </w:tblGrid>
      <w:tr w:rsidTr="00E7619B">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BA4C7A">
            <w:pPr>
              <w:pStyle w:val="BodyText"/>
              <w:rPr>
                <w:lang w:val="en-NZ"/>
              </w:rPr>
            </w:pPr>
            <w:r w:rsidRPr="00BA4C7A">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BA4C7A" w:rsidP="00BA4C7A">
            <w:pPr>
              <w:pStyle w:val="BodyText"/>
            </w:pPr>
            <w:r w:rsidRPr="00BA4C7A">
              <w:t>Nil</w:t>
            </w:r>
          </w:p>
        </w:tc>
      </w:tr>
    </w:tbl>
    <w:p w:rsidR="00E7619B" w:rsidP="00BA4C7A">
      <w:pPr>
        <w:pStyle w:val="BodyText"/>
      </w:pPr>
    </w:p>
    <w:p w:rsidR="00E7619B" w:rsidP="00BA4C7A">
      <w:pPr>
        <w:pStyle w:val="BodyText"/>
      </w:pPr>
    </w:p>
    <w:p w:rsidR="00000000" w:rsidRPr="00BA4C7A" w:rsidP="00BA4C7A">
      <w:pPr>
        <w:pStyle w:val="Heading1"/>
      </w:pPr>
      <w:bookmarkStart w:id="6" w:name="O_200833"/>
      <w:bookmarkEnd w:id="6"/>
      <w:r w:rsidRPr="00BA4C7A">
        <w:t>Employability Skills Information</w:t>
      </w:r>
    </w:p>
    <w:tbl>
      <w:tblPr>
        <w:tblW w:w="0" w:type="auto"/>
        <w:tblLayout w:type="fixed"/>
        <w:tblCellMar>
          <w:left w:w="62" w:type="dxa"/>
          <w:right w:w="62" w:type="dxa"/>
        </w:tblCellMar>
        <w:tblLook w:val="0000"/>
      </w:tblPr>
      <w:tblGrid>
        <w:gridCol w:w="2926"/>
        <w:gridCol w:w="5596"/>
      </w:tblGrid>
      <w:tr w:rsidTr="00E7619B">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BA4C7A">
            <w:pPr>
              <w:pStyle w:val="BodyText"/>
              <w:rPr>
                <w:lang w:val="en-NZ"/>
              </w:rPr>
            </w:pPr>
            <w:r w:rsidRPr="00BA4C7A">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BA4C7A" w:rsidP="00BA4C7A">
            <w:pPr>
              <w:pStyle w:val="BodyText"/>
            </w:pPr>
            <w:r w:rsidRPr="00BA4C7A">
              <w:t>The required outcomes described in this unit of competency contain applicable facets of employability skills. The Employability Skills Summary of the qualification in which this unit of competency is packaged, will assist in identifying employability skill</w:t>
            </w:r>
            <w:r w:rsidRPr="00BA4C7A">
              <w:t>s requirements.</w:t>
            </w:r>
          </w:p>
        </w:tc>
      </w:tr>
    </w:tbl>
    <w:p w:rsidR="00E7619B" w:rsidP="00BA4C7A">
      <w:pPr>
        <w:pStyle w:val="BodyText"/>
      </w:pPr>
    </w:p>
    <w:p w:rsidR="00E7619B" w:rsidP="00BA4C7A">
      <w:pPr>
        <w:pStyle w:val="BodyText"/>
      </w:pPr>
    </w:p>
    <w:p w:rsidR="00000000" w:rsidRPr="00BA4C7A" w:rsidP="00BA4C7A">
      <w:pPr>
        <w:pStyle w:val="Heading1"/>
      </w:pPr>
      <w:bookmarkStart w:id="7" w:name="O_288078"/>
      <w:bookmarkEnd w:id="7"/>
      <w:r w:rsidRPr="00BA4C7A">
        <w:t>Elements and Performance Criteria Pre-Content</w:t>
      </w:r>
    </w:p>
    <w:tbl>
      <w:tblPr>
        <w:tblW w:w="0" w:type="auto"/>
        <w:tblLayout w:type="fixed"/>
        <w:tblCellMar>
          <w:left w:w="62" w:type="dxa"/>
          <w:right w:w="62" w:type="dxa"/>
        </w:tblCellMar>
        <w:tblLook w:val="0000"/>
      </w:tblPr>
      <w:tblGrid>
        <w:gridCol w:w="2980"/>
        <w:gridCol w:w="5760"/>
      </w:tblGrid>
      <w:tr w:rsidTr="00E7619B">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BA4C7A">
            <w:pPr>
              <w:pStyle w:val="BodyText"/>
              <w:rPr>
                <w:lang w:val="en-NZ"/>
              </w:rPr>
            </w:pPr>
            <w:r w:rsidRPr="00BA4C7A">
              <w:t>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A4C7A" w:rsidP="00BA4C7A">
            <w:pPr>
              <w:pStyle w:val="BodyText"/>
            </w:pPr>
            <w:r w:rsidRPr="00BA4C7A">
              <w:t>Performance criteria describe the required performance needed to demonstrate achievement of the element. Whe</w:t>
            </w:r>
            <w:r w:rsidRPr="00BA4C7A">
              <w:t xml:space="preserve">re </w:t>
            </w:r>
            <w:r w:rsidRPr="00BA4C7A">
              <w:rPr>
                <w:rStyle w:val="BoldandItalics"/>
              </w:rPr>
              <w:t>bold italicised</w:t>
            </w:r>
            <w:r w:rsidRPr="00BA4C7A">
              <w:t xml:space="preserve"> text is used, further information is detailed in the required skills and knowledge and/or the range statement. Assessment of performance is to be consistent with the evidence guide.</w:t>
            </w:r>
          </w:p>
        </w:tc>
      </w:tr>
    </w:tbl>
    <w:p w:rsidR="00000000" w:rsidRPr="00BA4C7A" w:rsidP="00BA4C7A">
      <w:pPr>
        <w:pStyle w:val="BodyText"/>
      </w:pPr>
    </w:p>
    <w:p w:rsidR="00000000" w:rsidRPr="00BA4C7A" w:rsidP="00BA4C7A">
      <w:pPr>
        <w:pStyle w:val="AllowPageBreak"/>
      </w:pPr>
    </w:p>
    <w:p w:rsidR="00000000" w:rsidRPr="00BA4C7A" w:rsidP="00BA4C7A">
      <w:pPr>
        <w:pStyle w:val="Heading1"/>
      </w:pPr>
      <w:bookmarkStart w:id="8" w:name="O_234745"/>
      <w:bookmarkEnd w:id="8"/>
      <w:r w:rsidRPr="00BA4C7A">
        <w:t>Elements and Performance Criteria</w:t>
      </w:r>
    </w:p>
    <w:tbl>
      <w:tblPr>
        <w:tblW w:w="0" w:type="auto"/>
        <w:tblLayout w:type="fixed"/>
        <w:tblCellMar>
          <w:left w:w="62" w:type="dxa"/>
          <w:right w:w="62" w:type="dxa"/>
        </w:tblCellMar>
        <w:tblLook w:val="0000"/>
      </w:tblPr>
      <w:tblGrid>
        <w:gridCol w:w="2970"/>
        <w:gridCol w:w="18"/>
        <w:gridCol w:w="5742"/>
        <w:gridCol w:w="18"/>
      </w:tblGrid>
      <w:tr w:rsidTr="00E7619B">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BA4C7A" w:rsidP="00BA4C7A">
            <w:pPr>
              <w:pStyle w:val="List"/>
            </w:pPr>
            <w:r w:rsidRPr="00BA4C7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A4C7A">
            <w:pPr>
              <w:pStyle w:val="List"/>
              <w:rPr>
                <w:lang w:val="en-NZ"/>
              </w:rPr>
            </w:pPr>
            <w:r w:rsidRPr="00BA4C7A">
              <w:rPr>
                <w:rStyle w:val="SpecialBold"/>
              </w:rPr>
              <w:t>PERFORMANCE CRITERIA</w:t>
            </w:r>
          </w:p>
        </w:tc>
      </w:tr>
      <w:tr w:rsidTr="00E7619B">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BA4C7A">
            <w:pPr>
              <w:pStyle w:val="List"/>
              <w:rPr>
                <w:lang w:val="en-NZ"/>
              </w:rPr>
            </w:pPr>
            <w:r w:rsidRPr="00BA4C7A">
              <w:rPr>
                <w:rStyle w:val="SpecialBold"/>
              </w:rPr>
              <w:t>1</w:t>
            </w:r>
            <w:r w:rsidRPr="00BA4C7A">
              <w:tab/>
            </w:r>
            <w:r w:rsidRPr="00BA4C7A">
              <w:rPr>
                <w:rStyle w:val="SpecialBold"/>
              </w:rPr>
              <w:t>Determine risks to agency operations</w:t>
            </w:r>
            <w:r w:rsidRPr="00BA4C7A">
              <w:t>.</w:t>
            </w:r>
          </w:p>
        </w:tc>
        <w:tc>
          <w:tcPr>
            <w:tcW w:w="5760" w:type="dxa"/>
            <w:gridSpan w:val="2"/>
            <w:tcBorders>
              <w:top w:val="nil"/>
              <w:left w:val="nil"/>
              <w:bottom w:val="nil"/>
              <w:right w:val="nil"/>
            </w:tcBorders>
            <w:tcMar>
              <w:top w:w="0" w:type="dxa"/>
              <w:left w:w="62" w:type="dxa"/>
              <w:bottom w:w="0" w:type="dxa"/>
              <w:right w:w="62" w:type="dxa"/>
            </w:tcMar>
          </w:tcPr>
          <w:p w:rsidR="00000000" w:rsidRPr="00BA4C7A" w:rsidP="00BA4C7A">
            <w:pPr>
              <w:pStyle w:val="List"/>
            </w:pPr>
            <w:r w:rsidRPr="00BA4C7A">
              <w:t>1.1</w:t>
            </w:r>
            <w:r w:rsidRPr="00BA4C7A">
              <w:tab/>
            </w:r>
            <w:r w:rsidRPr="00BA4C7A">
              <w:rPr>
                <w:rStyle w:val="BoldandItalics"/>
              </w:rPr>
              <w:t>Types of risks</w:t>
            </w:r>
            <w:r w:rsidRPr="00BA4C7A">
              <w:t xml:space="preserve"> to </w:t>
            </w:r>
            <w:r w:rsidRPr="00BA4C7A">
              <w:rPr>
                <w:rStyle w:val="BoldandItalics"/>
              </w:rPr>
              <w:t>agency</w:t>
            </w:r>
            <w:r w:rsidRPr="00BA4C7A">
              <w:t xml:space="preserve">, </w:t>
            </w:r>
            <w:r w:rsidRPr="00BA4C7A">
              <w:rPr>
                <w:rStyle w:val="BoldandItalics"/>
              </w:rPr>
              <w:t>clients and other stakeholders</w:t>
            </w:r>
            <w:r w:rsidRPr="00BA4C7A">
              <w:t xml:space="preserve"> are identified.</w:t>
            </w:r>
          </w:p>
          <w:p w:rsidR="00000000" w:rsidP="00BA4C7A">
            <w:pPr>
              <w:pStyle w:val="List"/>
              <w:rPr>
                <w:lang w:val="en-NZ"/>
              </w:rPr>
            </w:pPr>
            <w:r w:rsidRPr="00BA4C7A">
              <w:t>1.2</w:t>
            </w:r>
            <w:r w:rsidRPr="00BA4C7A">
              <w:tab/>
              <w:t>Agency procedures for identification of risks are identified.</w:t>
            </w:r>
          </w:p>
        </w:tc>
      </w:tr>
      <w:tr w:rsidTr="00E7619B">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BA4C7A">
            <w:pPr>
              <w:pStyle w:val="List"/>
              <w:rPr>
                <w:lang w:val="en-NZ"/>
              </w:rPr>
            </w:pPr>
            <w:r w:rsidRPr="00BA4C7A">
              <w:rPr>
                <w:rStyle w:val="SpecialBold"/>
              </w:rPr>
              <w:t>2</w:t>
            </w:r>
            <w:r w:rsidRPr="00BA4C7A">
              <w:tab/>
            </w:r>
            <w:r w:rsidRPr="00BA4C7A">
              <w:rPr>
                <w:rStyle w:val="SpecialBold"/>
              </w:rPr>
              <w:t>Identify causes and potential impact of risks on agency</w:t>
            </w:r>
            <w:r w:rsidRPr="00BA4C7A">
              <w:t>.</w:t>
            </w:r>
          </w:p>
        </w:tc>
        <w:tc>
          <w:tcPr>
            <w:tcW w:w="5760" w:type="dxa"/>
            <w:gridSpan w:val="2"/>
            <w:tcBorders>
              <w:top w:val="nil"/>
              <w:left w:val="nil"/>
              <w:bottom w:val="nil"/>
              <w:right w:val="nil"/>
            </w:tcBorders>
            <w:tcMar>
              <w:top w:w="0" w:type="dxa"/>
              <w:left w:w="62" w:type="dxa"/>
              <w:bottom w:w="0" w:type="dxa"/>
              <w:right w:w="62" w:type="dxa"/>
            </w:tcMar>
          </w:tcPr>
          <w:p w:rsidR="00000000" w:rsidRPr="00BA4C7A" w:rsidP="00BA4C7A">
            <w:pPr>
              <w:pStyle w:val="List"/>
            </w:pPr>
            <w:r w:rsidRPr="00BA4C7A">
              <w:t>2.1</w:t>
            </w:r>
            <w:r w:rsidRPr="00BA4C7A">
              <w:tab/>
            </w:r>
            <w:r w:rsidRPr="00BA4C7A">
              <w:rPr>
                <w:rStyle w:val="BoldandItalics"/>
              </w:rPr>
              <w:t>Causes of risks</w:t>
            </w:r>
            <w:r w:rsidRPr="00BA4C7A">
              <w:t xml:space="preserve"> are identified in line with agency practice.</w:t>
            </w:r>
          </w:p>
          <w:p w:rsidR="00000000" w:rsidP="00BA4C7A">
            <w:pPr>
              <w:pStyle w:val="List"/>
              <w:rPr>
                <w:lang w:val="en-NZ"/>
              </w:rPr>
            </w:pPr>
            <w:r w:rsidRPr="00BA4C7A">
              <w:t>2.2</w:t>
            </w:r>
            <w:r w:rsidRPr="00BA4C7A">
              <w:tab/>
            </w:r>
            <w:r w:rsidRPr="00BA4C7A">
              <w:rPr>
                <w:rStyle w:val="BoldandItalics"/>
              </w:rPr>
              <w:t>Potential impact of risks</w:t>
            </w:r>
            <w:r w:rsidRPr="00BA4C7A">
              <w:t xml:space="preserve"> on agency and clients is determined.</w:t>
            </w:r>
          </w:p>
        </w:tc>
      </w:tr>
      <w:tr w:rsidTr="00E7619B">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BA4C7A">
            <w:pPr>
              <w:pStyle w:val="List"/>
              <w:rPr>
                <w:lang w:val="en-NZ"/>
              </w:rPr>
            </w:pPr>
            <w:r w:rsidRPr="00BA4C7A">
              <w:rPr>
                <w:rStyle w:val="SpecialBold"/>
              </w:rPr>
              <w:t>3</w:t>
            </w:r>
            <w:r w:rsidRPr="00BA4C7A">
              <w:tab/>
            </w:r>
            <w:r w:rsidRPr="00BA4C7A">
              <w:rPr>
                <w:rStyle w:val="SpecialBold"/>
              </w:rPr>
              <w:t>Implement agency procedures for responding to risks</w:t>
            </w:r>
            <w:r w:rsidRPr="00BA4C7A">
              <w:t>.</w:t>
            </w:r>
          </w:p>
        </w:tc>
        <w:tc>
          <w:tcPr>
            <w:tcW w:w="5760" w:type="dxa"/>
            <w:gridSpan w:val="2"/>
            <w:tcBorders>
              <w:top w:val="nil"/>
              <w:left w:val="nil"/>
              <w:bottom w:val="nil"/>
              <w:right w:val="nil"/>
            </w:tcBorders>
            <w:tcMar>
              <w:top w:w="0" w:type="dxa"/>
              <w:left w:w="62" w:type="dxa"/>
              <w:bottom w:w="0" w:type="dxa"/>
              <w:right w:w="62" w:type="dxa"/>
            </w:tcMar>
          </w:tcPr>
          <w:p w:rsidR="00000000" w:rsidRPr="00BA4C7A" w:rsidP="00BA4C7A">
            <w:pPr>
              <w:pStyle w:val="List"/>
            </w:pPr>
            <w:r w:rsidRPr="00BA4C7A">
              <w:t>3.1</w:t>
            </w:r>
            <w:r w:rsidRPr="00BA4C7A">
              <w:tab/>
            </w:r>
            <w:r w:rsidRPr="00BA4C7A">
              <w:rPr>
                <w:rStyle w:val="BoldandItalics"/>
              </w:rPr>
              <w:t xml:space="preserve">Agency </w:t>
            </w:r>
            <w:r w:rsidRPr="00BA4C7A">
              <w:rPr>
                <w:rStyle w:val="BoldandItalics"/>
              </w:rPr>
              <w:t>procedures for responding to risks</w:t>
            </w:r>
            <w:r w:rsidRPr="00BA4C7A">
              <w:t xml:space="preserve"> are identified and implemented within scope of responsibility.</w:t>
            </w:r>
          </w:p>
          <w:p w:rsidR="00000000" w:rsidRPr="00BA4C7A" w:rsidP="00BA4C7A">
            <w:pPr>
              <w:pStyle w:val="List"/>
            </w:pPr>
            <w:r w:rsidRPr="00BA4C7A">
              <w:t>3.2</w:t>
            </w:r>
            <w:r w:rsidRPr="00BA4C7A">
              <w:tab/>
              <w:t>Personal skills in identifying and responding to risks are reviewed, and where appropriate, strategies are implemented for improving this aspect of profes</w:t>
            </w:r>
            <w:r w:rsidRPr="00BA4C7A">
              <w:t>sional practice.</w:t>
            </w:r>
          </w:p>
        </w:tc>
      </w:tr>
    </w:tbl>
    <w:p w:rsidR="00E7619B" w:rsidP="00BA4C7A">
      <w:pPr>
        <w:pStyle w:val="BodyText"/>
      </w:pPr>
    </w:p>
    <w:p w:rsidR="00E7619B" w:rsidP="00BA4C7A">
      <w:pPr>
        <w:pStyle w:val="BodyText"/>
      </w:pPr>
    </w:p>
    <w:p w:rsidR="00000000" w:rsidRPr="00BA4C7A" w:rsidP="00BA4C7A">
      <w:pPr>
        <w:pStyle w:val="Heading1"/>
      </w:pPr>
      <w:bookmarkStart w:id="9" w:name="O_258695"/>
      <w:bookmarkEnd w:id="9"/>
      <w:r w:rsidRPr="00BA4C7A">
        <w:t>Required Skills and Knowledge</w:t>
      </w:r>
    </w:p>
    <w:tbl>
      <w:tblPr>
        <w:tblW w:w="0" w:type="auto"/>
        <w:tblLayout w:type="fixed"/>
        <w:tblCellMar>
          <w:left w:w="62" w:type="dxa"/>
          <w:right w:w="62" w:type="dxa"/>
        </w:tblCellMar>
        <w:tblLook w:val="0000"/>
      </w:tblPr>
      <w:tblGrid>
        <w:gridCol w:w="8408"/>
        <w:gridCol w:w="8"/>
      </w:tblGrid>
      <w:tr w:rsidTr="00E7619B">
        <w:tblPrEx>
          <w:tblW w:w="0" w:type="auto"/>
          <w:tblLayout w:type="fixed"/>
          <w:tblCellMar>
            <w:left w:w="62" w:type="dxa"/>
            <w:right w:w="62" w:type="dxa"/>
          </w:tblCellMar>
          <w:tblLook w:val="0000"/>
        </w:tblPrEx>
        <w:trPr>
          <w:tblHeader/>
        </w:trPr>
        <w:tc>
          <w:tcPr>
            <w:tcW w:w="8416" w:type="dxa"/>
            <w:gridSpan w:val="2"/>
            <w:tcBorders>
              <w:top w:val="nil"/>
              <w:left w:val="nil"/>
              <w:bottom w:val="nil"/>
              <w:right w:val="nil"/>
            </w:tcBorders>
            <w:tcMar>
              <w:top w:w="0" w:type="dxa"/>
              <w:left w:w="62" w:type="dxa"/>
              <w:bottom w:w="0" w:type="dxa"/>
              <w:right w:w="62" w:type="dxa"/>
            </w:tcMar>
          </w:tcPr>
          <w:p w:rsidR="00000000" w:rsidP="00BA4C7A">
            <w:pPr>
              <w:pStyle w:val="BodyText"/>
              <w:rPr>
                <w:lang w:val="en-NZ"/>
              </w:rPr>
            </w:pPr>
            <w:r w:rsidRPr="00BA4C7A">
              <w:rPr>
                <w:rStyle w:val="SpecialBold"/>
              </w:rPr>
              <w:t>REQUIRED SKILLS AND KNOWLEDGE</w:t>
            </w:r>
          </w:p>
        </w:tc>
      </w:tr>
      <w:tr w:rsidTr="00E7619B">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P="00BA4C7A">
            <w:pPr>
              <w:pStyle w:val="BodyText"/>
              <w:rPr>
                <w:lang w:val="en-NZ"/>
              </w:rPr>
            </w:pPr>
            <w:r w:rsidRPr="00BA4C7A">
              <w:t>This section describes the essential skills and knowledge and their level, required for this unit.</w:t>
            </w:r>
          </w:p>
        </w:tc>
      </w:tr>
      <w:tr w:rsidTr="00E7619B">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BA4C7A" w:rsidP="00BA4C7A">
            <w:pPr>
              <w:pStyle w:val="BodyText"/>
            </w:pPr>
            <w:r w:rsidRPr="00BA4C7A">
              <w:rPr>
                <w:rStyle w:val="SpecialBold"/>
              </w:rPr>
              <w:t>Required skills</w:t>
            </w:r>
            <w:r w:rsidRPr="00BA4C7A">
              <w:t>:</w:t>
            </w:r>
          </w:p>
          <w:p w:rsidR="00000000" w:rsidRPr="00BA4C7A" w:rsidP="00BA4C7A">
            <w:pPr>
              <w:pStyle w:val="ListBullet"/>
            </w:pPr>
            <w:r w:rsidRPr="00BA4C7A">
              <w:t>ability to communicate with and relate to a range of people from diverse social, economic and cultural backgrounds and with varying physical and mental abilities</w:t>
            </w:r>
          </w:p>
          <w:p w:rsidR="00000000" w:rsidRPr="00BA4C7A" w:rsidP="00BA4C7A">
            <w:pPr>
              <w:pStyle w:val="ListBullet"/>
            </w:pPr>
            <w:r w:rsidRPr="00BA4C7A">
              <w:t>application of risk identification skills</w:t>
            </w:r>
          </w:p>
          <w:p w:rsidR="00000000" w:rsidRPr="00BA4C7A" w:rsidP="00BA4C7A">
            <w:pPr>
              <w:pStyle w:val="ListBullet"/>
            </w:pPr>
            <w:r w:rsidRPr="00BA4C7A">
              <w:t>computing skills to access agency information on pro</w:t>
            </w:r>
            <w:r w:rsidRPr="00BA4C7A">
              <w:t>cedures for identifying and responding to risks</w:t>
            </w:r>
          </w:p>
          <w:p w:rsidR="00000000" w:rsidRPr="00BA4C7A" w:rsidP="00BA4C7A">
            <w:pPr>
              <w:pStyle w:val="ListBullet"/>
            </w:pPr>
            <w:r w:rsidRPr="00BA4C7A">
              <w:t>decision making and problem solving skills to identify risks and make decisions consistent with agency, legislative and ethical requirements</w:t>
            </w:r>
          </w:p>
          <w:p w:rsidR="00000000" w:rsidRPr="00BA4C7A" w:rsidP="00BA4C7A">
            <w:pPr>
              <w:pStyle w:val="ListBullet"/>
            </w:pPr>
            <w:r w:rsidRPr="00BA4C7A">
              <w:t>literacy skills to access and interpret a variety of texts, includi</w:t>
            </w:r>
            <w:r w:rsidRPr="00BA4C7A">
              <w:t>ng legislation, regulations and rules of ethics; prepare general information and papers; prepare formal and informal letters, reports and applications; and complete standard and statutory forms</w:t>
            </w:r>
          </w:p>
          <w:p w:rsidR="00000000" w:rsidRPr="00BA4C7A" w:rsidP="00BA4C7A">
            <w:pPr>
              <w:pStyle w:val="ListBullet"/>
            </w:pPr>
            <w:r w:rsidRPr="00BA4C7A">
              <w:t>organisational skills to undertake work-related tasks associat</w:t>
            </w:r>
            <w:r w:rsidRPr="00BA4C7A">
              <w:t>ed with identifying and responding to risks</w:t>
            </w:r>
          </w:p>
          <w:p w:rsidR="00000000" w:rsidP="00BA4C7A">
            <w:pPr>
              <w:pStyle w:val="ListBullet"/>
              <w:rPr>
                <w:lang w:val="en-NZ"/>
              </w:rPr>
            </w:pPr>
            <w:r w:rsidRPr="00BA4C7A">
              <w:t>research skills to identify documents and information relating to identifying and responding to risks.</w:t>
            </w:r>
          </w:p>
        </w:tc>
      </w:tr>
      <w:tr w:rsidTr="00E7619B">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BA4C7A" w:rsidP="00BA4C7A">
            <w:pPr>
              <w:pStyle w:val="BodyText"/>
            </w:pPr>
            <w:r w:rsidRPr="00BA4C7A">
              <w:rPr>
                <w:rStyle w:val="SpecialBold"/>
              </w:rPr>
              <w:t>Required knowledge and understanding</w:t>
            </w:r>
            <w:r w:rsidRPr="00BA4C7A">
              <w:t>:</w:t>
            </w:r>
          </w:p>
          <w:p w:rsidR="00000000" w:rsidRPr="00BA4C7A" w:rsidP="00BA4C7A">
            <w:pPr>
              <w:pStyle w:val="ListBullet"/>
            </w:pPr>
            <w:r w:rsidRPr="00BA4C7A">
              <w:t>agency risk-related policies and procedures</w:t>
            </w:r>
          </w:p>
          <w:p w:rsidR="00000000" w:rsidRPr="00BA4C7A" w:rsidP="00BA4C7A">
            <w:pPr>
              <w:pStyle w:val="ListBullet"/>
            </w:pPr>
            <w:r w:rsidRPr="00BA4C7A">
              <w:t>Australian and New Zealand risk management standards</w:t>
            </w:r>
          </w:p>
          <w:p w:rsidR="00000000" w:rsidRPr="00BA4C7A" w:rsidP="00BA4C7A">
            <w:pPr>
              <w:pStyle w:val="ListBullet"/>
            </w:pPr>
            <w:r w:rsidRPr="00BA4C7A">
              <w:t>causes of risks</w:t>
            </w:r>
          </w:p>
          <w:p w:rsidR="00000000" w:rsidRPr="00BA4C7A" w:rsidP="00BA4C7A">
            <w:pPr>
              <w:pStyle w:val="ListBullet"/>
            </w:pPr>
            <w:r w:rsidRPr="00BA4C7A">
              <w:t>complaint-handling procedures</w:t>
            </w:r>
          </w:p>
          <w:p w:rsidR="00000000" w:rsidRPr="00BA4C7A" w:rsidP="00BA4C7A">
            <w:pPr>
              <w:pStyle w:val="ListBullet"/>
            </w:pPr>
            <w:r w:rsidRPr="00BA4C7A">
              <w:t>consumer risks</w:t>
            </w:r>
          </w:p>
          <w:p w:rsidR="00000000" w:rsidRPr="00BA4C7A" w:rsidP="00BA4C7A">
            <w:pPr>
              <w:pStyle w:val="ListBullet"/>
            </w:pPr>
            <w:r w:rsidRPr="00BA4C7A">
              <w:t>impact of risks on agency, clients and other stakeholders</w:t>
            </w:r>
          </w:p>
          <w:p w:rsidR="00000000" w:rsidP="00BA4C7A">
            <w:pPr>
              <w:pStyle w:val="ListBullet"/>
              <w:rPr>
                <w:lang w:val="en-NZ"/>
              </w:rPr>
            </w:pPr>
            <w:r w:rsidRPr="00BA4C7A">
              <w:t>procedures and systems for identifying and responding to risks</w:t>
            </w:r>
          </w:p>
        </w:tc>
      </w:tr>
      <w:tr w:rsidTr="00E7619B">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BA4C7A" w:rsidP="00BA4C7A">
            <w:pPr>
              <w:pStyle w:val="ListBullet"/>
            </w:pPr>
            <w:r w:rsidRPr="00BA4C7A">
              <w:t>relevant federal, a</w:t>
            </w:r>
            <w:r w:rsidRPr="00BA4C7A">
              <w:t>nd state or territory legislation and local government regulations relating to:</w:t>
            </w:r>
          </w:p>
          <w:p w:rsidR="00000000" w:rsidRPr="00BA4C7A" w:rsidP="00BA4C7A">
            <w:pPr>
              <w:pStyle w:val="ListBullet2"/>
            </w:pPr>
            <w:r w:rsidRPr="00BA4C7A">
              <w:t>anti-discrimination and equal employment opportunity</w:t>
            </w:r>
          </w:p>
          <w:p w:rsidR="00000000" w:rsidRPr="00BA4C7A" w:rsidP="00BA4C7A">
            <w:pPr>
              <w:pStyle w:val="ListBullet2"/>
            </w:pPr>
            <w:r w:rsidRPr="00BA4C7A">
              <w:t>anti-money laundering</w:t>
            </w:r>
          </w:p>
          <w:p w:rsidR="00000000" w:rsidRPr="00BA4C7A" w:rsidP="00BA4C7A">
            <w:pPr>
              <w:pStyle w:val="ListBullet2"/>
            </w:pPr>
            <w:r w:rsidRPr="00BA4C7A">
              <w:t>auctions</w:t>
            </w:r>
          </w:p>
          <w:p w:rsidR="00000000" w:rsidRPr="00BA4C7A" w:rsidP="00BA4C7A">
            <w:pPr>
              <w:pStyle w:val="ListBullet2"/>
            </w:pPr>
            <w:r w:rsidRPr="00BA4C7A">
              <w:t>consumer protection, fair trading and trade practices</w:t>
            </w:r>
          </w:p>
          <w:p w:rsidR="00000000" w:rsidRPr="00BA4C7A" w:rsidP="00BA4C7A">
            <w:pPr>
              <w:pStyle w:val="ListBullet2"/>
            </w:pPr>
            <w:r w:rsidRPr="00BA4C7A">
              <w:t>environment and sustainability</w:t>
            </w:r>
          </w:p>
          <w:p w:rsidR="00000000" w:rsidRPr="00BA4C7A" w:rsidP="00BA4C7A">
            <w:pPr>
              <w:pStyle w:val="ListBullet2"/>
            </w:pPr>
            <w:r w:rsidRPr="00BA4C7A">
              <w:t>employment and industrial relations</w:t>
            </w:r>
          </w:p>
          <w:p w:rsidR="00000000" w:rsidRPr="00BA4C7A" w:rsidP="00BA4C7A">
            <w:pPr>
              <w:pStyle w:val="ListBullet2"/>
            </w:pPr>
            <w:r w:rsidRPr="00BA4C7A">
              <w:t>financial services</w:t>
            </w:r>
          </w:p>
          <w:p w:rsidR="00000000" w:rsidRPr="00BA4C7A" w:rsidP="00BA4C7A">
            <w:pPr>
              <w:pStyle w:val="ListBullet2"/>
            </w:pPr>
            <w:r w:rsidRPr="00BA4C7A">
              <w:t>leasing</w:t>
            </w:r>
          </w:p>
          <w:p w:rsidR="00000000" w:rsidRPr="00BA4C7A" w:rsidP="00BA4C7A">
            <w:pPr>
              <w:pStyle w:val="ListBullet2"/>
            </w:pPr>
            <w:r w:rsidRPr="00BA4C7A">
              <w:t>OHS</w:t>
            </w:r>
          </w:p>
          <w:p w:rsidR="00000000" w:rsidRPr="00BA4C7A" w:rsidP="00BA4C7A">
            <w:pPr>
              <w:pStyle w:val="ListBullet2"/>
            </w:pPr>
            <w:r w:rsidRPr="00BA4C7A">
              <w:t>privacy</w:t>
            </w:r>
          </w:p>
          <w:p w:rsidR="00000000" w:rsidRPr="00BA4C7A" w:rsidP="00BA4C7A">
            <w:pPr>
              <w:pStyle w:val="ListBullet2"/>
            </w:pPr>
            <w:r w:rsidRPr="00BA4C7A">
              <w:t>property sales and management</w:t>
            </w:r>
          </w:p>
          <w:p w:rsidR="00000000" w:rsidRPr="00BA4C7A" w:rsidP="00BA4C7A">
            <w:pPr>
              <w:pStyle w:val="ListBullet"/>
            </w:pPr>
            <w:r w:rsidRPr="00BA4C7A">
              <w:t>sources of information on risk</w:t>
            </w:r>
          </w:p>
          <w:p w:rsidR="00000000" w:rsidRPr="00BA4C7A" w:rsidP="00BA4C7A">
            <w:pPr>
              <w:pStyle w:val="ListBullet"/>
            </w:pPr>
            <w:r w:rsidRPr="00BA4C7A">
              <w:t>sources of risks</w:t>
            </w:r>
          </w:p>
          <w:p w:rsidR="00000000" w:rsidRPr="00BA4C7A" w:rsidP="00BA4C7A">
            <w:pPr>
              <w:pStyle w:val="ListBullet"/>
            </w:pPr>
            <w:r w:rsidRPr="00BA4C7A">
              <w:t>techniques and tools for identifying risks</w:t>
            </w:r>
          </w:p>
          <w:p w:rsidR="00000000" w:rsidRPr="00BA4C7A" w:rsidP="00BA4C7A">
            <w:pPr>
              <w:pStyle w:val="ListBullet"/>
            </w:pPr>
            <w:r w:rsidRPr="00BA4C7A">
              <w:t>types of risks.</w:t>
            </w:r>
          </w:p>
        </w:tc>
      </w:tr>
    </w:tbl>
    <w:p w:rsidR="00E7619B" w:rsidP="00BA4C7A">
      <w:pPr>
        <w:pStyle w:val="BodyText"/>
      </w:pPr>
    </w:p>
    <w:p w:rsidR="00E7619B" w:rsidP="00BA4C7A">
      <w:pPr>
        <w:pStyle w:val="BodyText"/>
      </w:pPr>
    </w:p>
    <w:p w:rsidR="00000000" w:rsidRPr="00BA4C7A" w:rsidP="00BA4C7A">
      <w:pPr>
        <w:pStyle w:val="Heading1"/>
      </w:pPr>
      <w:bookmarkStart w:id="10" w:name="O_242729"/>
      <w:bookmarkEnd w:id="10"/>
      <w:r w:rsidRPr="00BA4C7A">
        <w:t>Evidence Guide</w:t>
      </w:r>
    </w:p>
    <w:p w:rsidR="00000000" w:rsidRPr="00BA4C7A" w:rsidP="00BA4C7A">
      <w:pPr>
        <w:pStyle w:val="BodyText"/>
      </w:pPr>
      <w:r w:rsidRPr="00BA4C7A">
        <w:rPr>
          <w:rStyle w:val="SpecialBold"/>
        </w:rPr>
        <w:t>EVIDENCE GUIDE</w:t>
      </w:r>
    </w:p>
    <w:p w:rsidR="00000000" w:rsidRPr="00BA4C7A" w:rsidP="00BA4C7A">
      <w:pPr>
        <w:pStyle w:val="BodyText"/>
      </w:pPr>
      <w:r w:rsidRPr="00BA4C7A">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E7619B">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BA4C7A">
            <w:pPr>
              <w:pStyle w:val="BodyText"/>
              <w:rPr>
                <w:lang w:val="en-NZ"/>
              </w:rPr>
            </w:pPr>
            <w:r w:rsidRPr="00BA4C7A">
              <w:rPr>
                <w:rStyle w:val="SpecialBold"/>
              </w:rPr>
              <w:t>Overview of assessmen</w:t>
            </w:r>
            <w:r w:rsidRPr="00BA4C7A">
              <w:rPr>
                <w:rStyle w:val="SpecialBold"/>
              </w:rPr>
              <w:t>t</w:t>
            </w:r>
          </w:p>
        </w:tc>
        <w:tc>
          <w:tcPr>
            <w:tcW w:w="5940" w:type="dxa"/>
            <w:tcBorders>
              <w:top w:val="nil"/>
              <w:left w:val="nil"/>
              <w:bottom w:val="nil"/>
              <w:right w:val="nil"/>
            </w:tcBorders>
            <w:tcMar>
              <w:top w:w="0" w:type="dxa"/>
              <w:left w:w="62" w:type="dxa"/>
              <w:bottom w:w="0" w:type="dxa"/>
              <w:right w:w="62" w:type="dxa"/>
            </w:tcMar>
          </w:tcPr>
          <w:p w:rsidR="00000000" w:rsidP="00BA4C7A">
            <w:pPr>
              <w:pStyle w:val="BodyText"/>
              <w:rPr>
                <w:lang w:val="en-NZ"/>
              </w:rPr>
            </w:pPr>
            <w:r w:rsidRPr="00BA4C7A">
              <w:t>This unit of competency could be assessed through case studies and practical demonstration of identifying and responding to risks in an agency environment. Targeted written (including alternative formats where necessary) or verbal questioning to assess t</w:t>
            </w:r>
            <w:r w:rsidRPr="00BA4C7A">
              <w:t xml:space="preserve">he candidate's underpinning knowledge would provide additional supporting evidence of </w:t>
            </w:r>
            <w:r w:rsidRPr="00BA4C7A">
              <w:t>competence. The demonstration and questioning would include collecting evidence of the candidate's knowledge and application of ethical standards and relevant federal, an</w:t>
            </w:r>
            <w:r w:rsidRPr="00BA4C7A">
              <w:t>d state or territory legislation and regulations. This assessment may be carried out in a simulated or workplace environment.</w:t>
            </w:r>
          </w:p>
        </w:tc>
      </w:tr>
      <w:tr w:rsidTr="00E7619B">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BA4C7A">
            <w:pPr>
              <w:pStyle w:val="BodyText"/>
              <w:rPr>
                <w:lang w:val="en-NZ"/>
              </w:rPr>
            </w:pPr>
            <w:r w:rsidRPr="00BA4C7A">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BA4C7A" w:rsidP="00BA4C7A">
            <w:pPr>
              <w:pStyle w:val="BodyText"/>
            </w:pPr>
            <w:r w:rsidRPr="00BA4C7A">
              <w:t>A person who demonstrates competency in this unit must be able to provide evidence of:</w:t>
            </w:r>
          </w:p>
          <w:p w:rsidR="00000000" w:rsidRPr="00BA4C7A" w:rsidP="00BA4C7A">
            <w:pPr>
              <w:pStyle w:val="ListBullet"/>
            </w:pPr>
            <w:r w:rsidRPr="00BA4C7A">
              <w:t>identifying risks in an agency environment</w:t>
            </w:r>
          </w:p>
          <w:p w:rsidR="00000000" w:rsidRPr="00BA4C7A" w:rsidP="00BA4C7A">
            <w:pPr>
              <w:pStyle w:val="ListBullet"/>
            </w:pPr>
            <w:r w:rsidRPr="00BA4C7A">
              <w:t>identifying causes and potential impact of risks on agency, clients and other stakeholders</w:t>
            </w:r>
          </w:p>
          <w:p w:rsidR="00000000" w:rsidRPr="00BA4C7A" w:rsidP="00BA4C7A">
            <w:pPr>
              <w:pStyle w:val="ListBullet"/>
            </w:pPr>
            <w:r w:rsidRPr="00BA4C7A">
              <w:t>responding to risks in an agency e</w:t>
            </w:r>
            <w:r w:rsidRPr="00BA4C7A">
              <w:t>nvironment in line with scope of personal responsibilities as well as agency and legislative requirements</w:t>
            </w:r>
          </w:p>
          <w:p w:rsidR="00000000" w:rsidP="00BA4C7A">
            <w:pPr>
              <w:pStyle w:val="ListBullet"/>
              <w:rPr>
                <w:lang w:val="en-NZ"/>
              </w:rPr>
            </w:pPr>
            <w:r w:rsidRPr="00BA4C7A">
              <w:t>assessing personal skills in identifying and responding to agency risk.</w:t>
            </w:r>
          </w:p>
        </w:tc>
      </w:tr>
      <w:tr w:rsidTr="00E7619B">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BA4C7A">
            <w:pPr>
              <w:pStyle w:val="BodyText"/>
              <w:rPr>
                <w:lang w:val="en-NZ"/>
              </w:rPr>
            </w:pPr>
            <w:r w:rsidRPr="00BA4C7A">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BA4C7A" w:rsidP="00BA4C7A">
            <w:pPr>
              <w:pStyle w:val="BodyText"/>
            </w:pPr>
            <w:r w:rsidRPr="00BA4C7A">
              <w:t>Resource implications for as</w:t>
            </w:r>
            <w:r w:rsidRPr="00BA4C7A">
              <w:t>sessment include:</w:t>
            </w:r>
          </w:p>
          <w:p w:rsidR="00000000" w:rsidRPr="00BA4C7A" w:rsidP="00BA4C7A">
            <w:pPr>
              <w:pStyle w:val="ListBullet"/>
            </w:pPr>
            <w:r w:rsidRPr="00BA4C7A">
              <w:t>access to suitable simulated or real opportunities and resources to demonstrate competence</w:t>
            </w:r>
          </w:p>
          <w:p w:rsidR="00000000" w:rsidRPr="00BA4C7A" w:rsidP="00BA4C7A">
            <w:pPr>
              <w:pStyle w:val="ListBullet"/>
            </w:pPr>
            <w:r w:rsidRPr="00BA4C7A">
              <w:t>assessment instruments that may include personal planner and assessment record book</w:t>
            </w:r>
          </w:p>
          <w:p w:rsidR="00000000" w:rsidRPr="00BA4C7A" w:rsidP="00BA4C7A">
            <w:pPr>
              <w:pStyle w:val="ListBullet"/>
            </w:pPr>
            <w:r w:rsidRPr="00BA4C7A">
              <w:t>access to a registered provider of assessment services.</w:t>
            </w:r>
          </w:p>
          <w:p w:rsidR="00000000" w:rsidRPr="00BA4C7A" w:rsidP="00BA4C7A">
            <w:pPr>
              <w:pStyle w:val="BodyText"/>
            </w:pPr>
            <w:r w:rsidRPr="00BA4C7A">
              <w:t xml:space="preserve">Where </w:t>
            </w:r>
            <w:r w:rsidRPr="00BA4C7A">
              <w:t>applicable, physical resources should include equipment modified for people with disabilities.</w:t>
            </w:r>
          </w:p>
          <w:p w:rsidR="00000000" w:rsidRPr="00BA4C7A" w:rsidP="00BA4C7A">
            <w:pPr>
              <w:pStyle w:val="BodyText"/>
            </w:pPr>
            <w:r w:rsidRPr="00BA4C7A">
              <w:t>Access must be provided to appropriate learning and/or assessment support when required.</w:t>
            </w:r>
          </w:p>
          <w:p w:rsidR="00000000" w:rsidRPr="00BA4C7A" w:rsidP="00BA4C7A">
            <w:pPr>
              <w:pStyle w:val="BodyText"/>
            </w:pPr>
            <w:r w:rsidRPr="00BA4C7A">
              <w:t xml:space="preserve">Assessment processes and techniques must be culturally appropriate, and </w:t>
            </w:r>
            <w:r w:rsidRPr="00BA4C7A">
              <w:t>appropriate to the language and literacy capacity of the candidate and the work being performed.</w:t>
            </w:r>
          </w:p>
          <w:p w:rsidR="00000000" w:rsidRPr="00BA4C7A" w:rsidP="00BA4C7A">
            <w:pPr>
              <w:pStyle w:val="BodyText"/>
            </w:pPr>
            <w:r w:rsidRPr="00BA4C7A">
              <w:t>Validity and sufficiency of evidence require that:</w:t>
            </w:r>
          </w:p>
          <w:p w:rsidR="00000000" w:rsidRPr="00BA4C7A" w:rsidP="00BA4C7A">
            <w:pPr>
              <w:pStyle w:val="ListBullet"/>
            </w:pPr>
            <w:r w:rsidRPr="00BA4C7A">
              <w:t xml:space="preserve">competency will need to be demonstrated over a period of time reflecting the scope </w:t>
            </w:r>
            <w:r w:rsidRPr="00BA4C7A">
              <w:t>of the role and the practical requirements of the workplace</w:t>
            </w:r>
          </w:p>
          <w:p w:rsidR="00000000" w:rsidRPr="00BA4C7A" w:rsidP="00BA4C7A">
            <w:pPr>
              <w:pStyle w:val="ListBullet"/>
            </w:pPr>
            <w:r w:rsidRPr="00BA4C7A">
              <w:t>where the assessment is part of a structured learning experience the evidence collected must relate to a number of performances assessed at different points in time and separated by further learni</w:t>
            </w:r>
            <w:r w:rsidRPr="00BA4C7A">
              <w:t>ng and practice with a decision of competence only taken at the point when the assessor has complete confidence in the person's competence</w:t>
            </w:r>
          </w:p>
          <w:p w:rsidR="00000000" w:rsidRPr="00BA4C7A" w:rsidP="00BA4C7A">
            <w:pPr>
              <w:pStyle w:val="ListBullet"/>
            </w:pPr>
            <w:r w:rsidRPr="00BA4C7A">
              <w:t>all assessment that is part of a structured learning experience must include a combination of direct, indirect and su</w:t>
            </w:r>
            <w:r w:rsidRPr="00BA4C7A">
              <w:t>pplementary evidence</w:t>
            </w:r>
          </w:p>
          <w:p w:rsidR="00000000" w:rsidRPr="00BA4C7A" w:rsidP="00BA4C7A">
            <w:pPr>
              <w:pStyle w:val="ListBullet"/>
            </w:pPr>
            <w:r w:rsidRPr="00BA4C7A">
              <w:t>where assessment is for the purpose of recognition (RCC/RPL), the evidence provided will need to be current and show that it represents competency demonstrated over a period of time</w:t>
            </w:r>
          </w:p>
          <w:p w:rsidR="00000000" w:rsidRPr="00BA4C7A" w:rsidP="00BA4C7A">
            <w:pPr>
              <w:pStyle w:val="ListBullet"/>
            </w:pPr>
            <w:r w:rsidRPr="00BA4C7A">
              <w:t>assessment can be through simulated project-based act</w:t>
            </w:r>
            <w:r w:rsidRPr="00BA4C7A">
              <w:t>ivity and must include evidence relating to each of the elements in this unit.</w:t>
            </w:r>
          </w:p>
          <w:p w:rsidR="00000000" w:rsidP="00BA4C7A">
            <w:pPr>
              <w:pStyle w:val="BodyText"/>
              <w:rPr>
                <w:lang w:val="en-NZ"/>
              </w:rPr>
            </w:pPr>
            <w:r w:rsidRPr="00BA4C7A">
              <w:t>In all cases where practical assessment is used it will be combined with targeted questioning to assess the underpinning knowledge. Questioning will be undertaken in such a mann</w:t>
            </w:r>
            <w:r w:rsidRPr="00BA4C7A">
              <w:t>er as is appropriate to the language and literacy levels of the candidate and any cultural issues that may affect responses to the questions, and will reflect the requirements of the competency and the work being performed.</w:t>
            </w:r>
          </w:p>
        </w:tc>
      </w:tr>
      <w:tr w:rsidTr="00E7619B">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BA4C7A" w:rsidP="00BA4C7A">
            <w:pPr>
              <w:pStyle w:val="BodyText"/>
            </w:pPr>
          </w:p>
        </w:tc>
      </w:tr>
    </w:tbl>
    <w:p w:rsidR="00E7619B" w:rsidP="00BA4C7A">
      <w:pPr>
        <w:pStyle w:val="BodyText"/>
      </w:pPr>
    </w:p>
    <w:p w:rsidR="00E7619B" w:rsidP="00BA4C7A">
      <w:pPr>
        <w:pStyle w:val="BodyText"/>
      </w:pPr>
    </w:p>
    <w:p w:rsidR="00000000" w:rsidRPr="00BA4C7A" w:rsidP="00BA4C7A">
      <w:pPr>
        <w:pStyle w:val="Heading1"/>
      </w:pPr>
      <w:bookmarkStart w:id="11" w:name="O_250712"/>
      <w:bookmarkEnd w:id="11"/>
      <w:r w:rsidRPr="00BA4C7A">
        <w:t>Range Statement</w:t>
      </w:r>
    </w:p>
    <w:p w:rsidR="00000000" w:rsidRPr="00BA4C7A" w:rsidP="00BA4C7A">
      <w:pPr>
        <w:pStyle w:val="BodyText"/>
      </w:pPr>
      <w:r w:rsidRPr="00BA4C7A">
        <w:rPr>
          <w:rStyle w:val="SpecialBold"/>
        </w:rPr>
        <w:t>RANGE STATEMENT</w:t>
      </w:r>
    </w:p>
    <w:p w:rsidR="00000000" w:rsidRPr="00BA4C7A" w:rsidP="00BA4C7A">
      <w:pPr>
        <w:pStyle w:val="BodyText"/>
      </w:pPr>
      <w:r w:rsidRPr="00BA4C7A">
        <w:t xml:space="preserve">The range statement relates to the unit of competency as a whole. It allows for different work environments and situations that may affect performance. </w:t>
      </w:r>
      <w:r w:rsidRPr="00BA4C7A">
        <w:rPr>
          <w:rStyle w:val="BoldandItalics"/>
        </w:rPr>
        <w:t>Bold italicised</w:t>
      </w:r>
      <w:r w:rsidRPr="00BA4C7A">
        <w:t xml:space="preserve"> wording in the performance criteria is detailed below. A</w:t>
      </w:r>
      <w:r w:rsidRPr="00BA4C7A">
        <w:t>dd any essential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40"/>
      </w:tblGrid>
      <w:tr w:rsidTr="00E7619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A4C7A">
            <w:pPr>
              <w:pStyle w:val="BodyText"/>
              <w:rPr>
                <w:lang w:val="en-NZ"/>
              </w:rPr>
            </w:pPr>
            <w:r w:rsidRPr="00BA4C7A">
              <w:rPr>
                <w:rStyle w:val="BoldandItalics"/>
              </w:rPr>
              <w:t>Types of risks</w:t>
            </w:r>
            <w:r w:rsidRPr="00BA4C7A">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BA4C7A" w:rsidP="00BA4C7A">
            <w:pPr>
              <w:pStyle w:val="ListBullet"/>
            </w:pPr>
            <w:r w:rsidRPr="00BA4C7A">
              <w:t>administrati</w:t>
            </w:r>
            <w:r w:rsidRPr="00BA4C7A">
              <w:t>ve and business systems, policies and practices</w:t>
            </w:r>
          </w:p>
          <w:p w:rsidR="00000000" w:rsidRPr="00BA4C7A" w:rsidP="00BA4C7A">
            <w:pPr>
              <w:pStyle w:val="ListBullet"/>
            </w:pPr>
            <w:r w:rsidRPr="00BA4C7A">
              <w:t>commercial and legal relationships between the agency, consumers and other organisations</w:t>
            </w:r>
          </w:p>
          <w:p w:rsidR="00000000" w:rsidRPr="00BA4C7A" w:rsidP="00BA4C7A">
            <w:pPr>
              <w:pStyle w:val="ListBullet"/>
            </w:pPr>
            <w:r w:rsidRPr="00BA4C7A">
              <w:t>consumer risk</w:t>
            </w:r>
          </w:p>
          <w:p w:rsidR="00000000" w:rsidRPr="00BA4C7A" w:rsidP="00BA4C7A">
            <w:pPr>
              <w:pStyle w:val="ListBullet"/>
            </w:pPr>
            <w:r w:rsidRPr="00BA4C7A">
              <w:t>economic and financial circumstances</w:t>
            </w:r>
          </w:p>
          <w:p w:rsidR="00000000" w:rsidRPr="00BA4C7A" w:rsidP="00BA4C7A">
            <w:pPr>
              <w:pStyle w:val="ListBullet"/>
            </w:pPr>
            <w:r w:rsidRPr="00BA4C7A">
              <w:t>individual actions, such as discrimination and ineffective communica</w:t>
            </w:r>
            <w:r w:rsidRPr="00BA4C7A">
              <w:t>tion</w:t>
            </w:r>
          </w:p>
          <w:p w:rsidR="00000000" w:rsidRPr="00BA4C7A" w:rsidP="00BA4C7A">
            <w:pPr>
              <w:pStyle w:val="ListBullet"/>
            </w:pPr>
            <w:r w:rsidRPr="00BA4C7A">
              <w:t>management activities and controls</w:t>
            </w:r>
          </w:p>
          <w:p w:rsidR="00000000" w:rsidP="00BA4C7A">
            <w:pPr>
              <w:pStyle w:val="ListBullet"/>
              <w:rPr>
                <w:lang w:val="en-NZ"/>
              </w:rPr>
            </w:pPr>
            <w:r w:rsidRPr="00BA4C7A">
              <w:t>natural events</w:t>
            </w:r>
          </w:p>
        </w:tc>
      </w:tr>
      <w:tr w:rsidTr="00E7619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A4C7A">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BA4C7A" w:rsidP="00BA4C7A">
            <w:pPr>
              <w:pStyle w:val="ListBullet"/>
            </w:pPr>
            <w:r w:rsidRPr="00BA4C7A">
              <w:t>non-compliance with legislative and regulatory requirements, including:</w:t>
            </w:r>
          </w:p>
          <w:p w:rsidR="00000000" w:rsidRPr="00BA4C7A" w:rsidP="00BA4C7A">
            <w:pPr>
              <w:pStyle w:val="ListBullet2"/>
            </w:pPr>
            <w:r w:rsidRPr="00BA4C7A">
              <w:t>consumer protection</w:t>
            </w:r>
          </w:p>
          <w:p w:rsidR="00000000" w:rsidRPr="00BA4C7A" w:rsidP="00BA4C7A">
            <w:pPr>
              <w:pStyle w:val="ListBullet2"/>
            </w:pPr>
            <w:r w:rsidRPr="00BA4C7A">
              <w:t>OHS</w:t>
            </w:r>
          </w:p>
          <w:p w:rsidR="00000000" w:rsidRPr="00BA4C7A" w:rsidP="00BA4C7A">
            <w:pPr>
              <w:pStyle w:val="ListBullet2"/>
            </w:pPr>
            <w:r w:rsidRPr="00BA4C7A">
              <w:t>trade practices</w:t>
            </w:r>
          </w:p>
          <w:p w:rsidR="00000000" w:rsidRPr="00BA4C7A" w:rsidP="00BA4C7A">
            <w:pPr>
              <w:pStyle w:val="ListBullet"/>
            </w:pPr>
            <w:r w:rsidRPr="00BA4C7A">
              <w:t>non-compliance with quality system</w:t>
            </w:r>
          </w:p>
          <w:p w:rsidR="00000000" w:rsidRPr="00BA4C7A" w:rsidP="00BA4C7A">
            <w:pPr>
              <w:pStyle w:val="ListBullet"/>
            </w:pPr>
            <w:r w:rsidRPr="00BA4C7A">
              <w:t>physical and personal security</w:t>
            </w:r>
          </w:p>
          <w:p w:rsidR="00000000" w:rsidRPr="00BA4C7A" w:rsidP="00BA4C7A">
            <w:pPr>
              <w:pStyle w:val="ListBullet"/>
            </w:pPr>
            <w:r w:rsidRPr="00BA4C7A">
              <w:t>political circumstances, such as legislative change</w:t>
            </w:r>
          </w:p>
          <w:p w:rsidR="00000000" w:rsidRPr="00BA4C7A" w:rsidP="00BA4C7A">
            <w:pPr>
              <w:pStyle w:val="ListBullet"/>
            </w:pPr>
            <w:r w:rsidRPr="00BA4C7A">
              <w:t>property ownership, including intellectual property</w:t>
            </w:r>
          </w:p>
          <w:p w:rsidR="00000000" w:rsidP="00BA4C7A">
            <w:pPr>
              <w:pStyle w:val="ListBullet"/>
              <w:rPr>
                <w:lang w:val="en-NZ"/>
              </w:rPr>
            </w:pPr>
            <w:r w:rsidRPr="00BA4C7A">
              <w:t>technological and technical issues, both internal and external to the agency, such as loss of data.</w:t>
            </w:r>
          </w:p>
        </w:tc>
      </w:tr>
      <w:tr w:rsidTr="00E7619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A4C7A">
            <w:pPr>
              <w:pStyle w:val="BodyText"/>
              <w:rPr>
                <w:lang w:val="en-NZ"/>
              </w:rPr>
            </w:pPr>
            <w:r w:rsidRPr="00BA4C7A">
              <w:rPr>
                <w:rStyle w:val="BoldandItalics"/>
              </w:rPr>
              <w:t>Agency</w:t>
            </w:r>
            <w:r w:rsidRPr="00BA4C7A">
              <w:t xml:space="preserve">, </w:t>
            </w:r>
            <w:r w:rsidRPr="00BA4C7A">
              <w:rPr>
                <w:rStyle w:val="BoldandItalics"/>
              </w:rPr>
              <w:t>clients and other stakeholders</w:t>
            </w:r>
            <w:r w:rsidRPr="00BA4C7A">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BA4C7A" w:rsidP="00BA4C7A">
            <w:pPr>
              <w:pStyle w:val="ListBullet"/>
            </w:pPr>
            <w:r w:rsidRPr="00BA4C7A">
              <w:t>consumers and clients</w:t>
            </w:r>
          </w:p>
          <w:p w:rsidR="00000000" w:rsidRPr="00BA4C7A" w:rsidP="00BA4C7A">
            <w:pPr>
              <w:pStyle w:val="ListBullet"/>
            </w:pPr>
            <w:r w:rsidRPr="00BA4C7A">
              <w:t>co-owners</w:t>
            </w:r>
          </w:p>
          <w:p w:rsidR="00000000" w:rsidRPr="00BA4C7A" w:rsidP="00BA4C7A">
            <w:pPr>
              <w:pStyle w:val="ListBullet"/>
            </w:pPr>
            <w:r w:rsidRPr="00BA4C7A">
              <w:t>financial institutions that have an interest in the agency</w:t>
            </w:r>
          </w:p>
          <w:p w:rsidR="00000000" w:rsidRPr="00BA4C7A" w:rsidP="00BA4C7A">
            <w:pPr>
              <w:pStyle w:val="ListBullet"/>
            </w:pPr>
            <w:r w:rsidRPr="00BA4C7A">
              <w:t>principals</w:t>
            </w:r>
          </w:p>
          <w:p w:rsidR="00000000" w:rsidP="00BA4C7A">
            <w:pPr>
              <w:pStyle w:val="ListBullet"/>
              <w:rPr>
                <w:lang w:val="en-NZ"/>
              </w:rPr>
            </w:pPr>
            <w:r w:rsidRPr="00BA4C7A">
              <w:t>staff and others to whom a duty of care is owed.</w:t>
            </w:r>
          </w:p>
        </w:tc>
      </w:tr>
      <w:tr w:rsidTr="00E7619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A4C7A">
            <w:pPr>
              <w:pStyle w:val="BodyText"/>
              <w:rPr>
                <w:lang w:val="en-NZ"/>
              </w:rPr>
            </w:pPr>
            <w:r w:rsidRPr="00BA4C7A">
              <w:rPr>
                <w:rStyle w:val="BoldandItalics"/>
              </w:rPr>
              <w:t>Causes of risks</w:t>
            </w:r>
            <w:r w:rsidRPr="00BA4C7A">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BA4C7A" w:rsidP="00BA4C7A">
            <w:pPr>
              <w:pStyle w:val="ListBullet"/>
            </w:pPr>
            <w:r w:rsidRPr="00BA4C7A">
              <w:t>commercial and legal relationships</w:t>
            </w:r>
          </w:p>
          <w:p w:rsidR="00000000" w:rsidRPr="00BA4C7A" w:rsidP="00BA4C7A">
            <w:pPr>
              <w:pStyle w:val="ListBullet"/>
            </w:pPr>
            <w:r w:rsidRPr="00BA4C7A">
              <w:t>economic circumstances and scenarios</w:t>
            </w:r>
          </w:p>
          <w:p w:rsidR="00000000" w:rsidRPr="00BA4C7A" w:rsidP="00BA4C7A">
            <w:pPr>
              <w:pStyle w:val="ListBullet"/>
            </w:pPr>
            <w:r w:rsidRPr="00BA4C7A">
              <w:t>human behaviour</w:t>
            </w:r>
          </w:p>
          <w:p w:rsidR="00000000" w:rsidRPr="00BA4C7A" w:rsidP="00BA4C7A">
            <w:pPr>
              <w:pStyle w:val="ListBullet"/>
            </w:pPr>
            <w:r w:rsidRPr="00BA4C7A">
              <w:t>inaccurate information provided by clients</w:t>
            </w:r>
          </w:p>
          <w:p w:rsidR="00000000" w:rsidRPr="00BA4C7A" w:rsidP="00BA4C7A">
            <w:pPr>
              <w:pStyle w:val="ListBullet"/>
            </w:pPr>
            <w:r w:rsidRPr="00BA4C7A">
              <w:t>individual activities</w:t>
            </w:r>
          </w:p>
          <w:p w:rsidR="00000000" w:rsidRPr="00BA4C7A" w:rsidP="00BA4C7A">
            <w:pPr>
              <w:pStyle w:val="ListBullet"/>
            </w:pPr>
            <w:r w:rsidRPr="00BA4C7A">
              <w:t>management activities and controls</w:t>
            </w:r>
          </w:p>
          <w:p w:rsidR="00000000" w:rsidRPr="00BA4C7A" w:rsidP="00BA4C7A">
            <w:pPr>
              <w:pStyle w:val="ListBullet"/>
            </w:pPr>
            <w:r w:rsidRPr="00BA4C7A">
              <w:t>natural events</w:t>
            </w:r>
          </w:p>
          <w:p w:rsidR="00000000" w:rsidRPr="00BA4C7A" w:rsidP="00BA4C7A">
            <w:pPr>
              <w:pStyle w:val="ListBullet"/>
            </w:pPr>
            <w:r w:rsidRPr="00BA4C7A">
              <w:t>political circumstances</w:t>
            </w:r>
          </w:p>
          <w:p w:rsidR="00000000" w:rsidP="00BA4C7A">
            <w:pPr>
              <w:pStyle w:val="ListBullet"/>
              <w:rPr>
                <w:lang w:val="en-NZ"/>
              </w:rPr>
            </w:pPr>
            <w:r w:rsidRPr="00BA4C7A">
              <w:t>technological issues.</w:t>
            </w:r>
          </w:p>
        </w:tc>
      </w:tr>
      <w:tr w:rsidTr="00E7619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A4C7A">
            <w:pPr>
              <w:pStyle w:val="BodyText"/>
              <w:rPr>
                <w:lang w:val="en-NZ"/>
              </w:rPr>
            </w:pPr>
            <w:r w:rsidRPr="00BA4C7A">
              <w:rPr>
                <w:rStyle w:val="BoldandItalics"/>
              </w:rPr>
              <w:t>Potential impact of risks</w:t>
            </w:r>
            <w:r w:rsidRPr="00BA4C7A">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BA4C7A" w:rsidP="00BA4C7A">
            <w:pPr>
              <w:pStyle w:val="ListBullet"/>
            </w:pPr>
            <w:r w:rsidRPr="00BA4C7A">
              <w:t>capital reserves</w:t>
            </w:r>
          </w:p>
          <w:p w:rsidR="00000000" w:rsidRPr="00BA4C7A" w:rsidP="00BA4C7A">
            <w:pPr>
              <w:pStyle w:val="ListBullet"/>
            </w:pPr>
            <w:r w:rsidRPr="00BA4C7A">
              <w:t>cash flow viability a</w:t>
            </w:r>
            <w:r w:rsidRPr="00BA4C7A">
              <w:t xml:space="preserve">nd resulting liquidity </w:t>
            </w:r>
          </w:p>
          <w:p w:rsidR="00000000" w:rsidRPr="00BA4C7A" w:rsidP="00BA4C7A">
            <w:pPr>
              <w:pStyle w:val="ListBullet"/>
            </w:pPr>
            <w:r w:rsidRPr="00BA4C7A">
              <w:t>goodwill value</w:t>
            </w:r>
          </w:p>
          <w:p w:rsidR="00000000" w:rsidRPr="00BA4C7A" w:rsidP="00BA4C7A">
            <w:pPr>
              <w:pStyle w:val="ListBullet"/>
            </w:pPr>
            <w:r w:rsidRPr="00BA4C7A">
              <w:t>nett worth of the business</w:t>
            </w:r>
          </w:p>
          <w:p w:rsidR="00000000" w:rsidP="00BA4C7A">
            <w:pPr>
              <w:pStyle w:val="ListBullet"/>
              <w:rPr>
                <w:lang w:val="en-NZ"/>
              </w:rPr>
            </w:pPr>
            <w:r w:rsidRPr="00BA4C7A">
              <w:t>return on investment.</w:t>
            </w:r>
          </w:p>
        </w:tc>
      </w:tr>
      <w:tr w:rsidTr="00E7619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A4C7A">
            <w:pPr>
              <w:pStyle w:val="BodyText"/>
              <w:rPr>
                <w:lang w:val="en-NZ"/>
              </w:rPr>
            </w:pPr>
            <w:r w:rsidRPr="00BA4C7A">
              <w:rPr>
                <w:rStyle w:val="BoldandItalics"/>
              </w:rPr>
              <w:t>Agency procedures for responding to risks</w:t>
            </w:r>
            <w:r w:rsidRPr="00BA4C7A">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BA4C7A" w:rsidP="00BA4C7A">
            <w:pPr>
              <w:pStyle w:val="ListBullet"/>
            </w:pPr>
            <w:r w:rsidRPr="00BA4C7A">
              <w:t>discussion with supervisor and colleagues</w:t>
            </w:r>
          </w:p>
          <w:p w:rsidR="00000000" w:rsidRPr="00BA4C7A" w:rsidP="00BA4C7A">
            <w:pPr>
              <w:pStyle w:val="ListBullet"/>
            </w:pPr>
            <w:r w:rsidRPr="00BA4C7A">
              <w:t>documentation of risks</w:t>
            </w:r>
          </w:p>
          <w:p w:rsidR="00000000" w:rsidP="00BA4C7A">
            <w:pPr>
              <w:pStyle w:val="ListBullet"/>
              <w:rPr>
                <w:lang w:val="en-NZ"/>
              </w:rPr>
            </w:pPr>
            <w:r w:rsidRPr="00BA4C7A">
              <w:t>reporting risk to immediate supervisor.</w:t>
            </w:r>
          </w:p>
        </w:tc>
      </w:tr>
      <w:tr w:rsidTr="00E7619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BA4C7A" w:rsidP="00BA4C7A">
            <w:pPr>
              <w:pStyle w:val="BodyText"/>
            </w:pPr>
          </w:p>
        </w:tc>
      </w:tr>
    </w:tbl>
    <w:p w:rsidR="00E7619B" w:rsidP="00BA4C7A">
      <w:pPr>
        <w:pStyle w:val="BodyText"/>
      </w:pPr>
    </w:p>
    <w:p w:rsidR="00E7619B" w:rsidP="00BA4C7A">
      <w:pPr>
        <w:pStyle w:val="BodyText"/>
      </w:pPr>
    </w:p>
    <w:p w:rsidR="00000000" w:rsidRPr="00BA4C7A" w:rsidP="00BA4C7A">
      <w:pPr>
        <w:pStyle w:val="Heading1"/>
      </w:pPr>
      <w:bookmarkStart w:id="12" w:name="O_200837"/>
      <w:bookmarkEnd w:id="12"/>
      <w:r w:rsidRPr="00BA4C7A">
        <w:t>Unit Sector(s)</w:t>
      </w:r>
    </w:p>
    <w:tbl>
      <w:tblPr>
        <w:tblW w:w="0" w:type="auto"/>
        <w:tblLayout w:type="fixed"/>
        <w:tblCellMar>
          <w:left w:w="62" w:type="dxa"/>
          <w:right w:w="62" w:type="dxa"/>
        </w:tblCellMar>
        <w:tblLook w:val="0000"/>
      </w:tblPr>
      <w:tblGrid>
        <w:gridCol w:w="2926"/>
        <w:gridCol w:w="5596"/>
      </w:tblGrid>
      <w:tr w:rsidTr="00E7619B">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BA4C7A">
            <w:pPr>
              <w:pStyle w:val="BodyText"/>
              <w:rPr>
                <w:lang w:val="en-NZ"/>
              </w:rPr>
            </w:pPr>
            <w:r w:rsidRPr="00BA4C7A">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BA4C7A" w:rsidP="00BA4C7A">
            <w:pPr>
              <w:pStyle w:val="BodyText"/>
            </w:pPr>
            <w:r w:rsidRPr="00BA4C7A">
              <w:t>Property development, sales and management</w:t>
            </w:r>
          </w:p>
        </w:tc>
      </w:tr>
    </w:tbl>
    <w:p w:rsidR="00E7619B" w:rsidP="00BA4C7A">
      <w:pPr>
        <w:pStyle w:val="BodyText"/>
      </w:pPr>
    </w:p>
    <w:p w:rsidR="00E7619B" w:rsidP="00BA4C7A">
      <w:pPr>
        <w:pStyle w:val="BodyText"/>
      </w:pPr>
    </w:p>
    <w:p w:rsidR="00000000" w:rsidRPr="00BA4C7A" w:rsidP="00BA4C7A">
      <w:pPr>
        <w:pStyle w:val="Heading1"/>
      </w:pPr>
      <w:bookmarkStart w:id="13" w:name="O_200836"/>
      <w:bookmarkEnd w:id="13"/>
      <w:r w:rsidRPr="00BA4C7A">
        <w:t>Competency field</w:t>
      </w:r>
    </w:p>
    <w:tbl>
      <w:tblPr>
        <w:tblW w:w="0" w:type="auto"/>
        <w:tblLayout w:type="fixed"/>
        <w:tblCellMar>
          <w:left w:w="62" w:type="dxa"/>
          <w:right w:w="62" w:type="dxa"/>
        </w:tblCellMar>
        <w:tblLook w:val="0000"/>
      </w:tblPr>
      <w:tblGrid>
        <w:gridCol w:w="2926"/>
        <w:gridCol w:w="5596"/>
      </w:tblGrid>
      <w:tr w:rsidTr="00E7619B">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BA4C7A">
            <w:pPr>
              <w:pStyle w:val="BodyText"/>
              <w:rPr>
                <w:lang w:val="en-NZ"/>
              </w:rPr>
            </w:pPr>
            <w:r w:rsidRPr="00BA4C7A">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BA4C7A" w:rsidP="00BA4C7A">
            <w:pPr>
              <w:pStyle w:val="BodyText"/>
            </w:pPr>
            <w:r w:rsidRPr="00BA4C7A">
              <w:t>Real estate</w:t>
            </w:r>
          </w:p>
        </w:tc>
      </w:tr>
    </w:tbl>
    <w:p w:rsidR="00E7619B" w:rsidP="00BA4C7A">
      <w:pPr>
        <w:pStyle w:val="BodyText"/>
      </w:pPr>
    </w:p>
    <w:p w:rsidR="00E7619B" w:rsidP="00BA4C7A">
      <w:pPr>
        <w:pStyle w:val="BodyText"/>
      </w:pPr>
    </w:p>
    <w:p w:rsidR="00000000" w:rsidRPr="00BA4C7A" w:rsidP="00BA4C7A"/>
    <w:sectPr w:rsidSect="00BA4C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C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619B" w:rsidP="00E761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C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19B" w:rsidP="00BA4C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7619B" w:rsidP="00BA4C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7619B" w:rsidP="00BA4C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C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619B" w:rsidP="00E761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C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19B" w:rsidP="00BA4C7A">
    <w:pPr>
      <w:pStyle w:val="Header"/>
      <w:framePr w:wrap="around"/>
    </w:pPr>
    <w:r>
      <w:fldChar w:fldCharType="begin"/>
    </w:r>
    <w:r>
      <w:instrText xml:space="preserve"> TITLE   \* MERGEFORMAT </w:instrText>
    </w:r>
    <w:r>
      <w:fldChar w:fldCharType="separate"/>
    </w:r>
    <w:r>
      <w:t>CPPDSM3018B Identify risks to agency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7619B" w:rsidP="00BA4C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9E02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C8F2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C42E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C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4C7A"/>
    <w:pPr>
      <w:spacing w:before="360" w:after="60"/>
      <w:outlineLvl w:val="0"/>
    </w:pPr>
    <w:rPr>
      <w:sz w:val="32"/>
    </w:rPr>
  </w:style>
  <w:style w:type="paragraph" w:styleId="Heading2">
    <w:name w:val="heading 2"/>
    <w:basedOn w:val="HeadingBase"/>
    <w:next w:val="BodyText"/>
    <w:link w:val="Heading2Char"/>
    <w:qFormat/>
    <w:rsid w:val="00BA4C7A"/>
    <w:pPr>
      <w:keepLines/>
      <w:spacing w:before="240" w:after="120"/>
      <w:outlineLvl w:val="1"/>
    </w:pPr>
    <w:rPr>
      <w:sz w:val="28"/>
      <w:szCs w:val="40"/>
    </w:rPr>
  </w:style>
  <w:style w:type="paragraph" w:styleId="Heading3">
    <w:name w:val="heading 3"/>
    <w:basedOn w:val="HeadingBase"/>
    <w:next w:val="BodyText"/>
    <w:link w:val="Heading3Char"/>
    <w:qFormat/>
    <w:rsid w:val="00BA4C7A"/>
    <w:pPr>
      <w:spacing w:before="180" w:after="120"/>
      <w:outlineLvl w:val="2"/>
    </w:pPr>
    <w:rPr>
      <w:spacing w:val="-10"/>
      <w:kern w:val="32"/>
    </w:rPr>
  </w:style>
  <w:style w:type="paragraph" w:styleId="Heading4">
    <w:name w:val="heading 4"/>
    <w:basedOn w:val="HeadingBase"/>
    <w:next w:val="BodyText"/>
    <w:link w:val="Heading4Char"/>
    <w:qFormat/>
    <w:rsid w:val="00BA4C7A"/>
    <w:pPr>
      <w:spacing w:before="160" w:after="120"/>
      <w:outlineLvl w:val="3"/>
    </w:pPr>
    <w:rPr>
      <w:sz w:val="22"/>
    </w:rPr>
  </w:style>
  <w:style w:type="paragraph" w:styleId="Heading5">
    <w:name w:val="heading 5"/>
    <w:basedOn w:val="HeadingBase"/>
    <w:next w:val="Normal"/>
    <w:link w:val="Heading5Char"/>
    <w:qFormat/>
    <w:rsid w:val="00BA4C7A"/>
    <w:pPr>
      <w:spacing w:before="80"/>
      <w:outlineLvl w:val="4"/>
    </w:pPr>
    <w:rPr>
      <w:color w:val="918585"/>
      <w:sz w:val="20"/>
    </w:rPr>
  </w:style>
  <w:style w:type="paragraph" w:styleId="Heading6">
    <w:name w:val="heading 6"/>
    <w:basedOn w:val="HeadingBase"/>
    <w:next w:val="Normal"/>
    <w:link w:val="Heading6Char"/>
    <w:qFormat/>
    <w:rsid w:val="00BA4C7A"/>
    <w:pPr>
      <w:spacing w:before="60"/>
      <w:outlineLvl w:val="5"/>
    </w:pPr>
    <w:rPr>
      <w:color w:val="918585"/>
      <w:sz w:val="20"/>
    </w:rPr>
  </w:style>
  <w:style w:type="paragraph" w:styleId="Heading7">
    <w:name w:val="heading 7"/>
    <w:basedOn w:val="Normal"/>
    <w:next w:val="Normal"/>
    <w:link w:val="Heading7Char"/>
    <w:qFormat/>
    <w:rsid w:val="00BA4C7A"/>
    <w:pPr>
      <w:ind w:left="720"/>
      <w:outlineLvl w:val="6"/>
    </w:pPr>
    <w:rPr>
      <w:i/>
    </w:rPr>
  </w:style>
  <w:style w:type="paragraph" w:styleId="Heading8">
    <w:name w:val="heading 8"/>
    <w:basedOn w:val="Normal"/>
    <w:next w:val="Normal"/>
    <w:link w:val="Heading8Char"/>
    <w:qFormat/>
    <w:rsid w:val="00BA4C7A"/>
    <w:pPr>
      <w:ind w:left="720"/>
      <w:outlineLvl w:val="7"/>
    </w:pPr>
    <w:rPr>
      <w:i/>
    </w:rPr>
  </w:style>
  <w:style w:type="paragraph" w:styleId="Heading9">
    <w:name w:val="heading 9"/>
    <w:basedOn w:val="Normal"/>
    <w:next w:val="Normal"/>
    <w:link w:val="Heading9Char"/>
    <w:qFormat/>
    <w:rsid w:val="00BA4C7A"/>
    <w:pPr>
      <w:ind w:left="720"/>
      <w:outlineLvl w:val="8"/>
    </w:pPr>
    <w:rPr>
      <w:i/>
    </w:rPr>
  </w:style>
  <w:style w:type="character" w:default="1" w:styleId="DefaultParagraphFont">
    <w:name w:val="Default Paragraph Font"/>
    <w:uiPriority w:val="1"/>
    <w:unhideWhenUsed/>
    <w:rsid w:val="00BA4C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C7A"/>
  </w:style>
  <w:style w:type="character" w:customStyle="1" w:styleId="Heading1Char">
    <w:name w:val="Heading 1 Char"/>
    <w:basedOn w:val="DefaultParagraphFont"/>
    <w:link w:val="Heading1"/>
    <w:rsid w:val="00BA4C7A"/>
    <w:rPr>
      <w:rFonts w:ascii="Times New Roman" w:eastAsia="Times New Roman" w:hAnsi="Times New Roman" w:cs="Times New Roman"/>
      <w:b/>
      <w:sz w:val="32"/>
      <w:szCs w:val="20"/>
      <w:lang w:eastAsia="en-US"/>
    </w:rPr>
  </w:style>
  <w:style w:type="paragraph" w:styleId="BodyText">
    <w:name w:val="Body Text"/>
    <w:basedOn w:val="Normal"/>
    <w:link w:val="BodyTextChar"/>
    <w:rsid w:val="00BA4C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4C7A"/>
    <w:rPr>
      <w:rFonts w:ascii="Times New Roman" w:eastAsia="Times New Roman" w:hAnsi="Times New Roman" w:cs="Times New Roman"/>
      <w:sz w:val="24"/>
      <w:lang w:val="en-US" w:eastAsia="en-US"/>
    </w:rPr>
  </w:style>
  <w:style w:type="paragraph" w:styleId="Footer">
    <w:name w:val="footer"/>
    <w:basedOn w:val="Normal"/>
    <w:link w:val="FooterChar"/>
    <w:rsid w:val="00BA4C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C7A"/>
    <w:rPr>
      <w:rFonts w:ascii="Times New Roman" w:eastAsia="Times New Roman" w:hAnsi="Times New Roman" w:cs="Times New Roman"/>
      <w:sz w:val="16"/>
      <w:lang w:val="en-US" w:eastAsia="en-US"/>
    </w:rPr>
  </w:style>
  <w:style w:type="paragraph" w:styleId="List">
    <w:name w:val="List"/>
    <w:basedOn w:val="BodyText"/>
    <w:next w:val="BodyText"/>
    <w:rsid w:val="00BA4C7A"/>
    <w:pPr>
      <w:tabs>
        <w:tab w:val="left" w:pos="340"/>
      </w:tabs>
      <w:spacing w:before="60" w:after="60"/>
      <w:ind w:left="340" w:hanging="340"/>
    </w:pPr>
  </w:style>
  <w:style w:type="paragraph" w:styleId="ListBullet">
    <w:name w:val="List Bullet"/>
    <w:basedOn w:val="List"/>
    <w:rsid w:val="00BA4C7A"/>
    <w:pPr>
      <w:numPr>
        <w:numId w:val="13"/>
      </w:numPr>
      <w:tabs>
        <w:tab w:val="clear" w:pos="340"/>
      </w:tabs>
      <w:spacing w:before="40" w:after="40"/>
    </w:pPr>
  </w:style>
  <w:style w:type="character" w:customStyle="1" w:styleId="SpecialBold">
    <w:name w:val="Special Bold"/>
    <w:basedOn w:val="DefaultParagraphFont"/>
    <w:rsid w:val="00BA4C7A"/>
    <w:rPr>
      <w:b/>
      <w:spacing w:val="0"/>
    </w:rPr>
  </w:style>
  <w:style w:type="paragraph" w:styleId="ListBullet2">
    <w:name w:val="List Bullet 2"/>
    <w:basedOn w:val="List2"/>
    <w:rsid w:val="00BA4C7A"/>
    <w:pPr>
      <w:numPr>
        <w:numId w:val="14"/>
      </w:numPr>
      <w:tabs>
        <w:tab w:val="clear" w:pos="680"/>
      </w:tabs>
    </w:pPr>
  </w:style>
  <w:style w:type="paragraph" w:styleId="Header">
    <w:name w:val="header"/>
    <w:basedOn w:val="Normal"/>
    <w:link w:val="HeaderChar"/>
    <w:rsid w:val="00BA4C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C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4C7A"/>
    <w:pPr>
      <w:spacing w:before="240" w:after="120"/>
      <w:outlineLvl w:val="0"/>
    </w:pPr>
    <w:rPr>
      <w:rFonts w:ascii="Times New Roman" w:hAnsi="Times New Roman"/>
      <w:b/>
      <w:sz w:val="28"/>
    </w:rPr>
  </w:style>
  <w:style w:type="paragraph" w:customStyle="1" w:styleId="AllowPageBreak">
    <w:name w:val="AllowPageBreak"/>
    <w:rsid w:val="00BA4C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A4C7A"/>
    <w:rPr>
      <w:b/>
      <w:i/>
      <w:u w:val="none"/>
    </w:rPr>
  </w:style>
  <w:style w:type="character" w:customStyle="1" w:styleId="Heading2Char">
    <w:name w:val="Heading 2 Char"/>
    <w:basedOn w:val="DefaultParagraphFont"/>
    <w:link w:val="Heading2"/>
    <w:rsid w:val="00BA4C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C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C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C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C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C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4C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4C7A"/>
    <w:rPr>
      <w:rFonts w:ascii="Courier New" w:eastAsia="Times New Roman" w:hAnsi="Courier New" w:cs="Times New Roman"/>
      <w:i/>
      <w:szCs w:val="20"/>
      <w:lang w:val="en-US" w:eastAsia="en-US"/>
    </w:rPr>
  </w:style>
  <w:style w:type="paragraph" w:customStyle="1" w:styleId="HeadingBase">
    <w:name w:val="Heading Base"/>
    <w:rsid w:val="00BA4C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C7A"/>
    <w:pPr>
      <w:tabs>
        <w:tab w:val="right" w:leader="dot" w:pos="9072"/>
      </w:tabs>
      <w:ind w:left="567"/>
    </w:pPr>
    <w:rPr>
      <w:szCs w:val="22"/>
    </w:rPr>
  </w:style>
  <w:style w:type="paragraph" w:customStyle="1" w:styleId="TOCBase">
    <w:name w:val="TOC Base"/>
    <w:rsid w:val="00BA4C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C7A"/>
    <w:pPr>
      <w:tabs>
        <w:tab w:val="right" w:leader="dot" w:pos="9072"/>
      </w:tabs>
      <w:spacing w:before="40" w:after="40"/>
      <w:ind w:left="284"/>
    </w:pPr>
    <w:rPr>
      <w:rFonts w:ascii="Times New Roman" w:hAnsi="Times New Roman"/>
    </w:rPr>
  </w:style>
  <w:style w:type="paragraph" w:styleId="TOC1">
    <w:name w:val="toc 1"/>
    <w:basedOn w:val="TOCBase"/>
    <w:next w:val="Normal"/>
    <w:rsid w:val="00BA4C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4C7A"/>
    <w:pPr>
      <w:spacing w:before="5040"/>
      <w:jc w:val="center"/>
    </w:pPr>
    <w:rPr>
      <w:sz w:val="48"/>
      <w:szCs w:val="72"/>
      <w:lang w:val="en-US"/>
    </w:rPr>
  </w:style>
  <w:style w:type="character" w:customStyle="1" w:styleId="TitleChar">
    <w:name w:val="Title Char"/>
    <w:basedOn w:val="DefaultParagraphFont"/>
    <w:link w:val="Title"/>
    <w:rsid w:val="00BA4C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C7A"/>
    <w:pPr>
      <w:tabs>
        <w:tab w:val="left" w:pos="3600"/>
        <w:tab w:val="left" w:pos="3958"/>
      </w:tabs>
    </w:pPr>
  </w:style>
  <w:style w:type="paragraph" w:customStyle="1" w:styleId="Note">
    <w:name w:val="Note"/>
    <w:basedOn w:val="BodyText"/>
    <w:rsid w:val="00BA4C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C7A"/>
    <w:pPr>
      <w:framePr w:wrap="auto" w:hAnchor="text" w:y="6049"/>
    </w:pPr>
    <w:rPr>
      <w:color w:val="000000"/>
      <w:sz w:val="40"/>
    </w:rPr>
  </w:style>
  <w:style w:type="paragraph" w:customStyle="1" w:styleId="TOCTitle">
    <w:name w:val="TOCTitle"/>
    <w:basedOn w:val="Heading1"/>
    <w:rsid w:val="00BA4C7A"/>
    <w:pPr>
      <w:spacing w:after="240"/>
      <w:jc w:val="center"/>
      <w:outlineLvl w:val="9"/>
    </w:pPr>
    <w:rPr>
      <w:caps/>
    </w:rPr>
  </w:style>
  <w:style w:type="paragraph" w:customStyle="1" w:styleId="Version">
    <w:name w:val="Version"/>
    <w:rsid w:val="00BA4C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4C7A"/>
    <w:pPr>
      <w:keepNext w:val="0"/>
      <w:tabs>
        <w:tab w:val="right" w:pos="4176"/>
      </w:tabs>
      <w:ind w:left="198" w:hanging="198"/>
    </w:pPr>
    <w:rPr>
      <w:rFonts w:ascii="Garamond" w:hAnsi="Garamond"/>
    </w:rPr>
  </w:style>
  <w:style w:type="paragraph" w:styleId="IndexHeading">
    <w:name w:val="index heading"/>
    <w:basedOn w:val="Normal"/>
    <w:next w:val="Index1"/>
    <w:semiHidden/>
    <w:rsid w:val="00BA4C7A"/>
    <w:pPr>
      <w:spacing w:before="120" w:after="120"/>
    </w:pPr>
    <w:rPr>
      <w:rFonts w:ascii="Arial" w:hAnsi="Arial"/>
      <w:b/>
      <w:color w:val="918585"/>
      <w:sz w:val="24"/>
    </w:rPr>
  </w:style>
  <w:style w:type="paragraph" w:customStyle="1" w:styleId="Chapter">
    <w:name w:val="Chapter"/>
    <w:basedOn w:val="Normal"/>
    <w:rsid w:val="00BA4C7A"/>
    <w:pPr>
      <w:spacing w:before="240"/>
    </w:pPr>
    <w:rPr>
      <w:rFonts w:ascii="Times New Roman" w:hAnsi="Times New Roman"/>
      <w:smallCaps/>
      <w:spacing w:val="80"/>
      <w:sz w:val="28"/>
    </w:rPr>
  </w:style>
  <w:style w:type="paragraph" w:customStyle="1" w:styleId="InChapter">
    <w:name w:val="InChapter"/>
    <w:basedOn w:val="Heading3"/>
    <w:rsid w:val="00BA4C7A"/>
    <w:pPr>
      <w:spacing w:after="240"/>
      <w:outlineLvl w:val="9"/>
    </w:pPr>
    <w:rPr>
      <w:noProof/>
    </w:rPr>
  </w:style>
  <w:style w:type="paragraph" w:styleId="Index2">
    <w:name w:val="index 2"/>
    <w:basedOn w:val="Normal"/>
    <w:next w:val="Normal"/>
    <w:semiHidden/>
    <w:rsid w:val="00BA4C7A"/>
    <w:pPr>
      <w:tabs>
        <w:tab w:val="right" w:pos="4176"/>
      </w:tabs>
      <w:ind w:left="568" w:hanging="284"/>
    </w:pPr>
    <w:rPr>
      <w:rFonts w:ascii="Garamond" w:hAnsi="Garamond"/>
    </w:rPr>
  </w:style>
  <w:style w:type="paragraph" w:customStyle="1" w:styleId="Byline">
    <w:name w:val="Byline"/>
    <w:rsid w:val="00BA4C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C7A"/>
    <w:pPr>
      <w:tabs>
        <w:tab w:val="clear" w:pos="3600"/>
        <w:tab w:val="clear" w:pos="3958"/>
      </w:tabs>
      <w:jc w:val="right"/>
    </w:pPr>
  </w:style>
  <w:style w:type="character" w:styleId="Emphasis">
    <w:name w:val="Emphasis"/>
    <w:basedOn w:val="DefaultParagraphFont"/>
    <w:qFormat/>
    <w:rsid w:val="00BA4C7A"/>
    <w:rPr>
      <w:i/>
    </w:rPr>
  </w:style>
  <w:style w:type="paragraph" w:styleId="Caption">
    <w:name w:val="caption"/>
    <w:basedOn w:val="BodyText"/>
    <w:next w:val="Normal"/>
    <w:qFormat/>
    <w:rsid w:val="00BA4C7A"/>
    <w:pPr>
      <w:framePr w:w="2268" w:hSpace="181" w:vSpace="181" w:wrap="around" w:vAnchor="text" w:hAnchor="page" w:x="1135" w:y="285" w:anchorLock="1"/>
    </w:pPr>
    <w:rPr>
      <w:i/>
    </w:rPr>
  </w:style>
  <w:style w:type="paragraph" w:customStyle="1" w:styleId="MiniTOCTitle">
    <w:name w:val="MiniTOCTitle"/>
    <w:basedOn w:val="Heading4"/>
    <w:rsid w:val="00BA4C7A"/>
    <w:pPr>
      <w:spacing w:before="240"/>
      <w:outlineLvl w:val="9"/>
    </w:pPr>
    <w:rPr>
      <w:noProof/>
      <w:sz w:val="24"/>
    </w:rPr>
  </w:style>
  <w:style w:type="paragraph" w:customStyle="1" w:styleId="MiniTOCItem">
    <w:name w:val="MiniTOCItem"/>
    <w:basedOn w:val="ListBullet"/>
    <w:rsid w:val="00BA4C7A"/>
    <w:pPr>
      <w:numPr>
        <w:numId w:val="0"/>
      </w:numPr>
      <w:tabs>
        <w:tab w:val="right" w:leader="dot" w:pos="6521"/>
      </w:tabs>
      <w:spacing w:before="0" w:after="0"/>
    </w:pPr>
  </w:style>
  <w:style w:type="paragraph" w:customStyle="1" w:styleId="TOFTitle">
    <w:name w:val="TOFTitle"/>
    <w:basedOn w:val="TOCTitle"/>
    <w:rsid w:val="00BA4C7A"/>
  </w:style>
  <w:style w:type="paragraph" w:styleId="TableofFigures">
    <w:name w:val="table of figures"/>
    <w:basedOn w:val="Normal"/>
    <w:next w:val="Normal"/>
    <w:semiHidden/>
    <w:rsid w:val="00BA4C7A"/>
    <w:pPr>
      <w:tabs>
        <w:tab w:val="right" w:leader="dot" w:pos="9072"/>
      </w:tabs>
      <w:ind w:left="970" w:hanging="403"/>
    </w:pPr>
    <w:rPr>
      <w:rFonts w:ascii="Times New Roman" w:hAnsi="Times New Roman"/>
      <w:b/>
    </w:rPr>
  </w:style>
  <w:style w:type="paragraph" w:styleId="ListNumber">
    <w:name w:val="List Number"/>
    <w:basedOn w:val="List"/>
    <w:rsid w:val="00BA4C7A"/>
    <w:pPr>
      <w:numPr>
        <w:numId w:val="11"/>
      </w:numPr>
    </w:pPr>
  </w:style>
  <w:style w:type="character" w:customStyle="1" w:styleId="WingdingSymbols">
    <w:name w:val="Wingding Symbols"/>
    <w:rsid w:val="00BA4C7A"/>
    <w:rPr>
      <w:rFonts w:ascii="Wingdings" w:hAnsi="Wingdings"/>
    </w:rPr>
  </w:style>
  <w:style w:type="paragraph" w:customStyle="1" w:styleId="TableHeading">
    <w:name w:val="Table Heading"/>
    <w:basedOn w:val="HeadingBase"/>
    <w:rsid w:val="00BA4C7A"/>
    <w:pPr>
      <w:keepLines/>
      <w:pBdr>
        <w:bottom w:val="single" w:sz="6" w:space="1" w:color="918585"/>
      </w:pBdr>
      <w:spacing w:before="240"/>
    </w:pPr>
  </w:style>
  <w:style w:type="character" w:customStyle="1" w:styleId="HotSpot">
    <w:name w:val="HotSpot"/>
    <w:rsid w:val="00BA4C7A"/>
    <w:rPr>
      <w:color w:val="0033CC"/>
      <w:u w:val="none"/>
    </w:rPr>
  </w:style>
  <w:style w:type="paragraph" w:customStyle="1" w:styleId="BodyTextRight">
    <w:name w:val="Body Text Right"/>
    <w:basedOn w:val="BodyText"/>
    <w:rsid w:val="00BA4C7A"/>
    <w:pPr>
      <w:spacing w:before="0" w:after="0"/>
      <w:jc w:val="right"/>
    </w:pPr>
  </w:style>
  <w:style w:type="paragraph" w:styleId="Index3">
    <w:name w:val="index 3"/>
    <w:basedOn w:val="ListNumber2"/>
    <w:next w:val="Normal"/>
    <w:semiHidden/>
    <w:rsid w:val="00BA4C7A"/>
    <w:pPr>
      <w:numPr>
        <w:numId w:val="0"/>
      </w:numPr>
      <w:tabs>
        <w:tab w:val="right" w:leader="dot" w:pos="4176"/>
      </w:tabs>
    </w:pPr>
  </w:style>
  <w:style w:type="paragraph" w:styleId="ListNumber2">
    <w:name w:val="List Number 2"/>
    <w:basedOn w:val="List2"/>
    <w:rsid w:val="00BA4C7A"/>
    <w:pPr>
      <w:numPr>
        <w:numId w:val="10"/>
      </w:numPr>
      <w:tabs>
        <w:tab w:val="clear" w:pos="1060"/>
      </w:tabs>
    </w:pPr>
  </w:style>
  <w:style w:type="paragraph" w:customStyle="1" w:styleId="MarginNote">
    <w:name w:val="Margin Note"/>
    <w:basedOn w:val="BodyText"/>
    <w:rsid w:val="00BA4C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C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C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4C7A"/>
    <w:rPr>
      <w:sz w:val="32"/>
    </w:rPr>
  </w:style>
  <w:style w:type="paragraph" w:customStyle="1" w:styleId="HeadingProcedure">
    <w:name w:val="Heading Procedure"/>
    <w:basedOn w:val="HeadingBase"/>
    <w:next w:val="Normal"/>
    <w:rsid w:val="00BA4C7A"/>
    <w:pPr>
      <w:tabs>
        <w:tab w:val="left" w:pos="0"/>
      </w:tabs>
      <w:spacing w:before="120" w:after="60"/>
    </w:pPr>
    <w:rPr>
      <w:i/>
      <w:color w:val="918585"/>
      <w:sz w:val="22"/>
    </w:rPr>
  </w:style>
  <w:style w:type="paragraph" w:customStyle="1" w:styleId="TableBodyText">
    <w:name w:val="Table Body Text"/>
    <w:basedOn w:val="BodyText"/>
    <w:rsid w:val="00BA4C7A"/>
    <w:pPr>
      <w:spacing w:before="60" w:after="60"/>
    </w:pPr>
  </w:style>
  <w:style w:type="paragraph" w:styleId="ListContinue">
    <w:name w:val="List Continue"/>
    <w:basedOn w:val="List"/>
    <w:rsid w:val="00BA4C7A"/>
    <w:pPr>
      <w:ind w:firstLine="0"/>
    </w:pPr>
  </w:style>
  <w:style w:type="paragraph" w:customStyle="1" w:styleId="ListNote">
    <w:name w:val="List Note"/>
    <w:basedOn w:val="List"/>
    <w:rsid w:val="00BA4C7A"/>
    <w:pPr>
      <w:pBdr>
        <w:top w:val="single" w:sz="6" w:space="2" w:color="918585"/>
        <w:bottom w:val="single" w:sz="6" w:space="2" w:color="918585"/>
      </w:pBdr>
      <w:tabs>
        <w:tab w:val="left" w:pos="1021"/>
      </w:tabs>
      <w:ind w:firstLine="0"/>
    </w:pPr>
  </w:style>
  <w:style w:type="paragraph" w:customStyle="1" w:styleId="Warning">
    <w:name w:val="Warning"/>
    <w:basedOn w:val="BodyText"/>
    <w:rsid w:val="00BA4C7A"/>
    <w:pPr>
      <w:shd w:val="clear" w:color="auto" w:fill="D9D9D9"/>
      <w:tabs>
        <w:tab w:val="left" w:pos="992"/>
      </w:tabs>
      <w:ind w:left="119" w:right="119"/>
    </w:pPr>
    <w:rPr>
      <w:sz w:val="20"/>
    </w:rPr>
  </w:style>
  <w:style w:type="paragraph" w:customStyle="1" w:styleId="MarginIcons">
    <w:name w:val="Margin Icons"/>
    <w:basedOn w:val="BodyText"/>
    <w:rsid w:val="00BA4C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C7A"/>
    <w:rPr>
      <w:rFonts w:ascii="Courier New" w:hAnsi="Courier New"/>
    </w:rPr>
  </w:style>
  <w:style w:type="paragraph" w:customStyle="1" w:styleId="NoteBullet">
    <w:name w:val="Note Bullet"/>
    <w:basedOn w:val="Note"/>
    <w:rsid w:val="00BA4C7A"/>
    <w:pPr>
      <w:tabs>
        <w:tab w:val="clear" w:pos="680"/>
      </w:tabs>
      <w:spacing w:before="60" w:after="60"/>
    </w:pPr>
  </w:style>
  <w:style w:type="paragraph" w:customStyle="1" w:styleId="SubHeading2">
    <w:name w:val="SubHeading2"/>
    <w:basedOn w:val="HeadingBase"/>
    <w:rsid w:val="00BA4C7A"/>
    <w:pPr>
      <w:spacing w:before="240" w:after="60"/>
    </w:pPr>
    <w:rPr>
      <w:sz w:val="20"/>
    </w:rPr>
  </w:style>
  <w:style w:type="paragraph" w:customStyle="1" w:styleId="SubHeading1">
    <w:name w:val="SubHeading1"/>
    <w:basedOn w:val="HeadingBase"/>
    <w:rsid w:val="00BA4C7A"/>
    <w:pPr>
      <w:spacing w:before="240" w:after="60"/>
    </w:pPr>
    <w:rPr>
      <w:color w:val="918585"/>
      <w:sz w:val="22"/>
    </w:rPr>
  </w:style>
  <w:style w:type="paragraph" w:customStyle="1" w:styleId="SideHeading">
    <w:name w:val="Side Heading"/>
    <w:basedOn w:val="HeadingBase"/>
    <w:rsid w:val="00BA4C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C7A"/>
    <w:pPr>
      <w:numPr>
        <w:numId w:val="12"/>
      </w:numPr>
    </w:pPr>
  </w:style>
  <w:style w:type="paragraph" w:styleId="PlainText">
    <w:name w:val="Plain Text"/>
    <w:basedOn w:val="Normal"/>
    <w:link w:val="PlainTextChar"/>
    <w:rsid w:val="00BA4C7A"/>
    <w:rPr>
      <w:sz w:val="20"/>
    </w:rPr>
  </w:style>
  <w:style w:type="character" w:customStyle="1" w:styleId="PlainTextChar">
    <w:name w:val="Plain Text Char"/>
    <w:basedOn w:val="DefaultParagraphFont"/>
    <w:link w:val="PlainText"/>
    <w:rsid w:val="00BA4C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4C7A"/>
    <w:rPr>
      <w:b/>
      <w:smallCaps/>
    </w:rPr>
  </w:style>
  <w:style w:type="paragraph" w:customStyle="1" w:styleId="TableListNumber">
    <w:name w:val="Table List Number"/>
    <w:basedOn w:val="ListNumber"/>
    <w:rsid w:val="00BA4C7A"/>
    <w:pPr>
      <w:numPr>
        <w:numId w:val="0"/>
      </w:numPr>
    </w:pPr>
  </w:style>
  <w:style w:type="paragraph" w:styleId="TOC4">
    <w:name w:val="toc 4"/>
    <w:basedOn w:val="TOCBase"/>
    <w:next w:val="Normal"/>
    <w:semiHidden/>
    <w:rsid w:val="00BA4C7A"/>
    <w:pPr>
      <w:tabs>
        <w:tab w:val="right" w:leader="dot" w:pos="9071"/>
      </w:tabs>
      <w:ind w:left="1701"/>
    </w:pPr>
  </w:style>
  <w:style w:type="paragraph" w:customStyle="1" w:styleId="ListAlpha">
    <w:name w:val="List Alpha"/>
    <w:basedOn w:val="List"/>
    <w:rsid w:val="00BA4C7A"/>
    <w:pPr>
      <w:numPr>
        <w:numId w:val="9"/>
      </w:numPr>
    </w:pPr>
  </w:style>
  <w:style w:type="paragraph" w:customStyle="1" w:styleId="ListAlpha2">
    <w:name w:val="List Alpha 2"/>
    <w:basedOn w:val="List2"/>
    <w:rsid w:val="00BA4C7A"/>
    <w:pPr>
      <w:numPr>
        <w:numId w:val="8"/>
      </w:numPr>
    </w:pPr>
  </w:style>
  <w:style w:type="paragraph" w:styleId="List2">
    <w:name w:val="List 2"/>
    <w:basedOn w:val="BodyText"/>
    <w:rsid w:val="00BA4C7A"/>
    <w:pPr>
      <w:tabs>
        <w:tab w:val="left" w:pos="680"/>
      </w:tabs>
      <w:spacing w:before="60" w:after="60"/>
      <w:ind w:left="680" w:hanging="340"/>
    </w:pPr>
  </w:style>
  <w:style w:type="paragraph" w:styleId="List3">
    <w:name w:val="List 3"/>
    <w:basedOn w:val="BodyText"/>
    <w:rsid w:val="00BA4C7A"/>
    <w:pPr>
      <w:tabs>
        <w:tab w:val="left" w:pos="1021"/>
      </w:tabs>
      <w:spacing w:before="60" w:after="60"/>
      <w:ind w:left="1020" w:hanging="340"/>
    </w:pPr>
  </w:style>
  <w:style w:type="paragraph" w:styleId="List4">
    <w:name w:val="List 4"/>
    <w:basedOn w:val="BodyText"/>
    <w:rsid w:val="00BA4C7A"/>
    <w:pPr>
      <w:tabs>
        <w:tab w:val="left" w:pos="1361"/>
      </w:tabs>
      <w:spacing w:before="60" w:after="60"/>
      <w:ind w:left="1361" w:hanging="340"/>
    </w:pPr>
  </w:style>
  <w:style w:type="paragraph" w:styleId="List5">
    <w:name w:val="List 5"/>
    <w:basedOn w:val="BodyText"/>
    <w:rsid w:val="00BA4C7A"/>
    <w:pPr>
      <w:tabs>
        <w:tab w:val="left" w:pos="1701"/>
      </w:tabs>
      <w:spacing w:before="60" w:after="60"/>
      <w:ind w:left="1701" w:hanging="340"/>
    </w:pPr>
  </w:style>
  <w:style w:type="paragraph" w:styleId="ListBullet3">
    <w:name w:val="List Bullet 3"/>
    <w:basedOn w:val="List3"/>
    <w:rsid w:val="00BA4C7A"/>
    <w:pPr>
      <w:numPr>
        <w:numId w:val="15"/>
      </w:numPr>
      <w:tabs>
        <w:tab w:val="clear" w:pos="1021"/>
      </w:tabs>
      <w:ind w:left="1037" w:hanging="357"/>
    </w:pPr>
  </w:style>
  <w:style w:type="paragraph" w:styleId="ListBullet4">
    <w:name w:val="List Bullet 4"/>
    <w:basedOn w:val="List4"/>
    <w:rsid w:val="00BA4C7A"/>
    <w:pPr>
      <w:numPr>
        <w:numId w:val="3"/>
      </w:numPr>
    </w:pPr>
  </w:style>
  <w:style w:type="paragraph" w:styleId="ListBullet5">
    <w:name w:val="List Bullet 5"/>
    <w:basedOn w:val="List5"/>
    <w:rsid w:val="00BA4C7A"/>
    <w:pPr>
      <w:numPr>
        <w:numId w:val="4"/>
      </w:numPr>
    </w:pPr>
  </w:style>
  <w:style w:type="paragraph" w:styleId="ListContinue2">
    <w:name w:val="List Continue 2"/>
    <w:basedOn w:val="List2"/>
    <w:rsid w:val="00BA4C7A"/>
    <w:pPr>
      <w:ind w:firstLine="0"/>
    </w:pPr>
  </w:style>
  <w:style w:type="paragraph" w:styleId="ListContinue3">
    <w:name w:val="List Continue 3"/>
    <w:basedOn w:val="List3"/>
    <w:rsid w:val="00BA4C7A"/>
    <w:pPr>
      <w:ind w:left="1021" w:firstLine="0"/>
    </w:pPr>
  </w:style>
  <w:style w:type="paragraph" w:styleId="ListContinue4">
    <w:name w:val="List Continue 4"/>
    <w:basedOn w:val="List4"/>
    <w:rsid w:val="00BA4C7A"/>
    <w:pPr>
      <w:ind w:firstLine="0"/>
    </w:pPr>
  </w:style>
  <w:style w:type="paragraph" w:styleId="ListContinue5">
    <w:name w:val="List Continue 5"/>
    <w:basedOn w:val="List5"/>
    <w:rsid w:val="00BA4C7A"/>
    <w:pPr>
      <w:ind w:firstLine="0"/>
    </w:pPr>
  </w:style>
  <w:style w:type="paragraph" w:styleId="ListNumber3">
    <w:name w:val="List Number 3"/>
    <w:basedOn w:val="List3"/>
    <w:rsid w:val="00BA4C7A"/>
    <w:pPr>
      <w:numPr>
        <w:numId w:val="5"/>
      </w:numPr>
    </w:pPr>
  </w:style>
  <w:style w:type="paragraph" w:styleId="ListNumber4">
    <w:name w:val="List Number 4"/>
    <w:basedOn w:val="List4"/>
    <w:rsid w:val="00BA4C7A"/>
    <w:pPr>
      <w:numPr>
        <w:numId w:val="6"/>
      </w:numPr>
    </w:pPr>
  </w:style>
  <w:style w:type="paragraph" w:styleId="ListNumber5">
    <w:name w:val="List Number 5"/>
    <w:basedOn w:val="List5"/>
    <w:rsid w:val="00BA4C7A"/>
    <w:pPr>
      <w:numPr>
        <w:numId w:val="7"/>
      </w:numPr>
    </w:pPr>
  </w:style>
  <w:style w:type="paragraph" w:styleId="BlockText">
    <w:name w:val="Block Text"/>
    <w:basedOn w:val="Normal"/>
    <w:rsid w:val="00BA4C7A"/>
    <w:pPr>
      <w:spacing w:after="120"/>
      <w:ind w:left="1440" w:right="1440"/>
    </w:pPr>
  </w:style>
  <w:style w:type="character" w:customStyle="1" w:styleId="Subscript">
    <w:name w:val="Subscript"/>
    <w:basedOn w:val="DefaultParagraphFont"/>
    <w:rsid w:val="00BA4C7A"/>
    <w:rPr>
      <w:sz w:val="16"/>
      <w:vertAlign w:val="subscript"/>
    </w:rPr>
  </w:style>
  <w:style w:type="character" w:customStyle="1" w:styleId="Superscript">
    <w:name w:val="Superscript"/>
    <w:basedOn w:val="DefaultParagraphFont"/>
    <w:rsid w:val="00BA4C7A"/>
    <w:rPr>
      <w:sz w:val="16"/>
      <w:vertAlign w:val="superscript"/>
    </w:rPr>
  </w:style>
  <w:style w:type="character" w:customStyle="1" w:styleId="Symbols">
    <w:name w:val="Symbols"/>
    <w:basedOn w:val="DefaultParagraphFont"/>
    <w:rsid w:val="00BA4C7A"/>
    <w:rPr>
      <w:rFonts w:ascii="Symbol" w:hAnsi="Symbol"/>
    </w:rPr>
  </w:style>
  <w:style w:type="character" w:customStyle="1" w:styleId="MenuOptions">
    <w:name w:val="Menu Options"/>
    <w:basedOn w:val="DefaultParagraphFont"/>
    <w:rsid w:val="00BA4C7A"/>
    <w:rPr>
      <w:rFonts w:ascii="Arial Narrow" w:hAnsi="Arial Narrow"/>
      <w:smallCaps/>
    </w:rPr>
  </w:style>
  <w:style w:type="character" w:customStyle="1" w:styleId="Buttons">
    <w:name w:val="Buttons"/>
    <w:basedOn w:val="DefaultParagraphFont"/>
    <w:rsid w:val="00BA4C7A"/>
    <w:rPr>
      <w:b/>
    </w:rPr>
  </w:style>
  <w:style w:type="character" w:customStyle="1" w:styleId="Underlined">
    <w:name w:val="Underlined"/>
    <w:basedOn w:val="DefaultParagraphFont"/>
    <w:rsid w:val="00BA4C7A"/>
    <w:rPr>
      <w:u w:val="single"/>
    </w:rPr>
  </w:style>
  <w:style w:type="paragraph" w:customStyle="1" w:styleId="TableBodyTextRight">
    <w:name w:val="Table Body Text Right"/>
    <w:basedOn w:val="TableBodyText"/>
    <w:rsid w:val="00BA4C7A"/>
    <w:pPr>
      <w:widowControl w:val="0"/>
      <w:autoSpaceDE w:val="0"/>
      <w:autoSpaceDN w:val="0"/>
      <w:adjustRightInd w:val="0"/>
      <w:jc w:val="right"/>
    </w:pPr>
    <w:rPr>
      <w:rFonts w:cs="Arial"/>
      <w:szCs w:val="18"/>
    </w:rPr>
  </w:style>
  <w:style w:type="paragraph" w:customStyle="1" w:styleId="CopyrightText">
    <w:name w:val="Copyright Text"/>
    <w:basedOn w:val="BodyText"/>
    <w:rsid w:val="00BA4C7A"/>
    <w:rPr>
      <w:sz w:val="18"/>
    </w:rPr>
  </w:style>
  <w:style w:type="paragraph" w:customStyle="1" w:styleId="BodySmallRight">
    <w:name w:val="Body Small Right"/>
    <w:basedOn w:val="BodyTextRight"/>
    <w:rsid w:val="00BA4C7A"/>
    <w:rPr>
      <w:sz w:val="18"/>
      <w:szCs w:val="18"/>
    </w:rPr>
  </w:style>
  <w:style w:type="paragraph" w:customStyle="1" w:styleId="MarginEdition">
    <w:name w:val="Margin Edition"/>
    <w:basedOn w:val="MarginNote"/>
    <w:rsid w:val="00BA4C7A"/>
    <w:pPr>
      <w:spacing w:before="0" w:after="0"/>
    </w:pPr>
    <w:rPr>
      <w:rFonts w:ascii="Times New Roman" w:hAnsi="Times New Roman"/>
      <w:color w:val="999999"/>
    </w:rPr>
  </w:style>
  <w:style w:type="paragraph" w:customStyle="1" w:styleId="Spacer">
    <w:name w:val="Spacer"/>
    <w:basedOn w:val="Normal"/>
    <w:rsid w:val="00BA4C7A"/>
    <w:rPr>
      <w:sz w:val="2"/>
      <w:szCs w:val="2"/>
    </w:rPr>
  </w:style>
  <w:style w:type="character" w:customStyle="1" w:styleId="Small">
    <w:name w:val="Small"/>
    <w:basedOn w:val="DefaultParagraphFont"/>
    <w:rsid w:val="00BA4C7A"/>
    <w:rPr>
      <w:sz w:val="16"/>
    </w:rPr>
  </w:style>
  <w:style w:type="paragraph" w:customStyle="1" w:styleId="WideTable">
    <w:name w:val="Wide Table"/>
    <w:basedOn w:val="Normal"/>
    <w:rsid w:val="00BA4C7A"/>
    <w:pPr>
      <w:ind w:left="-1418"/>
    </w:pPr>
    <w:rPr>
      <w:sz w:val="2"/>
      <w:szCs w:val="2"/>
    </w:rPr>
  </w:style>
  <w:style w:type="character" w:styleId="PageNumber">
    <w:name w:val="page number"/>
    <w:basedOn w:val="DefaultParagraphFont"/>
    <w:rsid w:val="00BA4C7A"/>
  </w:style>
  <w:style w:type="paragraph" w:styleId="Quote">
    <w:name w:val="Quote"/>
    <w:basedOn w:val="Heading1"/>
    <w:link w:val="QuoteChar"/>
    <w:qFormat/>
    <w:rsid w:val="00BA4C7A"/>
    <w:rPr>
      <w:b w:val="0"/>
      <w:sz w:val="72"/>
      <w:szCs w:val="72"/>
      <w:lang w:val="en-NZ"/>
    </w:rPr>
  </w:style>
  <w:style w:type="character" w:customStyle="1" w:styleId="QuoteChar">
    <w:name w:val="Quote Char"/>
    <w:basedOn w:val="DefaultParagraphFont"/>
    <w:link w:val="Quote"/>
    <w:rsid w:val="00BA4C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C7A"/>
    <w:pPr>
      <w:pageBreakBefore/>
    </w:pPr>
  </w:style>
  <w:style w:type="paragraph" w:customStyle="1" w:styleId="Border">
    <w:name w:val="Border"/>
    <w:basedOn w:val="Normal"/>
    <w:qFormat/>
    <w:rsid w:val="00BA4C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C7A"/>
    <w:rPr>
      <w:b/>
      <w:bCs/>
      <w:i/>
      <w:iCs/>
      <w:color w:val="auto"/>
    </w:rPr>
  </w:style>
  <w:style w:type="paragraph" w:styleId="IntenseQuote">
    <w:name w:val="Intense Quote"/>
    <w:basedOn w:val="Normal"/>
    <w:next w:val="Normal"/>
    <w:link w:val="IntenseQuoteChar"/>
    <w:uiPriority w:val="30"/>
    <w:qFormat/>
    <w:rsid w:val="00BA4C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C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4C7A"/>
    <w:rPr>
      <w:smallCaps/>
      <w:color w:val="auto"/>
      <w:u w:val="single"/>
    </w:rPr>
  </w:style>
  <w:style w:type="character" w:styleId="IntenseReference">
    <w:name w:val="Intense Reference"/>
    <w:basedOn w:val="DefaultParagraphFont"/>
    <w:uiPriority w:val="32"/>
    <w:qFormat/>
    <w:rsid w:val="00BA4C7A"/>
    <w:rPr>
      <w:b/>
      <w:bCs/>
      <w:smallCaps/>
      <w:color w:val="auto"/>
      <w:spacing w:val="5"/>
      <w:u w:val="single"/>
    </w:rPr>
  </w:style>
  <w:style w:type="paragraph" w:customStyle="1" w:styleId="2ColumnHeading">
    <w:name w:val="2Column Heading"/>
    <w:basedOn w:val="BodyText"/>
    <w:qFormat/>
    <w:rsid w:val="00BA4C7A"/>
    <w:pPr>
      <w:spacing w:after="60"/>
      <w:ind w:left="-2268"/>
    </w:pPr>
    <w:rPr>
      <w:b/>
    </w:rPr>
  </w:style>
  <w:style w:type="paragraph" w:customStyle="1" w:styleId="Heading1TOC">
    <w:name w:val="Heading1 TOC"/>
    <w:basedOn w:val="Normal"/>
    <w:qFormat/>
    <w:rsid w:val="00BA4C7A"/>
    <w:pPr>
      <w:spacing w:before="240" w:after="120"/>
    </w:pPr>
    <w:rPr>
      <w:rFonts w:ascii="Times New Roman" w:hAnsi="Times New Roman"/>
      <w:b/>
      <w:sz w:val="32"/>
    </w:rPr>
  </w:style>
  <w:style w:type="paragraph" w:customStyle="1" w:styleId="Heading2TOC">
    <w:name w:val="Heading2 TOC"/>
    <w:basedOn w:val="Normal"/>
    <w:qFormat/>
    <w:rsid w:val="00BA4C7A"/>
    <w:pPr>
      <w:spacing w:before="240" w:after="60"/>
    </w:pPr>
    <w:rPr>
      <w:rFonts w:ascii="Times New Roman" w:hAnsi="Times New Roman"/>
      <w:b/>
      <w:sz w:val="28"/>
    </w:rPr>
  </w:style>
  <w:style w:type="character" w:customStyle="1" w:styleId="Underline">
    <w:name w:val="Underline"/>
    <w:basedOn w:val="DefaultParagraphFont"/>
    <w:qFormat/>
    <w:rsid w:val="00BA4C7A"/>
    <w:rPr>
      <w:u w:val="single"/>
    </w:rPr>
  </w:style>
  <w:style w:type="paragraph" w:styleId="BalloonText">
    <w:name w:val="Balloon Text"/>
    <w:basedOn w:val="Normal"/>
    <w:link w:val="BalloonTextChar"/>
    <w:rsid w:val="00BA4C7A"/>
    <w:rPr>
      <w:rFonts w:ascii="Tahoma" w:hAnsi="Tahoma" w:cs="Tahoma"/>
      <w:sz w:val="16"/>
      <w:szCs w:val="16"/>
    </w:rPr>
  </w:style>
  <w:style w:type="character" w:customStyle="1" w:styleId="BalloonTextChar">
    <w:name w:val="Balloon Text Char"/>
    <w:basedOn w:val="DefaultParagraphFont"/>
    <w:link w:val="BalloonText"/>
    <w:rsid w:val="00BA4C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4C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4C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1405</Words>
  <Characters>8789</Characters>
  <Application>Microsoft Office Word</Application>
  <DocSecurity>0</DocSecurity>
  <Lines>303</Lines>
  <Paragraphs>169</Paragraphs>
  <ScaleCrop>false</ScaleCrop>
  <Company>Author-it Software Corporation Ltd.</Company>
  <LinksUpToDate>false</LinksUpToDate>
  <CharactersWithSpaces>10025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CPPDSM3018B Identify risks to agency operations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2012-05-26T06:06:00Z</dcterms:created>
  <dcterms:modified xsi:type="dcterms:W3CDTF">2012-05-26T06:06:00Z</dcterms:modified>
</cp:coreProperties>
</file>