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FAA" w:rsidP="00C63FAA">
      <w:pPr>
        <w:pStyle w:val="Title"/>
      </w:pPr>
      <w:r>
        <w:fldChar w:fldCharType="begin"/>
      </w:r>
      <w:r>
        <w:instrText xml:space="preserve"> TITLE   \* MERGEFORMAT </w:instrText>
      </w:r>
      <w:r>
        <w:fldChar w:fldCharType="separate"/>
      </w:r>
      <w:r>
        <w:t>CPPDSM3007B Identify risks and opportunities in the property industry</w:t>
      </w:r>
      <w:r>
        <w:fldChar w:fldCharType="end"/>
      </w:r>
    </w:p>
    <w:p w:rsidR="00C63FAA" w:rsidP="00C63FAA">
      <w:pPr>
        <w:pStyle w:val="Version"/>
        <w:sectPr w:rsidSect="006C0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A24" w:rsidP="006C0A24">
      <w:pPr>
        <w:pStyle w:val="SuperHeading"/>
      </w:pPr>
      <w:r w:rsidRPr="006C0A24">
        <w:t>CPPDSM3007B Identify risks and opportunities in the property industry</w:t>
      </w:r>
    </w:p>
    <w:p w:rsidR="00000000" w:rsidRPr="006C0A24" w:rsidP="006C0A24">
      <w:pPr>
        <w:pStyle w:val="Heading1"/>
      </w:pPr>
      <w:bookmarkStart w:id="1" w:name="O_270022"/>
      <w:bookmarkEnd w:id="1"/>
      <w:r w:rsidRPr="006C0A24">
        <w:t>Modification History</w:t>
      </w:r>
    </w:p>
    <w:p w:rsidR="00000000" w:rsidRPr="006C0A24" w:rsidP="006C0A24">
      <w:pPr>
        <w:pStyle w:val="BodyText"/>
      </w:pPr>
      <w:r w:rsidRPr="006C0A24">
        <w:t>Not Applicable</w:t>
      </w:r>
    </w:p>
    <w:p w:rsidR="00000000" w:rsidRPr="006C0A24" w:rsidP="006C0A24">
      <w:pPr>
        <w:pStyle w:val="AllowPageBreak"/>
      </w:pPr>
    </w:p>
    <w:p w:rsidR="00000000" w:rsidRPr="006C0A24" w:rsidP="006C0A24">
      <w:pPr>
        <w:pStyle w:val="Heading1"/>
      </w:pPr>
      <w:bookmarkStart w:id="2" w:name="O_200772"/>
      <w:bookmarkEnd w:id="2"/>
      <w:r w:rsidRPr="006C0A24">
        <w:t>Unit Descriptor</w:t>
      </w:r>
    </w:p>
    <w:tbl>
      <w:tblPr>
        <w:tblW w:w="0" w:type="auto"/>
        <w:tblLayout w:type="fixed"/>
        <w:tblCellMar>
          <w:left w:w="62" w:type="dxa"/>
          <w:right w:w="62" w:type="dxa"/>
        </w:tblCellMar>
        <w:tblLook w:val="0000"/>
      </w:tblPr>
      <w:tblGrid>
        <w:gridCol w:w="2744"/>
        <w:gridCol w:w="5778"/>
      </w:tblGrid>
      <w:tr w:rsidTr="00C63FAA">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Unit descriptor</w:t>
            </w:r>
          </w:p>
        </w:tc>
        <w:tc>
          <w:tcPr>
            <w:tcW w:w="577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This unit of competency specifies the outcomes required to identify risks and opp</w:t>
            </w:r>
            <w:r w:rsidRPr="006C0A24">
              <w:t>ortunities in the property industry to maintain effective use of assets. It requires the ability to identify key systems and assets, and an understanding of risk management processes.</w:t>
            </w:r>
          </w:p>
          <w:p w:rsidR="00000000" w:rsidRPr="006C0A24" w:rsidP="006C0A24">
            <w:pPr>
              <w:pStyle w:val="BodyText"/>
            </w:pPr>
            <w:r w:rsidRPr="006C0A24">
              <w:t>The unit may form part of the licensing requirements for persons working</w:t>
            </w:r>
            <w:r w:rsidRPr="006C0A24">
              <w:t xml:space="preserve"> in the property industry, including in the real estate, business broking, stock and station agency and property operations and development sectors, in those States and Territories where these are regulated activities.</w:t>
            </w:r>
          </w:p>
        </w:tc>
      </w:tr>
    </w:tbl>
    <w:p w:rsidR="00C63FAA" w:rsidP="006C0A24">
      <w:pPr>
        <w:pStyle w:val="BodyText"/>
      </w:pPr>
    </w:p>
    <w:p w:rsidR="00C63FAA" w:rsidP="006C0A24">
      <w:pPr>
        <w:pStyle w:val="BodyText"/>
      </w:pPr>
    </w:p>
    <w:p w:rsidR="00000000" w:rsidRPr="006C0A24" w:rsidP="006C0A24">
      <w:pPr>
        <w:pStyle w:val="Heading1"/>
      </w:pPr>
      <w:bookmarkStart w:id="3" w:name="O_200775"/>
      <w:bookmarkEnd w:id="3"/>
      <w:r w:rsidRPr="006C0A24">
        <w:t>Application of the Unit</w:t>
      </w:r>
    </w:p>
    <w:tbl>
      <w:tblPr>
        <w:tblW w:w="0" w:type="auto"/>
        <w:tblLayout w:type="fixed"/>
        <w:tblCellMar>
          <w:left w:w="62" w:type="dxa"/>
          <w:right w:w="62" w:type="dxa"/>
        </w:tblCellMar>
        <w:tblLook w:val="0000"/>
      </w:tblPr>
      <w:tblGrid>
        <w:gridCol w:w="2744"/>
        <w:gridCol w:w="5778"/>
      </w:tblGrid>
      <w:tr w:rsidTr="00C63FAA">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Application of the unit</w:t>
            </w:r>
          </w:p>
        </w:tc>
        <w:tc>
          <w:tcPr>
            <w:tcW w:w="577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This unit of competency supports the work of all people in the property industry and focuses on identifying risks and opportunities to maintain effective use of assets.</w:t>
            </w:r>
          </w:p>
        </w:tc>
      </w:tr>
    </w:tbl>
    <w:p w:rsidR="00C63FAA" w:rsidP="006C0A24">
      <w:pPr>
        <w:pStyle w:val="BodyText"/>
      </w:pPr>
    </w:p>
    <w:p w:rsidR="00C63FAA" w:rsidP="006C0A24">
      <w:pPr>
        <w:pStyle w:val="BodyText"/>
      </w:pPr>
    </w:p>
    <w:p w:rsidR="00000000" w:rsidRPr="006C0A24" w:rsidP="006C0A24">
      <w:pPr>
        <w:pStyle w:val="Heading1"/>
      </w:pPr>
      <w:bookmarkStart w:id="4" w:name="O_278282"/>
      <w:bookmarkEnd w:id="4"/>
      <w:r w:rsidRPr="006C0A24">
        <w:t>Licensing/Regulator</w:t>
      </w:r>
      <w:r w:rsidRPr="006C0A24">
        <w:t>y Information</w:t>
      </w:r>
    </w:p>
    <w:p w:rsidR="00000000" w:rsidRPr="006C0A24" w:rsidP="006C0A24">
      <w:pPr>
        <w:pStyle w:val="BodyText"/>
      </w:pPr>
      <w:r w:rsidRPr="006C0A24">
        <w:t>Refer to Unit Descriptor</w:t>
      </w:r>
    </w:p>
    <w:p w:rsidR="00000000" w:rsidRPr="006C0A24" w:rsidP="006C0A24">
      <w:pPr>
        <w:pStyle w:val="AllowPageBreak"/>
      </w:pPr>
    </w:p>
    <w:p w:rsidR="00000000" w:rsidRPr="006C0A24" w:rsidP="006C0A24">
      <w:pPr>
        <w:pStyle w:val="Heading1"/>
      </w:pPr>
      <w:bookmarkStart w:id="5" w:name="O_200774"/>
      <w:bookmarkEnd w:id="5"/>
      <w:r w:rsidRPr="006C0A24">
        <w:t>Pre-Requisites</w:t>
      </w:r>
    </w:p>
    <w:tbl>
      <w:tblPr>
        <w:tblW w:w="0" w:type="auto"/>
        <w:tblLayout w:type="fixed"/>
        <w:tblCellMar>
          <w:left w:w="62" w:type="dxa"/>
          <w:right w:w="62" w:type="dxa"/>
        </w:tblCellMar>
        <w:tblLook w:val="0000"/>
      </w:tblPr>
      <w:tblGrid>
        <w:gridCol w:w="2744"/>
        <w:gridCol w:w="5778"/>
      </w:tblGrid>
      <w:tr w:rsidTr="00C63FAA">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Prerequisite units</w:t>
            </w:r>
          </w:p>
        </w:tc>
        <w:tc>
          <w:tcPr>
            <w:tcW w:w="577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Nil</w:t>
            </w:r>
          </w:p>
        </w:tc>
      </w:tr>
    </w:tbl>
    <w:p w:rsidR="00C63FAA" w:rsidP="006C0A24">
      <w:pPr>
        <w:pStyle w:val="BodyText"/>
      </w:pPr>
    </w:p>
    <w:p w:rsidR="00C63FAA" w:rsidP="006C0A24">
      <w:pPr>
        <w:pStyle w:val="BodyText"/>
      </w:pPr>
    </w:p>
    <w:p w:rsidR="00000000" w:rsidRPr="006C0A24" w:rsidP="006C0A24">
      <w:pPr>
        <w:pStyle w:val="Heading1"/>
      </w:pPr>
      <w:bookmarkStart w:id="6" w:name="O_200773"/>
      <w:bookmarkEnd w:id="6"/>
      <w:r w:rsidRPr="006C0A24">
        <w:t>Employability Skills Information</w:t>
      </w:r>
    </w:p>
    <w:tbl>
      <w:tblPr>
        <w:tblW w:w="0" w:type="auto"/>
        <w:tblLayout w:type="fixed"/>
        <w:tblCellMar>
          <w:left w:w="62" w:type="dxa"/>
          <w:right w:w="62" w:type="dxa"/>
        </w:tblCellMar>
        <w:tblLook w:val="0000"/>
      </w:tblPr>
      <w:tblGrid>
        <w:gridCol w:w="2744"/>
        <w:gridCol w:w="5778"/>
      </w:tblGrid>
      <w:tr w:rsidTr="00C63FAA">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The required outcomes described in this unit of competency contain applicable facets of employability skills. The Employability Skills Summary of the qualification in which this unit of competency is packaged, will assist in identifying employability skill</w:t>
            </w:r>
            <w:r w:rsidRPr="006C0A24">
              <w:t>s requirements.</w:t>
            </w:r>
          </w:p>
        </w:tc>
      </w:tr>
    </w:tbl>
    <w:p w:rsidR="00C63FAA" w:rsidP="006C0A24">
      <w:pPr>
        <w:pStyle w:val="BodyText"/>
      </w:pPr>
    </w:p>
    <w:p w:rsidR="00C63FAA" w:rsidP="006C0A24">
      <w:pPr>
        <w:pStyle w:val="BodyText"/>
      </w:pPr>
    </w:p>
    <w:p w:rsidR="00000000" w:rsidRPr="006C0A24" w:rsidP="006C0A24">
      <w:pPr>
        <w:pStyle w:val="Heading1"/>
      </w:pPr>
      <w:bookmarkStart w:id="7" w:name="O_288068"/>
      <w:bookmarkEnd w:id="7"/>
      <w:r w:rsidRPr="006C0A24">
        <w:t>Elements and Performance Criteria Pre-Content</w:t>
      </w:r>
    </w:p>
    <w:tbl>
      <w:tblPr>
        <w:tblW w:w="0" w:type="auto"/>
        <w:tblLayout w:type="fixed"/>
        <w:tblCellMar>
          <w:left w:w="62" w:type="dxa"/>
          <w:right w:w="62" w:type="dxa"/>
        </w:tblCellMar>
        <w:tblLook w:val="0000"/>
      </w:tblPr>
      <w:tblGrid>
        <w:gridCol w:w="2800"/>
        <w:gridCol w:w="5940"/>
      </w:tblGrid>
      <w:tr w:rsidTr="00C63FAA">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Performance criteria describe the required performance needed to demonstrate achievement of the element. Whe</w:t>
            </w:r>
            <w:r w:rsidRPr="006C0A24">
              <w:t xml:space="preserve">re </w:t>
            </w:r>
            <w:r w:rsidRPr="006C0A24">
              <w:rPr>
                <w:rStyle w:val="BoldandItalics"/>
              </w:rPr>
              <w:t>bold italicised</w:t>
            </w:r>
            <w:r w:rsidRPr="006C0A24">
              <w:t xml:space="preserve"> text is used, further information is detailed in the required skills and knowledge and/or the range statement. Assessment of performance is to be consistent with the evidence guide.</w:t>
            </w:r>
          </w:p>
        </w:tc>
      </w:tr>
    </w:tbl>
    <w:p w:rsidR="00000000" w:rsidRPr="006C0A24" w:rsidP="006C0A24">
      <w:pPr>
        <w:pStyle w:val="BodyText"/>
      </w:pPr>
    </w:p>
    <w:p w:rsidR="00000000" w:rsidRPr="006C0A24" w:rsidP="006C0A24">
      <w:pPr>
        <w:pStyle w:val="AllowPageBreak"/>
      </w:pPr>
    </w:p>
    <w:p w:rsidR="00000000" w:rsidRPr="006C0A24" w:rsidP="006C0A24">
      <w:pPr>
        <w:pStyle w:val="Heading1"/>
      </w:pPr>
      <w:bookmarkStart w:id="8" w:name="O_234735"/>
      <w:bookmarkEnd w:id="8"/>
      <w:r w:rsidRPr="006C0A24">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C63FAA">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6C0A24" w:rsidP="006C0A24">
            <w:pPr>
              <w:pStyle w:val="List"/>
            </w:pPr>
            <w:r w:rsidRPr="006C0A24">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6C0A24">
            <w:pPr>
              <w:pStyle w:val="List"/>
              <w:rPr>
                <w:lang w:val="en-NZ"/>
              </w:rPr>
            </w:pPr>
            <w:r w:rsidRPr="006C0A24">
              <w:rPr>
                <w:rStyle w:val="SpecialBold"/>
              </w:rPr>
              <w:t>PERFORMANCE CRITERIA</w:t>
            </w:r>
          </w:p>
        </w:tc>
      </w:tr>
      <w:tr w:rsidTr="00C63FA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6C0A24">
            <w:pPr>
              <w:pStyle w:val="List"/>
              <w:rPr>
                <w:lang w:val="en-NZ"/>
              </w:rPr>
            </w:pPr>
            <w:r w:rsidRPr="006C0A24">
              <w:rPr>
                <w:rStyle w:val="SpecialBold"/>
              </w:rPr>
              <w:t>1</w:t>
            </w:r>
            <w:r w:rsidRPr="006C0A24">
              <w:tab/>
            </w:r>
            <w:r w:rsidRPr="006C0A24">
              <w:rPr>
                <w:rStyle w:val="SpecialBold"/>
              </w:rPr>
              <w:t>Identify risks and opportunities</w:t>
            </w:r>
            <w:r w:rsidRPr="006C0A24">
              <w:t>.</w:t>
            </w:r>
          </w:p>
        </w:tc>
        <w:tc>
          <w:tcPr>
            <w:tcW w:w="5940" w:type="dxa"/>
            <w:gridSpan w:val="2"/>
            <w:tcBorders>
              <w:top w:val="nil"/>
              <w:left w:val="nil"/>
              <w:bottom w:val="nil"/>
              <w:right w:val="nil"/>
            </w:tcBorders>
            <w:tcMar>
              <w:top w:w="0" w:type="dxa"/>
              <w:left w:w="62" w:type="dxa"/>
              <w:bottom w:w="0" w:type="dxa"/>
              <w:right w:w="62" w:type="dxa"/>
            </w:tcMar>
          </w:tcPr>
          <w:p w:rsidR="00000000" w:rsidRPr="006C0A24" w:rsidP="006C0A24">
            <w:pPr>
              <w:pStyle w:val="List"/>
            </w:pPr>
            <w:r w:rsidRPr="006C0A24">
              <w:t>1.1</w:t>
            </w:r>
            <w:r w:rsidRPr="006C0A24">
              <w:tab/>
              <w:t xml:space="preserve">Appropriate </w:t>
            </w:r>
            <w:r w:rsidRPr="006C0A24">
              <w:rPr>
                <w:rStyle w:val="BoldandItalics"/>
              </w:rPr>
              <w:t>interpersonal techniques</w:t>
            </w:r>
            <w:r w:rsidRPr="006C0A24">
              <w:t xml:space="preserve"> are used to specify and access </w:t>
            </w:r>
            <w:r w:rsidRPr="006C0A24">
              <w:rPr>
                <w:rStyle w:val="BoldandItalics"/>
              </w:rPr>
              <w:t>information</w:t>
            </w:r>
            <w:r w:rsidRPr="006C0A24">
              <w:t xml:space="preserve"> on potential </w:t>
            </w:r>
            <w:r w:rsidRPr="006C0A24">
              <w:rPr>
                <w:rStyle w:val="BoldandItalics"/>
              </w:rPr>
              <w:t>risks</w:t>
            </w:r>
            <w:r w:rsidRPr="006C0A24">
              <w:t xml:space="preserve"> and </w:t>
            </w:r>
            <w:r w:rsidRPr="006C0A24">
              <w:rPr>
                <w:rStyle w:val="BoldandItalics"/>
              </w:rPr>
              <w:t>opportunities</w:t>
            </w:r>
            <w:r w:rsidRPr="006C0A24">
              <w:t xml:space="preserve"> from individuals and groups.</w:t>
            </w:r>
          </w:p>
          <w:p w:rsidR="00000000" w:rsidRPr="006C0A24" w:rsidP="006C0A24">
            <w:pPr>
              <w:pStyle w:val="List"/>
            </w:pPr>
            <w:r w:rsidRPr="006C0A24">
              <w:t>1.2</w:t>
            </w:r>
            <w:r w:rsidRPr="006C0A24">
              <w:tab/>
              <w:t xml:space="preserve">Relevant </w:t>
            </w:r>
            <w:r w:rsidRPr="006C0A24">
              <w:rPr>
                <w:rStyle w:val="BoldandItalics"/>
              </w:rPr>
              <w:t>legislative requirements</w:t>
            </w:r>
            <w:r w:rsidRPr="006C0A24">
              <w:t>, i</w:t>
            </w:r>
            <w:r w:rsidRPr="006C0A24">
              <w:t xml:space="preserve">nsurance, codes and standards applicable to </w:t>
            </w:r>
            <w:r w:rsidRPr="006C0A24">
              <w:rPr>
                <w:rStyle w:val="BoldandItalics"/>
              </w:rPr>
              <w:t>asset</w:t>
            </w:r>
            <w:r w:rsidRPr="006C0A24">
              <w:t xml:space="preserve"> use are identified and examined to establish risk and opportunity parameters. </w:t>
            </w:r>
          </w:p>
          <w:p w:rsidR="00000000" w:rsidRPr="006C0A24" w:rsidP="006C0A24">
            <w:pPr>
              <w:pStyle w:val="List"/>
            </w:pPr>
            <w:r w:rsidRPr="006C0A24">
              <w:t>1.3</w:t>
            </w:r>
            <w:r w:rsidRPr="006C0A24">
              <w:tab/>
              <w:t xml:space="preserve">Potential risks to and opportunities for </w:t>
            </w:r>
            <w:r w:rsidRPr="006C0A24">
              <w:rPr>
                <w:rStyle w:val="BoldandItalics"/>
              </w:rPr>
              <w:t>clients</w:t>
            </w:r>
            <w:r w:rsidRPr="006C0A24">
              <w:t xml:space="preserve"> and organisation are identified and confirmed with </w:t>
            </w:r>
            <w:r w:rsidRPr="006C0A24">
              <w:rPr>
                <w:rStyle w:val="BoldandItalics"/>
              </w:rPr>
              <w:t>relevant people</w:t>
            </w:r>
            <w:r w:rsidRPr="006C0A24">
              <w:t xml:space="preserve"> accordi</w:t>
            </w:r>
            <w:r w:rsidRPr="006C0A24">
              <w:t xml:space="preserve">ng to </w:t>
            </w:r>
            <w:r w:rsidRPr="006C0A24">
              <w:rPr>
                <w:rStyle w:val="BoldandItalics"/>
              </w:rPr>
              <w:t>organisational requirements</w:t>
            </w:r>
            <w:r w:rsidRPr="006C0A24">
              <w:t>.</w:t>
            </w:r>
          </w:p>
          <w:p w:rsidR="00000000" w:rsidP="006C0A24">
            <w:pPr>
              <w:pStyle w:val="List"/>
              <w:rPr>
                <w:lang w:val="en-NZ"/>
              </w:rPr>
            </w:pPr>
            <w:r w:rsidRPr="006C0A24">
              <w:t>1.4</w:t>
            </w:r>
            <w:r w:rsidRPr="006C0A24">
              <w:tab/>
            </w:r>
            <w:r w:rsidRPr="006C0A24">
              <w:rPr>
                <w:rStyle w:val="BoldandItalics"/>
              </w:rPr>
              <w:t>Limitations</w:t>
            </w:r>
            <w:r w:rsidRPr="006C0A24">
              <w:t xml:space="preserve"> in identifying risks and opportunities are identified and </w:t>
            </w:r>
            <w:r w:rsidRPr="006C0A24">
              <w:rPr>
                <w:rStyle w:val="BoldandItalics"/>
              </w:rPr>
              <w:t>specialist advice</w:t>
            </w:r>
            <w:r w:rsidRPr="006C0A24">
              <w:t xml:space="preserve"> is sought as required according to organisational requirements.</w:t>
            </w:r>
          </w:p>
        </w:tc>
      </w:tr>
      <w:tr w:rsidTr="00C63FA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6C0A24">
            <w:pPr>
              <w:pStyle w:val="List"/>
              <w:rPr>
                <w:lang w:val="en-NZ"/>
              </w:rPr>
            </w:pPr>
            <w:r w:rsidRPr="006C0A24">
              <w:t>1.5</w:t>
            </w:r>
            <w:r w:rsidRPr="006C0A24">
              <w:tab/>
            </w:r>
            <w:r w:rsidRPr="006C0A24">
              <w:t>Gaps or breaches in established risk management processes are identified and reported according to organisational policies and procedures.</w:t>
            </w:r>
          </w:p>
        </w:tc>
      </w:tr>
      <w:tr w:rsidTr="00C63FA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6C0A24">
            <w:pPr>
              <w:pStyle w:val="List"/>
              <w:rPr>
                <w:lang w:val="en-NZ"/>
              </w:rPr>
            </w:pPr>
            <w:r w:rsidRPr="006C0A24">
              <w:rPr>
                <w:rStyle w:val="SpecialBold"/>
              </w:rPr>
              <w:t>2</w:t>
            </w:r>
            <w:r w:rsidRPr="006C0A24">
              <w:tab/>
            </w:r>
            <w:r w:rsidRPr="006C0A24">
              <w:rPr>
                <w:rStyle w:val="SpecialBold"/>
              </w:rPr>
              <w:t>Document and report identified risks and opportunities</w:t>
            </w:r>
            <w:r w:rsidRPr="006C0A24">
              <w:t>.</w:t>
            </w:r>
          </w:p>
        </w:tc>
        <w:tc>
          <w:tcPr>
            <w:tcW w:w="5940" w:type="dxa"/>
            <w:gridSpan w:val="2"/>
            <w:tcBorders>
              <w:top w:val="nil"/>
              <w:left w:val="nil"/>
              <w:bottom w:val="nil"/>
              <w:right w:val="nil"/>
            </w:tcBorders>
            <w:tcMar>
              <w:top w:w="0" w:type="dxa"/>
              <w:left w:w="62" w:type="dxa"/>
              <w:bottom w:w="0" w:type="dxa"/>
              <w:right w:w="62" w:type="dxa"/>
            </w:tcMar>
          </w:tcPr>
          <w:p w:rsidR="00000000" w:rsidRPr="006C0A24" w:rsidP="006C0A24">
            <w:pPr>
              <w:pStyle w:val="List"/>
            </w:pPr>
            <w:r w:rsidRPr="006C0A24">
              <w:t>2.1</w:t>
            </w:r>
            <w:r w:rsidRPr="006C0A24">
              <w:tab/>
              <w:t>Identified risks and opportunities are documented in a</w:t>
            </w:r>
            <w:r w:rsidRPr="006C0A24">
              <w:t xml:space="preserve"> suitable format according to organisational and legislative requirements.</w:t>
            </w:r>
          </w:p>
          <w:p w:rsidR="00000000" w:rsidRPr="006C0A24" w:rsidP="006C0A24">
            <w:pPr>
              <w:pStyle w:val="List"/>
            </w:pPr>
            <w:r w:rsidRPr="006C0A24">
              <w:t>2.2</w:t>
            </w:r>
            <w:r w:rsidRPr="006C0A24">
              <w:tab/>
              <w:t>Risk and opportunity findings are documented in a clear and concise manner and are supported by verifiable evidence.</w:t>
            </w:r>
          </w:p>
          <w:p w:rsidR="00000000" w:rsidRPr="006C0A24" w:rsidP="006C0A24">
            <w:pPr>
              <w:pStyle w:val="List"/>
            </w:pPr>
            <w:r w:rsidRPr="006C0A24">
              <w:t>2.3</w:t>
            </w:r>
            <w:r w:rsidRPr="006C0A24">
              <w:tab/>
            </w:r>
            <w:r w:rsidRPr="006C0A24">
              <w:rPr>
                <w:rStyle w:val="BoldandItalics"/>
              </w:rPr>
              <w:t>Feedback</w:t>
            </w:r>
            <w:r w:rsidRPr="006C0A24">
              <w:t xml:space="preserve"> is actively sought to ensure sufficiency and re</w:t>
            </w:r>
            <w:r w:rsidRPr="006C0A24">
              <w:t>levance of information in meeting client and organisational requirements.</w:t>
            </w:r>
          </w:p>
          <w:p w:rsidR="00000000" w:rsidRPr="006C0A24" w:rsidP="006C0A24">
            <w:pPr>
              <w:pStyle w:val="List"/>
            </w:pPr>
            <w:r w:rsidRPr="006C0A24">
              <w:t>2.4</w:t>
            </w:r>
            <w:r w:rsidRPr="006C0A24">
              <w:tab/>
            </w:r>
            <w:r w:rsidRPr="006C0A24">
              <w:rPr>
                <w:rStyle w:val="BoldandItalics"/>
              </w:rPr>
              <w:t>Business equipment and technology</w:t>
            </w:r>
            <w:r w:rsidRPr="006C0A24">
              <w:t xml:space="preserve"> are used to maintain information according to applicable OHS and organisational requirements.</w:t>
            </w:r>
          </w:p>
          <w:p w:rsidR="00000000" w:rsidRPr="006C0A24" w:rsidP="006C0A24">
            <w:pPr>
              <w:pStyle w:val="List"/>
            </w:pPr>
            <w:r w:rsidRPr="006C0A24">
              <w:t>2.5</w:t>
            </w:r>
            <w:r w:rsidRPr="006C0A24">
              <w:tab/>
              <w:t>Information is securely maintained with due re</w:t>
            </w:r>
            <w:r w:rsidRPr="006C0A24">
              <w:t>gard to client confidentiality, and legislative and organisational requirements.</w:t>
            </w:r>
          </w:p>
        </w:tc>
      </w:tr>
    </w:tbl>
    <w:p w:rsidR="00C63FAA" w:rsidP="006C0A24">
      <w:pPr>
        <w:pStyle w:val="BodyText"/>
      </w:pPr>
    </w:p>
    <w:p w:rsidR="00C63FAA" w:rsidP="006C0A24">
      <w:pPr>
        <w:pStyle w:val="BodyText"/>
      </w:pPr>
    </w:p>
    <w:p w:rsidR="00000000" w:rsidRPr="006C0A24" w:rsidP="006C0A24">
      <w:pPr>
        <w:pStyle w:val="Heading1"/>
      </w:pPr>
      <w:bookmarkStart w:id="9" w:name="O_258685"/>
      <w:bookmarkEnd w:id="9"/>
      <w:r w:rsidRPr="006C0A24">
        <w:t>Required Skills and Knowledge</w:t>
      </w:r>
    </w:p>
    <w:tbl>
      <w:tblPr>
        <w:tblW w:w="0" w:type="auto"/>
        <w:tblLayout w:type="fixed"/>
        <w:tblCellMar>
          <w:left w:w="62" w:type="dxa"/>
          <w:right w:w="62" w:type="dxa"/>
        </w:tblCellMar>
        <w:tblLook w:val="0000"/>
      </w:tblPr>
      <w:tblGrid>
        <w:gridCol w:w="8513"/>
        <w:gridCol w:w="9"/>
      </w:tblGrid>
      <w:tr w:rsidTr="00C63FA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REQUIRED SKILLS AND KNOWLEDGE</w:t>
            </w:r>
          </w:p>
        </w:tc>
      </w:tr>
      <w:tr w:rsidTr="00C63FA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t>This section describes the essential skills and knowledge and their level, required for this unit.</w:t>
            </w:r>
          </w:p>
        </w:tc>
      </w:tr>
      <w:tr w:rsidTr="00C63FA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rPr>
                <w:rStyle w:val="SpecialBold"/>
              </w:rPr>
              <w:t>Required skills</w:t>
            </w:r>
            <w:r w:rsidRPr="006C0A24">
              <w:t>:</w:t>
            </w:r>
          </w:p>
          <w:p w:rsidR="00000000" w:rsidRPr="006C0A24" w:rsidP="006C0A24">
            <w:pPr>
              <w:pStyle w:val="ListBullet"/>
            </w:pPr>
            <w:r w:rsidRPr="006C0A24">
              <w:t>communication skills to use interviewing and questioning techniques to obtain information</w:t>
            </w:r>
          </w:p>
          <w:p w:rsidR="00000000" w:rsidRPr="006C0A24" w:rsidP="006C0A24">
            <w:pPr>
              <w:pStyle w:val="ListBullet"/>
            </w:pPr>
            <w:r w:rsidRPr="006C0A24">
              <w:t xml:space="preserve">computing skills to access the internet and web </w:t>
            </w:r>
            <w:r w:rsidRPr="006C0A24">
              <w:t>pages, prepare and complete online forms, lodge electronic documents and search online databases</w:t>
            </w:r>
          </w:p>
          <w:p w:rsidR="00000000" w:rsidRPr="006C0A24" w:rsidP="006C0A24">
            <w:pPr>
              <w:pStyle w:val="ListBullet"/>
            </w:pPr>
            <w:r w:rsidRPr="006C0A24">
              <w:t>interpersonal skills to relate to people from a range of social, cultural and ethnic backgrounds and varying physical and mental abilities</w:t>
            </w:r>
          </w:p>
          <w:p w:rsidR="00000000" w:rsidRPr="006C0A24" w:rsidP="006C0A24">
            <w:pPr>
              <w:pStyle w:val="ListBullet"/>
            </w:pPr>
            <w:r w:rsidRPr="006C0A24">
              <w:t>observation skills t</w:t>
            </w:r>
            <w:r w:rsidRPr="006C0A24">
              <w:t>o identify accurately gaps in information, existing or potential risks and opportunities, and gather necessary information from alternative sources</w:t>
            </w:r>
          </w:p>
          <w:p w:rsidR="00000000" w:rsidRPr="006C0A24" w:rsidP="006C0A24">
            <w:pPr>
              <w:pStyle w:val="ListBullet"/>
            </w:pPr>
            <w:r w:rsidRPr="006C0A24">
              <w:t>organisational skills to plan time lines and reporting mechanisms, and record and file information</w:t>
            </w:r>
          </w:p>
          <w:p w:rsidR="00000000" w:rsidRPr="006C0A24" w:rsidP="006C0A24">
            <w:pPr>
              <w:pStyle w:val="ListBullet"/>
            </w:pPr>
            <w:r w:rsidRPr="006C0A24">
              <w:t>problem s</w:t>
            </w:r>
            <w:r w:rsidRPr="006C0A24">
              <w:t>olving skills to apply reasoning and logical analysis to make decisions and evaluate information against risk and opportunity assessment strategies</w:t>
            </w:r>
          </w:p>
          <w:p w:rsidR="00000000" w:rsidP="006C0A24">
            <w:pPr>
              <w:pStyle w:val="ListBullet"/>
              <w:rPr>
                <w:lang w:val="en-NZ"/>
              </w:rPr>
            </w:pPr>
            <w:r w:rsidRPr="006C0A24">
              <w:t>technical skills to complete OHS reports.</w:t>
            </w:r>
          </w:p>
        </w:tc>
      </w:tr>
      <w:tr w:rsidTr="00C63FA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rPr>
                <w:rStyle w:val="SpecialBold"/>
              </w:rPr>
              <w:t>Required knowledge and understanding</w:t>
            </w:r>
            <w:r w:rsidRPr="006C0A24">
              <w:t>:</w:t>
            </w:r>
          </w:p>
          <w:p w:rsidR="00000000" w:rsidRPr="006C0A24" w:rsidP="006C0A24">
            <w:pPr>
              <w:pStyle w:val="ListBullet"/>
            </w:pPr>
            <w:r w:rsidRPr="006C0A24">
              <w:t>client and organisational confidentiality requirements</w:t>
            </w:r>
          </w:p>
          <w:p w:rsidR="00000000" w:rsidRPr="006C0A24" w:rsidP="006C0A24">
            <w:pPr>
              <w:pStyle w:val="ListBullet"/>
            </w:pPr>
            <w:r w:rsidRPr="006C0A24">
              <w:t>insurance policies, codes and operations</w:t>
            </w:r>
          </w:p>
          <w:p w:rsidR="00000000" w:rsidRPr="006C0A24" w:rsidP="006C0A24">
            <w:pPr>
              <w:pStyle w:val="ListBullet"/>
            </w:pPr>
            <w:r w:rsidRPr="006C0A24">
              <w:t>limitations of work role, responsibility and professional abilities</w:t>
            </w:r>
          </w:p>
          <w:p w:rsidR="00000000" w:rsidRPr="006C0A24" w:rsidP="006C0A24">
            <w:pPr>
              <w:pStyle w:val="ListBullet"/>
            </w:pPr>
            <w:r w:rsidRPr="006C0A24">
              <w:t>mechanisms to obtain and analyse feedback</w:t>
            </w:r>
          </w:p>
          <w:p w:rsidR="00000000" w:rsidRPr="006C0A24" w:rsidP="006C0A24">
            <w:pPr>
              <w:pStyle w:val="ListBullet"/>
            </w:pPr>
            <w:r w:rsidRPr="006C0A24">
              <w:t>methods to identify and prioritise a range of risk</w:t>
            </w:r>
            <w:r w:rsidRPr="006C0A24">
              <w:t>s and opportunities</w:t>
            </w:r>
          </w:p>
          <w:p w:rsidR="00000000" w:rsidRPr="006C0A24" w:rsidP="006C0A24">
            <w:pPr>
              <w:pStyle w:val="ListBullet"/>
            </w:pPr>
            <w:r w:rsidRPr="006C0A24">
              <w:t>relevant federal and state or territory legislation and local government regulations related to:</w:t>
            </w:r>
          </w:p>
          <w:p w:rsidR="00000000" w:rsidRPr="006C0A24" w:rsidP="006C0A24">
            <w:pPr>
              <w:pStyle w:val="ListBullet2"/>
            </w:pPr>
            <w:r w:rsidRPr="006C0A24">
              <w:t>anti-discrimination and equal employment opportunity (EEO)</w:t>
            </w:r>
          </w:p>
          <w:p w:rsidR="00000000" w:rsidRPr="006C0A24" w:rsidP="006C0A24">
            <w:pPr>
              <w:pStyle w:val="ListBullet2"/>
            </w:pPr>
            <w:r w:rsidRPr="006C0A24">
              <w:t>consumer protection, fair trading and trade practices</w:t>
            </w:r>
          </w:p>
          <w:p w:rsidR="00000000" w:rsidRPr="006C0A24" w:rsidP="006C0A24">
            <w:pPr>
              <w:pStyle w:val="ListBullet2"/>
            </w:pPr>
            <w:r w:rsidRPr="006C0A24">
              <w:t>environment and sustainability</w:t>
            </w:r>
          </w:p>
          <w:p w:rsidR="00000000" w:rsidRPr="006C0A24" w:rsidP="006C0A24">
            <w:pPr>
              <w:pStyle w:val="ListBullet2"/>
            </w:pPr>
            <w:r w:rsidRPr="006C0A24">
              <w:t>employment and industrial relations</w:t>
            </w:r>
          </w:p>
          <w:p w:rsidR="00000000" w:rsidRPr="006C0A24" w:rsidP="006C0A24">
            <w:pPr>
              <w:pStyle w:val="ListBullet2"/>
            </w:pPr>
            <w:r w:rsidRPr="006C0A24">
              <w:t>financial services</w:t>
            </w:r>
          </w:p>
          <w:p w:rsidR="00000000" w:rsidRPr="006C0A24" w:rsidP="006C0A24">
            <w:pPr>
              <w:pStyle w:val="ListBullet2"/>
            </w:pPr>
            <w:r w:rsidRPr="006C0A24">
              <w:t>leases and tenancy agreements</w:t>
            </w:r>
          </w:p>
          <w:p w:rsidR="00000000" w:rsidRPr="006C0A24" w:rsidP="006C0A24">
            <w:pPr>
              <w:pStyle w:val="ListBullet2"/>
            </w:pPr>
            <w:r w:rsidRPr="006C0A24">
              <w:t>OHS</w:t>
            </w:r>
          </w:p>
          <w:p w:rsidR="00000000" w:rsidRPr="006C0A24" w:rsidP="006C0A24">
            <w:pPr>
              <w:pStyle w:val="ListBullet2"/>
            </w:pPr>
            <w:r w:rsidRPr="006C0A24">
              <w:t>privacy</w:t>
            </w:r>
          </w:p>
          <w:p w:rsidR="00000000" w:rsidRPr="006C0A24" w:rsidP="006C0A24">
            <w:pPr>
              <w:pStyle w:val="ListBullet2"/>
            </w:pPr>
            <w:r w:rsidRPr="006C0A24">
              <w:t>property management</w:t>
            </w:r>
          </w:p>
          <w:p w:rsidR="00000000" w:rsidRPr="006C0A24" w:rsidP="006C0A24">
            <w:pPr>
              <w:pStyle w:val="ListBullet"/>
            </w:pPr>
            <w:r w:rsidRPr="006C0A24">
              <w:t>risk management concepts and practices within the property industry.</w:t>
            </w:r>
          </w:p>
        </w:tc>
      </w:tr>
    </w:tbl>
    <w:p w:rsidR="00C63FAA" w:rsidP="006C0A24">
      <w:pPr>
        <w:pStyle w:val="BodyText"/>
      </w:pPr>
    </w:p>
    <w:p w:rsidR="00C63FAA" w:rsidP="006C0A24">
      <w:pPr>
        <w:pStyle w:val="BodyText"/>
      </w:pPr>
    </w:p>
    <w:p w:rsidR="00000000" w:rsidRPr="006C0A24" w:rsidP="006C0A24">
      <w:pPr>
        <w:pStyle w:val="Heading1"/>
      </w:pPr>
      <w:bookmarkStart w:id="10" w:name="O_242719"/>
      <w:bookmarkEnd w:id="10"/>
      <w:r w:rsidRPr="006C0A24">
        <w:t>Evidence Guide</w:t>
      </w:r>
    </w:p>
    <w:p w:rsidR="00000000" w:rsidRPr="006C0A24" w:rsidP="006C0A24">
      <w:pPr>
        <w:pStyle w:val="BodyText"/>
      </w:pPr>
      <w:r w:rsidRPr="006C0A24">
        <w:rPr>
          <w:rStyle w:val="SpecialBold"/>
        </w:rPr>
        <w:t>EVIDENCE GUIDE</w:t>
      </w:r>
    </w:p>
    <w:p w:rsidR="00000000" w:rsidRPr="006C0A24" w:rsidP="006C0A24">
      <w:pPr>
        <w:pStyle w:val="BodyText"/>
      </w:pPr>
      <w:r w:rsidRPr="006C0A2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C63FA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Overview of assessmen</w:t>
            </w:r>
            <w:r w:rsidRPr="006C0A24">
              <w:rPr>
                <w:rStyle w:val="SpecialBold"/>
              </w:rPr>
              <w:t>t</w:t>
            </w:r>
          </w:p>
        </w:tc>
        <w:tc>
          <w:tcPr>
            <w:tcW w:w="573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t>This unit of competency could be assessed through practical demonstration of identifying, documenting and reporting risks and opportunities in the workplace. Targeted written (including alternative formats where necessary) or verbal questioning to assess</w:t>
            </w:r>
            <w:r w:rsidRPr="006C0A24">
              <w:t xml:space="preserve"> the candidate's underpinning knowledge would provide additional supporting evidence of competence. The demonstration and questioning would include collecting evidence of the candidate's knowledge and application of ethical standards and relevant federal, </w:t>
            </w:r>
            <w:r w:rsidRPr="006C0A24">
              <w:t xml:space="preserve">and state or territory legislation and regulations. This assessment may be carried out in a simulated or workplace environment. </w:t>
            </w:r>
          </w:p>
        </w:tc>
      </w:tr>
      <w:tr w:rsidTr="00C63FA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A person who demonstrates compete</w:t>
            </w:r>
            <w:r w:rsidRPr="006C0A24">
              <w:t>ncy in this unit must be able to provide evidence of:</w:t>
            </w:r>
          </w:p>
          <w:p w:rsidR="00000000" w:rsidRPr="006C0A24" w:rsidP="006C0A24">
            <w:pPr>
              <w:pStyle w:val="ListBullet"/>
            </w:pPr>
            <w:r w:rsidRPr="006C0A24">
              <w:t>establishing risk and opportunity parameters and identifying a range of potential risks and opportunities in key systems and assets</w:t>
            </w:r>
          </w:p>
          <w:p w:rsidR="00000000" w:rsidRPr="006C0A24" w:rsidP="006C0A24">
            <w:pPr>
              <w:pStyle w:val="ListBullet"/>
            </w:pPr>
            <w:r w:rsidRPr="006C0A24">
              <w:t>knowledge of agency practices, ethical standards and legislative requirements with regard to OHS</w:t>
            </w:r>
          </w:p>
          <w:p w:rsidR="00000000" w:rsidRPr="006C0A24" w:rsidP="006C0A24">
            <w:pPr>
              <w:pStyle w:val="ListBullet"/>
            </w:pPr>
            <w:r w:rsidRPr="006C0A24">
              <w:t>obtaining information from a wide range of sources to ensure an accurate understanding of risk and opportunity management processes</w:t>
            </w:r>
          </w:p>
          <w:p w:rsidR="00000000" w:rsidP="006C0A24">
            <w:pPr>
              <w:pStyle w:val="ListBullet"/>
              <w:rPr>
                <w:lang w:val="en-NZ"/>
              </w:rPr>
            </w:pPr>
            <w:r w:rsidRPr="006C0A24">
              <w:t>preparing risk and opportun</w:t>
            </w:r>
            <w:r w:rsidRPr="006C0A24">
              <w:t>ity findings in a format suitable for presentation and review, using standardised styles and formats.</w:t>
            </w:r>
          </w:p>
        </w:tc>
      </w:tr>
      <w:tr w:rsidTr="00C63FA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Context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Resource implications for assessment include:</w:t>
            </w:r>
          </w:p>
          <w:p w:rsidR="00000000" w:rsidRPr="006C0A24" w:rsidP="006C0A24">
            <w:pPr>
              <w:pStyle w:val="ListBullet"/>
            </w:pPr>
            <w:r w:rsidRPr="006C0A24">
              <w:t>access to suitable simulated or real opportunities and re</w:t>
            </w:r>
            <w:r w:rsidRPr="006C0A24">
              <w:t>sources to demonstrate competence</w:t>
            </w:r>
          </w:p>
          <w:p w:rsidR="00000000" w:rsidRPr="006C0A24" w:rsidP="006C0A24">
            <w:pPr>
              <w:pStyle w:val="ListBullet"/>
            </w:pPr>
            <w:r w:rsidRPr="006C0A24">
              <w:t>assessment instruments that may include personal planner and assessment record book</w:t>
            </w:r>
          </w:p>
          <w:p w:rsidR="00000000" w:rsidRPr="006C0A24" w:rsidP="006C0A24">
            <w:pPr>
              <w:pStyle w:val="ListBullet"/>
            </w:pPr>
            <w:r w:rsidRPr="006C0A24">
              <w:t>access to a registered provider of assessment services.</w:t>
            </w:r>
          </w:p>
          <w:p w:rsidR="00000000" w:rsidRPr="006C0A24" w:rsidP="006C0A24">
            <w:pPr>
              <w:pStyle w:val="BodyText"/>
            </w:pPr>
            <w:r w:rsidRPr="006C0A24">
              <w:t xml:space="preserve">Where applicable, physical resources should include equipment modified for people </w:t>
            </w:r>
            <w:r w:rsidRPr="006C0A24">
              <w:t>with disabilities.</w:t>
            </w:r>
          </w:p>
          <w:p w:rsidR="00000000" w:rsidRPr="006C0A24" w:rsidP="006C0A24">
            <w:pPr>
              <w:pStyle w:val="BodyText"/>
            </w:pPr>
            <w:r w:rsidRPr="006C0A24">
              <w:t>Access must be provided to appropriate learning and/or assessment support when required.</w:t>
            </w:r>
          </w:p>
          <w:p w:rsidR="00000000" w:rsidRPr="006C0A24" w:rsidP="006C0A24">
            <w:pPr>
              <w:pStyle w:val="BodyText"/>
            </w:pPr>
            <w:r w:rsidRPr="006C0A24">
              <w:t>Assessment processes and techniques must be culturally appropriate, and appropriate to the language and literacy capacity of the candidate and the w</w:t>
            </w:r>
            <w:r w:rsidRPr="006C0A24">
              <w:t>ork being performed.</w:t>
            </w:r>
          </w:p>
          <w:p w:rsidR="00000000" w:rsidRPr="006C0A24" w:rsidP="006C0A24">
            <w:pPr>
              <w:pStyle w:val="BodyText"/>
            </w:pPr>
            <w:r w:rsidRPr="006C0A24">
              <w:t>Validity and sufficiency of evidence require that:</w:t>
            </w:r>
          </w:p>
          <w:p w:rsidR="00000000" w:rsidRPr="006C0A24" w:rsidP="006C0A24">
            <w:pPr>
              <w:pStyle w:val="ListBullet"/>
            </w:pPr>
            <w:r w:rsidRPr="006C0A24">
              <w:t>competency will need to be demonstrated over a period of time reflecting the scope of the role and the practical requirements of the workplace</w:t>
            </w:r>
          </w:p>
          <w:p w:rsidR="00000000" w:rsidRPr="006C0A24" w:rsidP="006C0A24">
            <w:pPr>
              <w:pStyle w:val="ListBullet"/>
            </w:pPr>
            <w:r w:rsidRPr="006C0A24">
              <w:t>where the assessment is part of a struct</w:t>
            </w:r>
            <w:r w:rsidRPr="006C0A24">
              <w:t>ured learning experience the evidence collected must relate to a number of performances assessed at different points in time and separated by further learning and practice with a decision of competence only taken at the point when the assessor has complete</w:t>
            </w:r>
            <w:r w:rsidRPr="006C0A24">
              <w:t xml:space="preserve"> confidence in the person's competence</w:t>
            </w:r>
          </w:p>
          <w:p w:rsidR="00000000" w:rsidRPr="006C0A24" w:rsidP="006C0A24">
            <w:pPr>
              <w:pStyle w:val="ListBullet"/>
            </w:pPr>
            <w:r w:rsidRPr="006C0A24">
              <w:t>all assessment that is part of a structured learning experience must include a combination of direct, indirect and supplementary evidence</w:t>
            </w:r>
          </w:p>
          <w:p w:rsidR="00000000" w:rsidRPr="006C0A24" w:rsidP="006C0A24">
            <w:pPr>
              <w:pStyle w:val="ListBullet"/>
            </w:pPr>
            <w:r w:rsidRPr="006C0A24">
              <w:t>where assessment is for the purpose of recognition (RCC/RPL), the evidence provided will need to be current and show that it represents competency demonstrated over a period of time</w:t>
            </w:r>
          </w:p>
          <w:p w:rsidR="00000000" w:rsidRPr="006C0A24" w:rsidP="006C0A24">
            <w:pPr>
              <w:pStyle w:val="ListBullet"/>
            </w:pPr>
            <w:r w:rsidRPr="006C0A24">
              <w:t>assessment can be through simulated project-based activity and must includ</w:t>
            </w:r>
            <w:r w:rsidRPr="006C0A24">
              <w:t>e evidence relating to each of the elements in this unit.</w:t>
            </w:r>
          </w:p>
          <w:p w:rsidR="00000000" w:rsidP="006C0A24">
            <w:pPr>
              <w:pStyle w:val="BodyText"/>
              <w:rPr>
                <w:lang w:val="en-NZ"/>
              </w:rPr>
            </w:pPr>
            <w:r w:rsidRPr="006C0A24">
              <w:t xml:space="preserve">In all cases where practical assessment is used it will be combined with targeted questioning to assess the underpinning knowledge. Questioning will be undertaken in such a manner as is appropriate </w:t>
            </w:r>
            <w:r w:rsidRPr="006C0A24">
              <w:t>to the language and literacy levels of the candidate and any cultural issues that may affect responses to the questions, and will reflect the requirements of the competency and the work being performed.</w:t>
            </w:r>
          </w:p>
        </w:tc>
      </w:tr>
      <w:tr w:rsidTr="00C63FA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BodyText"/>
            </w:pPr>
          </w:p>
        </w:tc>
      </w:tr>
    </w:tbl>
    <w:p w:rsidR="00C63FAA" w:rsidP="006C0A24">
      <w:pPr>
        <w:pStyle w:val="BodyText"/>
      </w:pPr>
    </w:p>
    <w:p w:rsidR="00C63FAA" w:rsidP="006C0A24">
      <w:pPr>
        <w:pStyle w:val="BodyText"/>
      </w:pPr>
    </w:p>
    <w:p w:rsidR="00000000" w:rsidRPr="006C0A24" w:rsidP="006C0A24">
      <w:pPr>
        <w:pStyle w:val="Heading1"/>
      </w:pPr>
      <w:bookmarkStart w:id="11" w:name="O_250702"/>
      <w:bookmarkEnd w:id="11"/>
      <w:r w:rsidRPr="006C0A24">
        <w:t>Range Statement</w:t>
      </w:r>
    </w:p>
    <w:p w:rsidR="00000000" w:rsidRPr="006C0A24" w:rsidP="006C0A24">
      <w:pPr>
        <w:pStyle w:val="BodyText"/>
      </w:pPr>
      <w:r w:rsidRPr="006C0A24">
        <w:rPr>
          <w:rStyle w:val="SpecialBold"/>
        </w:rPr>
        <w:t>RANGE STATEMENT</w:t>
      </w:r>
    </w:p>
    <w:p w:rsidR="00000000" w:rsidRPr="006C0A24" w:rsidP="006C0A24">
      <w:pPr>
        <w:pStyle w:val="BodyText"/>
      </w:pPr>
      <w:r w:rsidRPr="006C0A24">
        <w:t xml:space="preserve">The range statement relates to the unit of competency as a whole. It allows for different work environments and situations that may affect performance. </w:t>
      </w:r>
      <w:r w:rsidRPr="006C0A24">
        <w:rPr>
          <w:rStyle w:val="BoldandItalics"/>
        </w:rPr>
        <w:t>Bold italicised</w:t>
      </w:r>
      <w:r w:rsidRPr="006C0A24">
        <w:t xml:space="preserve"> wording in the performance criteria is detailed below. Add any essential</w:t>
      </w:r>
      <w:r w:rsidRPr="006C0A24">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Interpersonal techniques</w:t>
            </w:r>
            <w:r w:rsidRPr="006C0A24">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active listening</w:t>
            </w:r>
          </w:p>
          <w:p w:rsidR="00000000" w:rsidRPr="006C0A24" w:rsidP="006C0A24">
            <w:pPr>
              <w:pStyle w:val="ListBullet"/>
            </w:pPr>
            <w:r w:rsidRPr="006C0A24">
              <w:t>cle</w:t>
            </w:r>
            <w:r w:rsidRPr="006C0A24">
              <w:t>ar presentations of options</w:t>
            </w:r>
          </w:p>
          <w:p w:rsidR="00000000" w:rsidRPr="006C0A24" w:rsidP="006C0A24">
            <w:pPr>
              <w:pStyle w:val="ListBullet"/>
            </w:pPr>
            <w:r w:rsidRPr="006C0A24">
              <w:t>consultation methods</w:t>
            </w:r>
          </w:p>
          <w:p w:rsidR="00000000" w:rsidRPr="006C0A24" w:rsidP="006C0A24">
            <w:pPr>
              <w:pStyle w:val="ListBullet"/>
            </w:pPr>
            <w:r w:rsidRPr="006C0A24">
              <w:t>culturally inclusive and sensitive engagement techniques</w:t>
            </w:r>
          </w:p>
          <w:p w:rsidR="00000000" w:rsidRPr="006C0A24" w:rsidP="006C0A24">
            <w:pPr>
              <w:pStyle w:val="ListBullet"/>
            </w:pPr>
            <w:r w:rsidRPr="006C0A24">
              <w:t>questioning to clarify and confirm understanding</w:t>
            </w:r>
          </w:p>
          <w:p w:rsidR="00000000" w:rsidRPr="006C0A24" w:rsidP="006C0A24">
            <w:pPr>
              <w:pStyle w:val="ListBullet"/>
            </w:pPr>
            <w:r w:rsidRPr="006C0A24">
              <w:t>seeking feedback</w:t>
            </w:r>
          </w:p>
          <w:p w:rsidR="00000000" w:rsidP="006C0A24">
            <w:pPr>
              <w:pStyle w:val="ListBullet"/>
              <w:rPr>
                <w:lang w:val="en-NZ"/>
              </w:rPr>
            </w:pPr>
            <w:r w:rsidRPr="006C0A24">
              <w:t>two-way interaction</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using language and concepts appropriate to cultural differenc</w:t>
            </w:r>
            <w:r w:rsidRPr="006C0A24">
              <w:t>es</w:t>
            </w:r>
          </w:p>
          <w:p w:rsidR="00000000" w:rsidP="006C0A24">
            <w:pPr>
              <w:pStyle w:val="ListBullet"/>
              <w:rPr>
                <w:lang w:val="en-NZ"/>
              </w:rPr>
            </w:pPr>
            <w:r w:rsidRPr="006C0A24">
              <w:t>verbal or non-verbal language.</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Information</w:t>
            </w:r>
            <w:r w:rsidRPr="006C0A24">
              <w:t xml:space="preserve"> may be collected from:</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colleagues and clients</w:t>
            </w:r>
          </w:p>
          <w:p w:rsidR="00000000" w:rsidRPr="006C0A24" w:rsidP="006C0A24">
            <w:pPr>
              <w:pStyle w:val="ListBullet"/>
            </w:pPr>
            <w:r w:rsidRPr="006C0A24">
              <w:t>documentation, reports and risk management plans</w:t>
            </w:r>
          </w:p>
          <w:p w:rsidR="00000000" w:rsidRPr="006C0A24" w:rsidP="006C0A24">
            <w:pPr>
              <w:pStyle w:val="ListBullet"/>
            </w:pPr>
            <w:r w:rsidRPr="006C0A24">
              <w:t>group workshops and brainstorming</w:t>
            </w:r>
          </w:p>
          <w:p w:rsidR="00000000" w:rsidRPr="006C0A24" w:rsidP="006C0A24">
            <w:pPr>
              <w:pStyle w:val="ListBullet"/>
            </w:pPr>
            <w:r w:rsidRPr="006C0A24">
              <w:t>incident reporting systems</w:t>
            </w:r>
          </w:p>
          <w:p w:rsidR="00000000" w:rsidRPr="006C0A24" w:rsidP="006C0A24">
            <w:pPr>
              <w:pStyle w:val="ListBullet"/>
            </w:pPr>
            <w:r w:rsidRPr="006C0A24">
              <w:t>interviews</w:t>
            </w:r>
          </w:p>
          <w:p w:rsidR="00000000" w:rsidRPr="006C0A24" w:rsidP="006C0A24">
            <w:pPr>
              <w:pStyle w:val="ListBullet"/>
            </w:pPr>
            <w:r w:rsidRPr="006C0A24">
              <w:t xml:space="preserve">media, including newspaper, radio, television and industry magazines </w:t>
            </w:r>
          </w:p>
          <w:p w:rsidR="00000000" w:rsidRPr="006C0A24" w:rsidP="006C0A24">
            <w:pPr>
              <w:pStyle w:val="ListBullet"/>
            </w:pPr>
            <w:r w:rsidRPr="006C0A24">
              <w:t>observation checklists</w:t>
            </w:r>
          </w:p>
          <w:p w:rsidR="00000000" w:rsidRPr="006C0A24" w:rsidP="006C0A24">
            <w:pPr>
              <w:pStyle w:val="ListBullet"/>
            </w:pPr>
            <w:r w:rsidRPr="006C0A24">
              <w:t>property inspections</w:t>
            </w:r>
          </w:p>
          <w:p w:rsidR="00000000" w:rsidP="006C0A24">
            <w:pPr>
              <w:pStyle w:val="ListBullet"/>
              <w:rPr>
                <w:lang w:val="en-NZ"/>
              </w:rPr>
            </w:pPr>
            <w:r w:rsidRPr="006C0A24">
              <w:t>organisational or industry-based surveys and questionnaires.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Risks</w:t>
            </w:r>
            <w:r w:rsidRPr="006C0A24">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industry special risks</w:t>
            </w:r>
          </w:p>
          <w:p w:rsidR="00000000" w:rsidRPr="006C0A24" w:rsidP="006C0A24">
            <w:pPr>
              <w:pStyle w:val="ListBullet"/>
            </w:pPr>
            <w:r w:rsidRPr="006C0A24">
              <w:t>loss of profits</w:t>
            </w:r>
          </w:p>
          <w:p w:rsidR="00000000" w:rsidRPr="006C0A24" w:rsidP="006C0A24">
            <w:pPr>
              <w:pStyle w:val="ListBullet"/>
            </w:pPr>
            <w:r w:rsidRPr="006C0A24">
              <w:t>machinery malfunction</w:t>
            </w:r>
          </w:p>
          <w:p w:rsidR="00000000" w:rsidRPr="006C0A24" w:rsidP="006C0A24">
            <w:pPr>
              <w:pStyle w:val="ListBullet"/>
            </w:pPr>
            <w:r w:rsidRPr="006C0A24">
              <w:t>OHS</w:t>
            </w:r>
          </w:p>
          <w:p w:rsidR="00000000" w:rsidRPr="006C0A24" w:rsidP="006C0A24">
            <w:pPr>
              <w:pStyle w:val="ListBullet"/>
            </w:pPr>
            <w:r w:rsidRPr="006C0A24">
              <w:t>public liability</w:t>
            </w:r>
          </w:p>
          <w:p w:rsidR="00000000" w:rsidP="006C0A24">
            <w:pPr>
              <w:pStyle w:val="ListBullet"/>
              <w:rPr>
                <w:lang w:val="en-NZ"/>
              </w:rPr>
            </w:pPr>
            <w:r w:rsidRPr="006C0A24">
              <w:t>trade practices issues.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Opportunities</w:t>
            </w:r>
            <w:r w:rsidRPr="006C0A24">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adding value</w:t>
            </w:r>
          </w:p>
          <w:p w:rsidR="00000000" w:rsidRPr="006C0A24" w:rsidP="006C0A24">
            <w:pPr>
              <w:pStyle w:val="ListBullet"/>
            </w:pPr>
            <w:r w:rsidRPr="006C0A24">
              <w:t>aggregating assets</w:t>
            </w:r>
          </w:p>
          <w:p w:rsidR="00000000" w:rsidRPr="006C0A24" w:rsidP="006C0A24">
            <w:pPr>
              <w:pStyle w:val="ListBullet"/>
            </w:pPr>
            <w:r w:rsidRPr="006C0A24">
              <w:t>altering existing property or facility</w:t>
            </w:r>
          </w:p>
          <w:p w:rsidR="00000000" w:rsidRPr="006C0A24" w:rsidP="006C0A24">
            <w:pPr>
              <w:pStyle w:val="ListBullet"/>
            </w:pPr>
            <w:r w:rsidRPr="006C0A24">
              <w:t>change in use, ownership, appearance and perception of property or facility</w:t>
            </w:r>
          </w:p>
          <w:p w:rsidR="00000000" w:rsidRPr="006C0A24" w:rsidP="006C0A24">
            <w:pPr>
              <w:pStyle w:val="ListBullet"/>
            </w:pPr>
            <w:r w:rsidRPr="006C0A24">
              <w:t>changing st</w:t>
            </w:r>
            <w:r w:rsidRPr="006C0A24">
              <w:t>yle of investment</w:t>
            </w:r>
          </w:p>
          <w:p w:rsidR="00000000" w:rsidRPr="006C0A24" w:rsidP="006C0A24">
            <w:pPr>
              <w:pStyle w:val="ListBullet"/>
            </w:pPr>
            <w:r w:rsidRPr="006C0A24">
              <w:t>creating something new</w:t>
            </w:r>
          </w:p>
          <w:p w:rsidR="00000000" w:rsidP="006C0A24">
            <w:pPr>
              <w:pStyle w:val="ListBullet"/>
              <w:rPr>
                <w:lang w:val="en-NZ"/>
              </w:rPr>
            </w:pPr>
            <w:r w:rsidRPr="006C0A24">
              <w:t>using bankers and financiers.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Legislative requirements</w:t>
            </w:r>
            <w:r w:rsidRPr="006C0A24">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Australian standards</w:t>
            </w:r>
          </w:p>
          <w:p w:rsidR="00000000" w:rsidRPr="006C0A24" w:rsidP="006C0A24">
            <w:pPr>
              <w:pStyle w:val="ListBullet"/>
            </w:pPr>
            <w:r w:rsidRPr="006C0A24">
              <w:t>codes of practice covering the market sector and industry, financial transactions, taxation, environment, construction, land use, native title, zoning, utilities use (water, gas and electricity), and contract or common</w:t>
            </w:r>
          </w:p>
          <w:p w:rsidR="00000000" w:rsidRPr="006C0A24" w:rsidP="006C0A24">
            <w:pPr>
              <w:pStyle w:val="ListBullet"/>
            </w:pPr>
            <w:r w:rsidRPr="006C0A24">
              <w:t>home building requirements</w:t>
            </w:r>
          </w:p>
          <w:p w:rsidR="00000000" w:rsidRPr="006C0A24" w:rsidP="006C0A24">
            <w:pPr>
              <w:pStyle w:val="ListBullet"/>
            </w:pPr>
            <w:r w:rsidRPr="006C0A24">
              <w:t>privacy re</w:t>
            </w:r>
            <w:r w:rsidRPr="006C0A24">
              <w:t>quirements</w:t>
            </w:r>
          </w:p>
          <w:p w:rsidR="00000000" w:rsidRPr="006C0A24" w:rsidP="006C0A24">
            <w:pPr>
              <w:pStyle w:val="ListBullet"/>
            </w:pPr>
            <w:r w:rsidRPr="006C0A24">
              <w:t>quality assurance and certification requirements</w:t>
            </w:r>
          </w:p>
          <w:p w:rsidR="00000000" w:rsidRPr="006C0A24" w:rsidP="006C0A24">
            <w:pPr>
              <w:pStyle w:val="ListBullet"/>
            </w:pPr>
            <w:r w:rsidRPr="006C0A24">
              <w:t>relevant federal, and state or territory legislation that affects organisational operation, including:</w:t>
            </w:r>
          </w:p>
          <w:p w:rsidR="00000000" w:rsidRPr="006C0A24" w:rsidP="006C0A24">
            <w:pPr>
              <w:pStyle w:val="ListBullet2"/>
            </w:pPr>
            <w:r w:rsidRPr="006C0A24">
              <w:t>anti-discrimination and diversity</w:t>
            </w:r>
          </w:p>
          <w:p w:rsidR="00000000" w:rsidRPr="006C0A24" w:rsidP="006C0A24">
            <w:pPr>
              <w:pStyle w:val="ListBullet2"/>
            </w:pPr>
            <w:r w:rsidRPr="006C0A24">
              <w:t>environmental issues</w:t>
            </w:r>
          </w:p>
          <w:p w:rsidR="00000000" w:rsidRPr="006C0A24" w:rsidP="006C0A24">
            <w:pPr>
              <w:pStyle w:val="ListBullet2"/>
            </w:pPr>
            <w:r w:rsidRPr="006C0A24">
              <w:t>EEO</w:t>
            </w:r>
          </w:p>
          <w:p w:rsidR="00000000" w:rsidRPr="006C0A24" w:rsidP="006C0A24">
            <w:pPr>
              <w:pStyle w:val="ListBullet2"/>
            </w:pPr>
            <w:r w:rsidRPr="006C0A24">
              <w:t>industrial relations</w:t>
            </w:r>
          </w:p>
          <w:p w:rsidR="00000000" w:rsidRPr="006C0A24" w:rsidP="006C0A24">
            <w:pPr>
              <w:pStyle w:val="ListBullet2"/>
            </w:pPr>
            <w:r w:rsidRPr="006C0A24">
              <w:t>OHS</w:t>
            </w:r>
          </w:p>
          <w:p w:rsidR="00000000" w:rsidRPr="006C0A24" w:rsidP="006C0A24">
            <w:pPr>
              <w:pStyle w:val="ListBullet"/>
            </w:pPr>
            <w:r w:rsidRPr="006C0A24">
              <w:t>strata,</w:t>
            </w:r>
            <w:r w:rsidRPr="006C0A24">
              <w:t xml:space="preserve"> community and company titles</w:t>
            </w:r>
          </w:p>
          <w:p w:rsidR="00000000" w:rsidRPr="006C0A24" w:rsidP="006C0A24">
            <w:pPr>
              <w:pStyle w:val="ListBullet"/>
            </w:pPr>
            <w:r w:rsidRPr="006C0A24">
              <w:t>tenancy agreements</w:t>
            </w:r>
          </w:p>
          <w:p w:rsidR="00000000" w:rsidP="006C0A24">
            <w:pPr>
              <w:pStyle w:val="ListBullet"/>
              <w:rPr>
                <w:lang w:val="en-NZ"/>
              </w:rPr>
            </w:pPr>
            <w:r w:rsidRPr="006C0A24">
              <w:t>trade practices laws and guidelines.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Assets</w:t>
            </w:r>
            <w:r w:rsidRPr="006C0A24">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buildings</w:t>
            </w:r>
          </w:p>
          <w:p w:rsidR="00000000" w:rsidRPr="006C0A24" w:rsidP="006C0A24">
            <w:pPr>
              <w:pStyle w:val="ListBullet"/>
            </w:pPr>
            <w:r w:rsidRPr="006C0A24">
              <w:t>business and marketing contracts</w:t>
            </w:r>
          </w:p>
          <w:p w:rsidR="00000000" w:rsidRPr="006C0A24" w:rsidP="006C0A24">
            <w:pPr>
              <w:pStyle w:val="ListBullet"/>
            </w:pPr>
            <w:r w:rsidRPr="006C0A24">
              <w:t>equipment</w:t>
            </w:r>
          </w:p>
          <w:p w:rsidR="00000000" w:rsidRPr="006C0A24" w:rsidP="006C0A24">
            <w:pPr>
              <w:pStyle w:val="ListBullet"/>
            </w:pPr>
            <w:r w:rsidRPr="006C0A24">
              <w:t>furniture</w:t>
            </w:r>
          </w:p>
          <w:p w:rsidR="00000000" w:rsidRPr="006C0A24" w:rsidP="006C0A24">
            <w:pPr>
              <w:pStyle w:val="ListBullet"/>
            </w:pPr>
            <w:r w:rsidRPr="006C0A24">
              <w:t>goodwill</w:t>
            </w:r>
          </w:p>
          <w:p w:rsidR="00000000" w:rsidRPr="006C0A24" w:rsidP="006C0A24">
            <w:pPr>
              <w:pStyle w:val="ListBullet"/>
            </w:pPr>
            <w:r w:rsidRPr="006C0A24">
              <w:t>land</w:t>
            </w:r>
          </w:p>
          <w:p w:rsidR="00000000" w:rsidRPr="006C0A24" w:rsidP="006C0A24">
            <w:pPr>
              <w:pStyle w:val="ListBullet"/>
            </w:pPr>
            <w:r w:rsidRPr="006C0A24">
              <w:t>property</w:t>
            </w:r>
          </w:p>
          <w:p w:rsidR="00000000" w:rsidP="006C0A24">
            <w:pPr>
              <w:pStyle w:val="ListBullet"/>
              <w:rPr>
                <w:lang w:val="en-NZ"/>
              </w:rPr>
            </w:pPr>
            <w:r w:rsidRPr="006C0A24">
              <w:t>vehicles.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Clients</w:t>
            </w:r>
            <w:r w:rsidRPr="006C0A24">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brokers</w:t>
            </w:r>
          </w:p>
          <w:p w:rsidR="00000000" w:rsidRPr="006C0A24" w:rsidP="006C0A24">
            <w:pPr>
              <w:pStyle w:val="ListBullet"/>
            </w:pPr>
            <w:r w:rsidRPr="006C0A24">
              <w:t>company management</w:t>
            </w:r>
          </w:p>
          <w:p w:rsidR="00000000" w:rsidRPr="006C0A24" w:rsidP="006C0A24">
            <w:pPr>
              <w:pStyle w:val="ListBullet"/>
            </w:pPr>
            <w:r w:rsidRPr="006C0A24">
              <w:t>fund managers</w:t>
            </w:r>
          </w:p>
          <w:p w:rsidR="00000000" w:rsidRPr="006C0A24" w:rsidP="006C0A24">
            <w:pPr>
              <w:pStyle w:val="ListBullet"/>
            </w:pPr>
            <w:r w:rsidRPr="006C0A24">
              <w:t>fund providers</w:t>
            </w:r>
          </w:p>
          <w:p w:rsidR="00000000" w:rsidRPr="006C0A24" w:rsidP="006C0A24">
            <w:pPr>
              <w:pStyle w:val="ListBullet"/>
            </w:pPr>
            <w:r w:rsidRPr="006C0A24">
              <w:t>institutions</w:t>
            </w:r>
          </w:p>
          <w:p w:rsidR="00000000" w:rsidRPr="006C0A24" w:rsidP="006C0A24">
            <w:pPr>
              <w:pStyle w:val="ListBullet"/>
            </w:pPr>
            <w:r w:rsidRPr="006C0A24">
              <w:t>insurers</w:t>
            </w:r>
          </w:p>
          <w:p w:rsidR="00000000" w:rsidRPr="006C0A24" w:rsidP="006C0A24">
            <w:pPr>
              <w:pStyle w:val="ListBullet"/>
            </w:pPr>
            <w:r w:rsidRPr="006C0A24">
              <w:t>internal and external property groups</w:t>
            </w:r>
          </w:p>
          <w:p w:rsidR="00000000" w:rsidRPr="006C0A24" w:rsidP="006C0A24">
            <w:pPr>
              <w:pStyle w:val="ListBullet"/>
            </w:pPr>
            <w:r w:rsidRPr="006C0A24">
              <w:t>legal advisers</w:t>
            </w:r>
          </w:p>
          <w:p w:rsidR="00000000" w:rsidRPr="006C0A24" w:rsidP="006C0A24">
            <w:pPr>
              <w:pStyle w:val="ListBullet"/>
            </w:pPr>
            <w:r w:rsidRPr="006C0A24">
              <w:t>owner-occupiers</w:t>
            </w:r>
          </w:p>
          <w:p w:rsidR="00000000" w:rsidRPr="006C0A24" w:rsidP="006C0A24">
            <w:pPr>
              <w:pStyle w:val="ListBullet"/>
            </w:pPr>
            <w:r w:rsidRPr="006C0A24">
              <w:t>private investors</w:t>
            </w:r>
          </w:p>
          <w:p w:rsidR="00000000" w:rsidP="006C0A24">
            <w:pPr>
              <w:pStyle w:val="ListBullet"/>
              <w:rPr>
                <w:lang w:val="en-NZ"/>
              </w:rPr>
            </w:pPr>
            <w:r w:rsidRPr="006C0A24">
              <w:t>risk assessors.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Relevant people</w:t>
            </w:r>
            <w:r w:rsidRPr="006C0A24">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clients</w:t>
            </w:r>
          </w:p>
          <w:p w:rsidR="00000000" w:rsidRPr="006C0A24" w:rsidP="006C0A24">
            <w:pPr>
              <w:pStyle w:val="ListBullet"/>
            </w:pPr>
            <w:r w:rsidRPr="006C0A24">
              <w:t>colleagues</w:t>
            </w:r>
          </w:p>
          <w:p w:rsidR="00000000" w:rsidRPr="006C0A24" w:rsidP="006C0A24">
            <w:pPr>
              <w:pStyle w:val="ListBullet"/>
            </w:pPr>
            <w:r w:rsidRPr="006C0A24">
              <w:t>legal representatives</w:t>
            </w:r>
          </w:p>
          <w:p w:rsidR="00000000" w:rsidRPr="006C0A24" w:rsidP="006C0A24">
            <w:pPr>
              <w:pStyle w:val="ListBullet"/>
            </w:pPr>
            <w:r w:rsidRPr="006C0A24">
              <w:t>members of industry associations</w:t>
            </w:r>
          </w:p>
          <w:p w:rsidR="00000000" w:rsidP="006C0A24">
            <w:pPr>
              <w:pStyle w:val="ListBullet"/>
              <w:rPr>
                <w:lang w:val="en-NZ"/>
              </w:rPr>
            </w:pPr>
            <w:r w:rsidRPr="006C0A24">
              <w:t>supervisors.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Organisational requirements</w:t>
            </w:r>
            <w:r w:rsidRPr="006C0A24">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business and performance plans</w:t>
            </w:r>
          </w:p>
          <w:p w:rsidR="00000000" w:rsidRPr="006C0A24" w:rsidP="006C0A24">
            <w:pPr>
              <w:pStyle w:val="ListBullet"/>
            </w:pPr>
            <w:r w:rsidRPr="006C0A24">
              <w:t>complaint and dispute resolution procedures</w:t>
            </w:r>
          </w:p>
          <w:p w:rsidR="00000000" w:rsidRPr="006C0A24" w:rsidP="006C0A24">
            <w:pPr>
              <w:pStyle w:val="ListBullet"/>
            </w:pPr>
            <w:r w:rsidRPr="006C0A24">
              <w:t>goals, objectives, plans, systems and processes</w:t>
            </w:r>
          </w:p>
          <w:p w:rsidR="00000000" w:rsidRPr="006C0A24" w:rsidP="006C0A24">
            <w:pPr>
              <w:pStyle w:val="ListBullet"/>
            </w:pPr>
            <w:r w:rsidRPr="006C0A24">
              <w:t>legal and ethical requi</w:t>
            </w:r>
            <w:r w:rsidRPr="006C0A24">
              <w:t>rements and codes of practice</w:t>
            </w:r>
          </w:p>
          <w:p w:rsidR="00000000" w:rsidRPr="006C0A24" w:rsidP="006C0A24">
            <w:pPr>
              <w:pStyle w:val="ListBullet"/>
            </w:pPr>
            <w:r w:rsidRPr="006C0A24">
              <w:t>OHS policies, procedures and programs</w:t>
            </w:r>
          </w:p>
          <w:p w:rsidR="00000000" w:rsidRPr="006C0A24" w:rsidP="006C0A24">
            <w:pPr>
              <w:pStyle w:val="ListBullet"/>
            </w:pPr>
            <w:r w:rsidRPr="006C0A24">
              <w:t>policies and procedures in relation to client service</w:t>
            </w:r>
          </w:p>
          <w:p w:rsidR="00000000" w:rsidRPr="006C0A24" w:rsidP="006C0A24">
            <w:pPr>
              <w:pStyle w:val="ListBullet"/>
            </w:pPr>
            <w:r w:rsidRPr="006C0A24">
              <w:t>quality and continuous improvement processes and standards</w:t>
            </w:r>
          </w:p>
          <w:p w:rsidR="00000000" w:rsidP="006C0A24">
            <w:pPr>
              <w:pStyle w:val="ListBullet"/>
              <w:rPr>
                <w:lang w:val="en-NZ"/>
              </w:rPr>
            </w:pPr>
            <w:r w:rsidRPr="006C0A24">
              <w:t>quality assurance and procedure manuals.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Limitations</w:t>
            </w:r>
            <w:r w:rsidRPr="006C0A24">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indus</w:t>
            </w:r>
            <w:r w:rsidRPr="006C0A24">
              <w:t>try requirements</w:t>
            </w:r>
          </w:p>
          <w:p w:rsidR="00000000" w:rsidRPr="006C0A24" w:rsidP="006C0A24">
            <w:pPr>
              <w:pStyle w:val="ListBullet"/>
            </w:pPr>
            <w:r w:rsidRPr="006C0A24">
              <w:t>job role and responsibilities</w:t>
            </w:r>
          </w:p>
          <w:p w:rsidR="00000000" w:rsidRPr="006C0A24" w:rsidP="006C0A24">
            <w:pPr>
              <w:pStyle w:val="ListBullet"/>
            </w:pPr>
            <w:r w:rsidRPr="006C0A24">
              <w:t>legal responsibilities</w:t>
            </w:r>
          </w:p>
          <w:p w:rsidR="00000000" w:rsidRPr="006C0A24" w:rsidP="006C0A24">
            <w:pPr>
              <w:pStyle w:val="ListBullet"/>
            </w:pPr>
            <w:r w:rsidRPr="006C0A24">
              <w:t>own competency level</w:t>
            </w:r>
          </w:p>
          <w:p w:rsidR="00000000" w:rsidRPr="006C0A24" w:rsidP="006C0A24">
            <w:pPr>
              <w:pStyle w:val="ListBullet"/>
            </w:pPr>
            <w:r w:rsidRPr="006C0A24">
              <w:t>own understanding of risk and opportunity identification processes</w:t>
            </w:r>
          </w:p>
          <w:p w:rsidR="00000000" w:rsidP="006C0A24">
            <w:pPr>
              <w:pStyle w:val="ListBullet"/>
              <w:rPr>
                <w:lang w:val="en-NZ"/>
              </w:rPr>
            </w:pPr>
            <w:r w:rsidRPr="006C0A24">
              <w:t>quality processes.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Specialist advice</w:t>
            </w:r>
            <w:r w:rsidRPr="006C0A24">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architects</w:t>
            </w:r>
          </w:p>
          <w:p w:rsidR="00000000" w:rsidRPr="006C0A24" w:rsidP="006C0A24">
            <w:pPr>
              <w:pStyle w:val="ListBullet"/>
            </w:pPr>
            <w:r w:rsidRPr="006C0A24">
              <w:t>builders</w:t>
            </w:r>
          </w:p>
          <w:p w:rsidR="00000000" w:rsidRPr="006C0A24" w:rsidP="006C0A24">
            <w:pPr>
              <w:pStyle w:val="ListBullet"/>
            </w:pPr>
            <w:r w:rsidRPr="006C0A24">
              <w:t>emergency personnel</w:t>
            </w:r>
          </w:p>
          <w:p w:rsidR="00000000" w:rsidRPr="006C0A24" w:rsidP="006C0A24">
            <w:pPr>
              <w:pStyle w:val="ListBullet"/>
            </w:pPr>
            <w:r w:rsidRPr="006C0A24">
              <w:t>facilities and asset managers</w:t>
            </w:r>
          </w:p>
          <w:p w:rsidR="00000000" w:rsidRPr="006C0A24" w:rsidP="006C0A24">
            <w:pPr>
              <w:pStyle w:val="ListBullet"/>
            </w:pPr>
            <w:r w:rsidRPr="006C0A24">
              <w:t>government officials</w:t>
            </w:r>
          </w:p>
          <w:p w:rsidR="00000000" w:rsidRPr="006C0A24" w:rsidP="006C0A24">
            <w:pPr>
              <w:pStyle w:val="ListBullet"/>
            </w:pPr>
            <w:r w:rsidRPr="006C0A24">
              <w:t>members of industry associations</w:t>
            </w:r>
          </w:p>
          <w:p w:rsidR="00000000" w:rsidRPr="006C0A24" w:rsidP="006C0A24">
            <w:pPr>
              <w:pStyle w:val="ListBullet"/>
            </w:pPr>
            <w:r w:rsidRPr="006C0A24">
              <w:t>OHS representatives</w:t>
            </w:r>
          </w:p>
          <w:p w:rsidR="00000000" w:rsidRPr="006C0A24" w:rsidP="006C0A24">
            <w:pPr>
              <w:pStyle w:val="ListBullet"/>
            </w:pPr>
            <w:r w:rsidRPr="006C0A24">
              <w:t>planners</w:t>
            </w:r>
          </w:p>
          <w:p w:rsidR="00000000" w:rsidRPr="006C0A24" w:rsidP="006C0A24">
            <w:pPr>
              <w:pStyle w:val="ListBullet"/>
            </w:pPr>
            <w:r w:rsidRPr="006C0A24">
              <w:t>real estate agents</w:t>
            </w:r>
          </w:p>
          <w:p w:rsidR="00000000" w:rsidP="006C0A24">
            <w:pPr>
              <w:pStyle w:val="ListBullet"/>
              <w:rPr>
                <w:lang w:val="en-NZ"/>
              </w:rPr>
            </w:pPr>
            <w:r w:rsidRPr="006C0A24">
              <w:t>solicitors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subcontractors</w:t>
            </w:r>
          </w:p>
          <w:p w:rsidR="00000000" w:rsidP="006C0A24">
            <w:pPr>
              <w:pStyle w:val="ListBullet"/>
              <w:rPr>
                <w:lang w:val="en-NZ"/>
              </w:rPr>
            </w:pPr>
            <w:r w:rsidRPr="006C0A24">
              <w:t>technical experts.</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Feedback</w:t>
            </w:r>
            <w:r w:rsidRPr="006C0A24">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supervisors and colleagues</w:t>
            </w:r>
          </w:p>
          <w:p w:rsidR="00000000" w:rsidRPr="006C0A24" w:rsidP="006C0A24">
            <w:pPr>
              <w:pStyle w:val="ListBullet"/>
            </w:pPr>
            <w:r w:rsidRPr="006C0A24">
              <w:t>formal and informal performance appraisals</w:t>
            </w:r>
          </w:p>
          <w:p w:rsidR="00000000" w:rsidRPr="006C0A24" w:rsidP="006C0A24">
            <w:pPr>
              <w:pStyle w:val="ListBullet"/>
            </w:pPr>
            <w:r w:rsidRPr="006C0A24">
              <w:t>personal and reflective behaviour strategies</w:t>
            </w:r>
          </w:p>
          <w:p w:rsidR="00000000" w:rsidP="006C0A24">
            <w:pPr>
              <w:pStyle w:val="ListBullet"/>
              <w:rPr>
                <w:lang w:val="en-NZ"/>
              </w:rPr>
            </w:pPr>
            <w:r w:rsidRPr="006C0A24">
              <w:t>workplace assessment.</w:t>
            </w:r>
          </w:p>
        </w:tc>
      </w:tr>
      <w:tr w:rsidTr="00C63FA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BoldandItalics"/>
              </w:rPr>
              <w:t>Business equipment and technology</w:t>
            </w:r>
            <w:r w:rsidRPr="006C0A24">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C0A24" w:rsidP="006C0A24">
            <w:pPr>
              <w:pStyle w:val="ListBullet"/>
            </w:pPr>
            <w:r w:rsidRPr="006C0A24">
              <w:t>computers</w:t>
            </w:r>
          </w:p>
          <w:p w:rsidR="00000000" w:rsidRPr="006C0A24" w:rsidP="006C0A24">
            <w:pPr>
              <w:pStyle w:val="ListBullet"/>
            </w:pPr>
            <w:r w:rsidRPr="006C0A24">
              <w:t>data storage devices</w:t>
            </w:r>
          </w:p>
          <w:p w:rsidR="00000000" w:rsidRPr="006C0A24" w:rsidP="006C0A24">
            <w:pPr>
              <w:pStyle w:val="ListBullet"/>
            </w:pPr>
            <w:r w:rsidRPr="006C0A24">
              <w:t>email</w:t>
            </w:r>
          </w:p>
          <w:p w:rsidR="00000000" w:rsidRPr="006C0A24" w:rsidP="006C0A24">
            <w:pPr>
              <w:pStyle w:val="ListBullet"/>
            </w:pPr>
            <w:r w:rsidRPr="006C0A24">
              <w:t>facsimile machines</w:t>
            </w:r>
          </w:p>
          <w:p w:rsidR="00000000" w:rsidRPr="006C0A24" w:rsidP="006C0A24">
            <w:pPr>
              <w:pStyle w:val="ListBullet"/>
            </w:pPr>
            <w:r w:rsidRPr="006C0A24">
              <w:t>internet, extranet and intranet</w:t>
            </w:r>
          </w:p>
          <w:p w:rsidR="00000000" w:rsidRPr="006C0A24" w:rsidP="006C0A24">
            <w:pPr>
              <w:pStyle w:val="ListBullet"/>
            </w:pPr>
            <w:r w:rsidRPr="006C0A24">
              <w:t>photocopiers</w:t>
            </w:r>
          </w:p>
          <w:p w:rsidR="00000000" w:rsidRPr="006C0A24" w:rsidP="006C0A24">
            <w:pPr>
              <w:pStyle w:val="ListBullet"/>
            </w:pPr>
            <w:r w:rsidRPr="006C0A24">
              <w:t>printers</w:t>
            </w:r>
          </w:p>
          <w:p w:rsidR="00000000" w:rsidRPr="006C0A24" w:rsidP="006C0A24">
            <w:pPr>
              <w:pStyle w:val="ListBullet"/>
            </w:pPr>
            <w:r w:rsidRPr="006C0A24">
              <w:t>scanners</w:t>
            </w:r>
          </w:p>
          <w:p w:rsidR="00000000" w:rsidRPr="006C0A24" w:rsidP="006C0A24">
            <w:pPr>
              <w:pStyle w:val="ListBullet"/>
            </w:pPr>
            <w:r w:rsidRPr="006C0A24">
              <w:t>software applications, such as databases and word applications.</w:t>
            </w:r>
          </w:p>
        </w:tc>
      </w:tr>
    </w:tbl>
    <w:p w:rsidR="00C63FAA" w:rsidP="006C0A24">
      <w:pPr>
        <w:pStyle w:val="BodyText"/>
      </w:pPr>
    </w:p>
    <w:p w:rsidR="00C63FAA" w:rsidP="006C0A24">
      <w:pPr>
        <w:pStyle w:val="BodyText"/>
      </w:pPr>
    </w:p>
    <w:p w:rsidR="00000000" w:rsidRPr="006C0A24" w:rsidP="006C0A24">
      <w:pPr>
        <w:pStyle w:val="Heading1"/>
      </w:pPr>
      <w:bookmarkStart w:id="12" w:name="O_200777"/>
      <w:bookmarkEnd w:id="12"/>
      <w:r w:rsidRPr="006C0A24">
        <w:t>Unit Sector(s)</w:t>
      </w:r>
    </w:p>
    <w:tbl>
      <w:tblPr>
        <w:tblW w:w="0" w:type="auto"/>
        <w:tblLayout w:type="fixed"/>
        <w:tblCellMar>
          <w:left w:w="62" w:type="dxa"/>
          <w:right w:w="62" w:type="dxa"/>
        </w:tblCellMar>
        <w:tblLook w:val="0000"/>
      </w:tblPr>
      <w:tblGrid>
        <w:gridCol w:w="2744"/>
        <w:gridCol w:w="5778"/>
      </w:tblGrid>
      <w:tr w:rsidTr="00C63FAA">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Unit sector</w:t>
            </w:r>
          </w:p>
        </w:tc>
        <w:tc>
          <w:tcPr>
            <w:tcW w:w="577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Property development, sales and management</w:t>
            </w:r>
          </w:p>
        </w:tc>
      </w:tr>
    </w:tbl>
    <w:p w:rsidR="00C63FAA" w:rsidP="006C0A24">
      <w:pPr>
        <w:pStyle w:val="BodyText"/>
      </w:pPr>
    </w:p>
    <w:p w:rsidR="00C63FAA" w:rsidP="006C0A24">
      <w:pPr>
        <w:pStyle w:val="BodyText"/>
      </w:pPr>
    </w:p>
    <w:p w:rsidR="00000000" w:rsidRPr="006C0A24" w:rsidP="006C0A24">
      <w:pPr>
        <w:pStyle w:val="Heading1"/>
      </w:pPr>
      <w:bookmarkStart w:id="13" w:name="O_200776"/>
      <w:bookmarkEnd w:id="13"/>
      <w:r w:rsidRPr="006C0A24">
        <w:t>Competency field</w:t>
      </w:r>
    </w:p>
    <w:tbl>
      <w:tblPr>
        <w:tblW w:w="0" w:type="auto"/>
        <w:tblLayout w:type="fixed"/>
        <w:tblCellMar>
          <w:left w:w="62" w:type="dxa"/>
          <w:right w:w="62" w:type="dxa"/>
        </w:tblCellMar>
        <w:tblLook w:val="0000"/>
      </w:tblPr>
      <w:tblGrid>
        <w:gridCol w:w="2744"/>
        <w:gridCol w:w="5778"/>
      </w:tblGrid>
      <w:tr w:rsidTr="00C63FAA">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C0A24">
            <w:pPr>
              <w:pStyle w:val="BodyText"/>
              <w:rPr>
                <w:lang w:val="en-NZ"/>
              </w:rPr>
            </w:pPr>
            <w:r w:rsidRPr="006C0A24">
              <w:rPr>
                <w:rStyle w:val="SpecialBold"/>
              </w:rPr>
              <w:t>Competency field</w:t>
            </w:r>
          </w:p>
        </w:tc>
        <w:tc>
          <w:tcPr>
            <w:tcW w:w="5778" w:type="dxa"/>
            <w:tcBorders>
              <w:top w:val="nil"/>
              <w:left w:val="nil"/>
              <w:bottom w:val="nil"/>
              <w:right w:val="nil"/>
            </w:tcBorders>
            <w:tcMar>
              <w:top w:w="0" w:type="dxa"/>
              <w:left w:w="62" w:type="dxa"/>
              <w:bottom w:w="0" w:type="dxa"/>
              <w:right w:w="62" w:type="dxa"/>
            </w:tcMar>
          </w:tcPr>
          <w:p w:rsidR="00000000" w:rsidRPr="006C0A24" w:rsidP="006C0A24">
            <w:pPr>
              <w:pStyle w:val="BodyText"/>
            </w:pPr>
            <w:r w:rsidRPr="006C0A24">
              <w:t>Property operations and development</w:t>
            </w:r>
          </w:p>
        </w:tc>
      </w:tr>
    </w:tbl>
    <w:p w:rsidR="00C63FAA" w:rsidP="006C0A24">
      <w:pPr>
        <w:pStyle w:val="BodyText"/>
      </w:pPr>
    </w:p>
    <w:p w:rsidR="00C63FAA" w:rsidP="006C0A24">
      <w:pPr>
        <w:pStyle w:val="BodyText"/>
      </w:pPr>
    </w:p>
    <w:p w:rsidR="00000000" w:rsidRPr="006C0A24" w:rsidP="006C0A24"/>
    <w:sectPr w:rsidSect="006C0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FAA" w:rsidP="00C63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AA" w:rsidP="006C0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63FAA" w:rsidP="006C0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63FAA" w:rsidP="006C0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FAA" w:rsidP="00C63F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AA" w:rsidP="006C0A24">
    <w:pPr>
      <w:pStyle w:val="Header"/>
      <w:framePr w:wrap="around"/>
    </w:pPr>
    <w:r>
      <w:fldChar w:fldCharType="begin"/>
    </w:r>
    <w:r>
      <w:instrText xml:space="preserve"> TITLE   \* MERGEFORMAT </w:instrText>
    </w:r>
    <w:r>
      <w:fldChar w:fldCharType="separate"/>
    </w:r>
    <w:r>
      <w:t>CPPDSM3007B Identify risks and opportunities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3FAA" w:rsidP="006C0A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61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4C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A4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A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A24"/>
    <w:pPr>
      <w:spacing w:before="360" w:after="60"/>
      <w:outlineLvl w:val="0"/>
    </w:pPr>
    <w:rPr>
      <w:sz w:val="32"/>
    </w:rPr>
  </w:style>
  <w:style w:type="paragraph" w:styleId="Heading2">
    <w:name w:val="heading 2"/>
    <w:basedOn w:val="HeadingBase"/>
    <w:next w:val="BodyText"/>
    <w:link w:val="Heading2Char"/>
    <w:qFormat/>
    <w:rsid w:val="006C0A24"/>
    <w:pPr>
      <w:keepLines/>
      <w:spacing w:before="240" w:after="120"/>
      <w:outlineLvl w:val="1"/>
    </w:pPr>
    <w:rPr>
      <w:sz w:val="28"/>
      <w:szCs w:val="40"/>
    </w:rPr>
  </w:style>
  <w:style w:type="paragraph" w:styleId="Heading3">
    <w:name w:val="heading 3"/>
    <w:basedOn w:val="HeadingBase"/>
    <w:next w:val="BodyText"/>
    <w:link w:val="Heading3Char"/>
    <w:qFormat/>
    <w:rsid w:val="006C0A24"/>
    <w:pPr>
      <w:spacing w:before="180" w:after="120"/>
      <w:outlineLvl w:val="2"/>
    </w:pPr>
    <w:rPr>
      <w:spacing w:val="-10"/>
      <w:kern w:val="32"/>
    </w:rPr>
  </w:style>
  <w:style w:type="paragraph" w:styleId="Heading4">
    <w:name w:val="heading 4"/>
    <w:basedOn w:val="HeadingBase"/>
    <w:next w:val="BodyText"/>
    <w:link w:val="Heading4Char"/>
    <w:qFormat/>
    <w:rsid w:val="006C0A24"/>
    <w:pPr>
      <w:spacing w:before="160" w:after="120"/>
      <w:outlineLvl w:val="3"/>
    </w:pPr>
    <w:rPr>
      <w:sz w:val="22"/>
    </w:rPr>
  </w:style>
  <w:style w:type="paragraph" w:styleId="Heading5">
    <w:name w:val="heading 5"/>
    <w:basedOn w:val="HeadingBase"/>
    <w:next w:val="Normal"/>
    <w:link w:val="Heading5Char"/>
    <w:qFormat/>
    <w:rsid w:val="006C0A24"/>
    <w:pPr>
      <w:spacing w:before="80"/>
      <w:outlineLvl w:val="4"/>
    </w:pPr>
    <w:rPr>
      <w:color w:val="918585"/>
      <w:sz w:val="20"/>
    </w:rPr>
  </w:style>
  <w:style w:type="paragraph" w:styleId="Heading6">
    <w:name w:val="heading 6"/>
    <w:basedOn w:val="HeadingBase"/>
    <w:next w:val="Normal"/>
    <w:link w:val="Heading6Char"/>
    <w:qFormat/>
    <w:rsid w:val="006C0A24"/>
    <w:pPr>
      <w:spacing w:before="60"/>
      <w:outlineLvl w:val="5"/>
    </w:pPr>
    <w:rPr>
      <w:color w:val="918585"/>
      <w:sz w:val="20"/>
    </w:rPr>
  </w:style>
  <w:style w:type="paragraph" w:styleId="Heading7">
    <w:name w:val="heading 7"/>
    <w:basedOn w:val="Normal"/>
    <w:next w:val="Normal"/>
    <w:link w:val="Heading7Char"/>
    <w:qFormat/>
    <w:rsid w:val="006C0A24"/>
    <w:pPr>
      <w:ind w:left="720"/>
      <w:outlineLvl w:val="6"/>
    </w:pPr>
    <w:rPr>
      <w:i/>
    </w:rPr>
  </w:style>
  <w:style w:type="paragraph" w:styleId="Heading8">
    <w:name w:val="heading 8"/>
    <w:basedOn w:val="Normal"/>
    <w:next w:val="Normal"/>
    <w:link w:val="Heading8Char"/>
    <w:qFormat/>
    <w:rsid w:val="006C0A24"/>
    <w:pPr>
      <w:ind w:left="720"/>
      <w:outlineLvl w:val="7"/>
    </w:pPr>
    <w:rPr>
      <w:i/>
    </w:rPr>
  </w:style>
  <w:style w:type="paragraph" w:styleId="Heading9">
    <w:name w:val="heading 9"/>
    <w:basedOn w:val="Normal"/>
    <w:next w:val="Normal"/>
    <w:link w:val="Heading9Char"/>
    <w:qFormat/>
    <w:rsid w:val="006C0A24"/>
    <w:pPr>
      <w:ind w:left="720"/>
      <w:outlineLvl w:val="8"/>
    </w:pPr>
    <w:rPr>
      <w:i/>
    </w:rPr>
  </w:style>
  <w:style w:type="character" w:default="1" w:styleId="DefaultParagraphFont">
    <w:name w:val="Default Paragraph Font"/>
    <w:uiPriority w:val="1"/>
    <w:unhideWhenUsed/>
    <w:rsid w:val="006C0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A24"/>
  </w:style>
  <w:style w:type="character" w:customStyle="1" w:styleId="Heading1Char">
    <w:name w:val="Heading 1 Char"/>
    <w:basedOn w:val="DefaultParagraphFont"/>
    <w:link w:val="Heading1"/>
    <w:rsid w:val="006C0A24"/>
    <w:rPr>
      <w:rFonts w:ascii="Times New Roman" w:eastAsia="Times New Roman" w:hAnsi="Times New Roman" w:cs="Times New Roman"/>
      <w:b/>
      <w:sz w:val="32"/>
      <w:szCs w:val="20"/>
      <w:lang w:eastAsia="en-US"/>
    </w:rPr>
  </w:style>
  <w:style w:type="paragraph" w:styleId="BodyText">
    <w:name w:val="Body Text"/>
    <w:basedOn w:val="Normal"/>
    <w:link w:val="BodyTextChar"/>
    <w:rsid w:val="006C0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A24"/>
    <w:rPr>
      <w:rFonts w:ascii="Times New Roman" w:eastAsia="Times New Roman" w:hAnsi="Times New Roman" w:cs="Times New Roman"/>
      <w:sz w:val="24"/>
      <w:lang w:val="en-US" w:eastAsia="en-US"/>
    </w:rPr>
  </w:style>
  <w:style w:type="paragraph" w:styleId="Footer">
    <w:name w:val="footer"/>
    <w:basedOn w:val="Normal"/>
    <w:link w:val="FooterChar"/>
    <w:rsid w:val="006C0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A24"/>
    <w:rPr>
      <w:rFonts w:ascii="Times New Roman" w:eastAsia="Times New Roman" w:hAnsi="Times New Roman" w:cs="Times New Roman"/>
      <w:sz w:val="16"/>
      <w:lang w:val="en-US" w:eastAsia="en-US"/>
    </w:rPr>
  </w:style>
  <w:style w:type="paragraph" w:styleId="List">
    <w:name w:val="List"/>
    <w:basedOn w:val="BodyText"/>
    <w:next w:val="BodyText"/>
    <w:rsid w:val="006C0A24"/>
    <w:pPr>
      <w:tabs>
        <w:tab w:val="left" w:pos="340"/>
      </w:tabs>
      <w:spacing w:before="60" w:after="60"/>
      <w:ind w:left="340" w:hanging="340"/>
    </w:pPr>
  </w:style>
  <w:style w:type="paragraph" w:styleId="ListBullet">
    <w:name w:val="List Bullet"/>
    <w:basedOn w:val="List"/>
    <w:rsid w:val="006C0A24"/>
    <w:pPr>
      <w:numPr>
        <w:numId w:val="13"/>
      </w:numPr>
      <w:tabs>
        <w:tab w:val="clear" w:pos="340"/>
      </w:tabs>
      <w:spacing w:before="40" w:after="40"/>
    </w:pPr>
  </w:style>
  <w:style w:type="character" w:customStyle="1" w:styleId="SpecialBold">
    <w:name w:val="Special Bold"/>
    <w:basedOn w:val="DefaultParagraphFont"/>
    <w:rsid w:val="006C0A24"/>
    <w:rPr>
      <w:b/>
      <w:spacing w:val="0"/>
    </w:rPr>
  </w:style>
  <w:style w:type="paragraph" w:styleId="ListBullet2">
    <w:name w:val="List Bullet 2"/>
    <w:basedOn w:val="List2"/>
    <w:rsid w:val="006C0A24"/>
    <w:pPr>
      <w:numPr>
        <w:numId w:val="14"/>
      </w:numPr>
      <w:tabs>
        <w:tab w:val="clear" w:pos="680"/>
      </w:tabs>
    </w:pPr>
  </w:style>
  <w:style w:type="paragraph" w:styleId="Header">
    <w:name w:val="header"/>
    <w:basedOn w:val="Normal"/>
    <w:link w:val="HeaderChar"/>
    <w:rsid w:val="006C0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A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A24"/>
    <w:pPr>
      <w:spacing w:before="240" w:after="120"/>
      <w:outlineLvl w:val="0"/>
    </w:pPr>
    <w:rPr>
      <w:rFonts w:ascii="Times New Roman" w:hAnsi="Times New Roman"/>
      <w:b/>
      <w:sz w:val="28"/>
    </w:rPr>
  </w:style>
  <w:style w:type="paragraph" w:customStyle="1" w:styleId="AllowPageBreak">
    <w:name w:val="AllowPageBreak"/>
    <w:rsid w:val="006C0A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A24"/>
    <w:rPr>
      <w:b/>
      <w:i/>
      <w:u w:val="none"/>
    </w:rPr>
  </w:style>
  <w:style w:type="character" w:customStyle="1" w:styleId="Heading2Char">
    <w:name w:val="Heading 2 Char"/>
    <w:basedOn w:val="DefaultParagraphFont"/>
    <w:link w:val="Heading2"/>
    <w:rsid w:val="006C0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A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A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A24"/>
    <w:rPr>
      <w:rFonts w:ascii="Courier New" w:eastAsia="Times New Roman" w:hAnsi="Courier New" w:cs="Times New Roman"/>
      <w:i/>
      <w:szCs w:val="20"/>
      <w:lang w:val="en-US" w:eastAsia="en-US"/>
    </w:rPr>
  </w:style>
  <w:style w:type="paragraph" w:customStyle="1" w:styleId="HeadingBase">
    <w:name w:val="Heading Base"/>
    <w:rsid w:val="006C0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A24"/>
    <w:pPr>
      <w:tabs>
        <w:tab w:val="right" w:leader="dot" w:pos="9072"/>
      </w:tabs>
      <w:ind w:left="567"/>
    </w:pPr>
    <w:rPr>
      <w:szCs w:val="22"/>
    </w:rPr>
  </w:style>
  <w:style w:type="paragraph" w:customStyle="1" w:styleId="TOCBase">
    <w:name w:val="TOC Base"/>
    <w:rsid w:val="006C0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A24"/>
    <w:pPr>
      <w:tabs>
        <w:tab w:val="right" w:leader="dot" w:pos="9072"/>
      </w:tabs>
      <w:spacing w:before="40" w:after="40"/>
      <w:ind w:left="284"/>
    </w:pPr>
    <w:rPr>
      <w:rFonts w:ascii="Times New Roman" w:hAnsi="Times New Roman"/>
    </w:rPr>
  </w:style>
  <w:style w:type="paragraph" w:styleId="TOC1">
    <w:name w:val="toc 1"/>
    <w:basedOn w:val="TOCBase"/>
    <w:next w:val="Normal"/>
    <w:rsid w:val="006C0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A24"/>
    <w:pPr>
      <w:spacing w:before="5040"/>
      <w:jc w:val="center"/>
    </w:pPr>
    <w:rPr>
      <w:sz w:val="48"/>
      <w:szCs w:val="72"/>
      <w:lang w:val="en-US"/>
    </w:rPr>
  </w:style>
  <w:style w:type="character" w:customStyle="1" w:styleId="TitleChar">
    <w:name w:val="Title Char"/>
    <w:basedOn w:val="DefaultParagraphFont"/>
    <w:link w:val="Title"/>
    <w:rsid w:val="006C0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A24"/>
    <w:pPr>
      <w:tabs>
        <w:tab w:val="left" w:pos="3600"/>
        <w:tab w:val="left" w:pos="3958"/>
      </w:tabs>
    </w:pPr>
  </w:style>
  <w:style w:type="paragraph" w:customStyle="1" w:styleId="Note">
    <w:name w:val="Note"/>
    <w:basedOn w:val="BodyText"/>
    <w:rsid w:val="006C0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A24"/>
    <w:pPr>
      <w:framePr w:wrap="auto" w:hAnchor="text" w:y="6049"/>
    </w:pPr>
    <w:rPr>
      <w:color w:val="000000"/>
      <w:sz w:val="40"/>
    </w:rPr>
  </w:style>
  <w:style w:type="paragraph" w:customStyle="1" w:styleId="TOCTitle">
    <w:name w:val="TOCTitle"/>
    <w:basedOn w:val="Heading1"/>
    <w:rsid w:val="006C0A24"/>
    <w:pPr>
      <w:spacing w:after="240"/>
      <w:jc w:val="center"/>
      <w:outlineLvl w:val="9"/>
    </w:pPr>
    <w:rPr>
      <w:caps/>
    </w:rPr>
  </w:style>
  <w:style w:type="paragraph" w:customStyle="1" w:styleId="Version">
    <w:name w:val="Version"/>
    <w:rsid w:val="006C0A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A24"/>
    <w:pPr>
      <w:keepNext w:val="0"/>
      <w:tabs>
        <w:tab w:val="right" w:pos="4176"/>
      </w:tabs>
      <w:ind w:left="198" w:hanging="198"/>
    </w:pPr>
    <w:rPr>
      <w:rFonts w:ascii="Garamond" w:hAnsi="Garamond"/>
    </w:rPr>
  </w:style>
  <w:style w:type="paragraph" w:styleId="IndexHeading">
    <w:name w:val="index heading"/>
    <w:basedOn w:val="Normal"/>
    <w:next w:val="Index1"/>
    <w:semiHidden/>
    <w:rsid w:val="006C0A24"/>
    <w:pPr>
      <w:spacing w:before="120" w:after="120"/>
    </w:pPr>
    <w:rPr>
      <w:rFonts w:ascii="Arial" w:hAnsi="Arial"/>
      <w:b/>
      <w:color w:val="918585"/>
      <w:sz w:val="24"/>
    </w:rPr>
  </w:style>
  <w:style w:type="paragraph" w:customStyle="1" w:styleId="Chapter">
    <w:name w:val="Chapter"/>
    <w:basedOn w:val="Normal"/>
    <w:rsid w:val="006C0A24"/>
    <w:pPr>
      <w:spacing w:before="240"/>
    </w:pPr>
    <w:rPr>
      <w:rFonts w:ascii="Times New Roman" w:hAnsi="Times New Roman"/>
      <w:smallCaps/>
      <w:spacing w:val="80"/>
      <w:sz w:val="28"/>
    </w:rPr>
  </w:style>
  <w:style w:type="paragraph" w:customStyle="1" w:styleId="InChapter">
    <w:name w:val="InChapter"/>
    <w:basedOn w:val="Heading3"/>
    <w:rsid w:val="006C0A24"/>
    <w:pPr>
      <w:spacing w:after="240"/>
      <w:outlineLvl w:val="9"/>
    </w:pPr>
    <w:rPr>
      <w:noProof/>
    </w:rPr>
  </w:style>
  <w:style w:type="paragraph" w:styleId="Index2">
    <w:name w:val="index 2"/>
    <w:basedOn w:val="Normal"/>
    <w:next w:val="Normal"/>
    <w:semiHidden/>
    <w:rsid w:val="006C0A24"/>
    <w:pPr>
      <w:tabs>
        <w:tab w:val="right" w:pos="4176"/>
      </w:tabs>
      <w:ind w:left="568" w:hanging="284"/>
    </w:pPr>
    <w:rPr>
      <w:rFonts w:ascii="Garamond" w:hAnsi="Garamond"/>
    </w:rPr>
  </w:style>
  <w:style w:type="paragraph" w:customStyle="1" w:styleId="Byline">
    <w:name w:val="Byline"/>
    <w:rsid w:val="006C0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A24"/>
    <w:pPr>
      <w:tabs>
        <w:tab w:val="clear" w:pos="3600"/>
        <w:tab w:val="clear" w:pos="3958"/>
      </w:tabs>
      <w:jc w:val="right"/>
    </w:pPr>
  </w:style>
  <w:style w:type="character" w:styleId="Emphasis">
    <w:name w:val="Emphasis"/>
    <w:basedOn w:val="DefaultParagraphFont"/>
    <w:qFormat/>
    <w:rsid w:val="006C0A24"/>
    <w:rPr>
      <w:i/>
    </w:rPr>
  </w:style>
  <w:style w:type="paragraph" w:styleId="Caption">
    <w:name w:val="caption"/>
    <w:basedOn w:val="BodyText"/>
    <w:next w:val="Normal"/>
    <w:qFormat/>
    <w:rsid w:val="006C0A24"/>
    <w:pPr>
      <w:framePr w:w="2268" w:hSpace="181" w:vSpace="181" w:wrap="around" w:vAnchor="text" w:hAnchor="page" w:x="1135" w:y="285" w:anchorLock="1"/>
    </w:pPr>
    <w:rPr>
      <w:i/>
    </w:rPr>
  </w:style>
  <w:style w:type="paragraph" w:customStyle="1" w:styleId="MiniTOCTitle">
    <w:name w:val="MiniTOCTitle"/>
    <w:basedOn w:val="Heading4"/>
    <w:rsid w:val="006C0A24"/>
    <w:pPr>
      <w:spacing w:before="240"/>
      <w:outlineLvl w:val="9"/>
    </w:pPr>
    <w:rPr>
      <w:noProof/>
      <w:sz w:val="24"/>
    </w:rPr>
  </w:style>
  <w:style w:type="paragraph" w:customStyle="1" w:styleId="MiniTOCItem">
    <w:name w:val="MiniTOCItem"/>
    <w:basedOn w:val="ListBullet"/>
    <w:rsid w:val="006C0A24"/>
    <w:pPr>
      <w:numPr>
        <w:numId w:val="0"/>
      </w:numPr>
      <w:tabs>
        <w:tab w:val="right" w:leader="dot" w:pos="6521"/>
      </w:tabs>
      <w:spacing w:before="0" w:after="0"/>
    </w:pPr>
  </w:style>
  <w:style w:type="paragraph" w:customStyle="1" w:styleId="TOFTitle">
    <w:name w:val="TOFTitle"/>
    <w:basedOn w:val="TOCTitle"/>
    <w:rsid w:val="006C0A24"/>
  </w:style>
  <w:style w:type="paragraph" w:styleId="TableofFigures">
    <w:name w:val="table of figures"/>
    <w:basedOn w:val="Normal"/>
    <w:next w:val="Normal"/>
    <w:semiHidden/>
    <w:rsid w:val="006C0A24"/>
    <w:pPr>
      <w:tabs>
        <w:tab w:val="right" w:leader="dot" w:pos="9072"/>
      </w:tabs>
      <w:ind w:left="970" w:hanging="403"/>
    </w:pPr>
    <w:rPr>
      <w:rFonts w:ascii="Times New Roman" w:hAnsi="Times New Roman"/>
      <w:b/>
    </w:rPr>
  </w:style>
  <w:style w:type="paragraph" w:styleId="ListNumber">
    <w:name w:val="List Number"/>
    <w:basedOn w:val="List"/>
    <w:rsid w:val="006C0A24"/>
    <w:pPr>
      <w:numPr>
        <w:numId w:val="11"/>
      </w:numPr>
    </w:pPr>
  </w:style>
  <w:style w:type="character" w:customStyle="1" w:styleId="WingdingSymbols">
    <w:name w:val="Wingding Symbols"/>
    <w:rsid w:val="006C0A24"/>
    <w:rPr>
      <w:rFonts w:ascii="Wingdings" w:hAnsi="Wingdings"/>
    </w:rPr>
  </w:style>
  <w:style w:type="paragraph" w:customStyle="1" w:styleId="TableHeading">
    <w:name w:val="Table Heading"/>
    <w:basedOn w:val="HeadingBase"/>
    <w:rsid w:val="006C0A24"/>
    <w:pPr>
      <w:keepLines/>
      <w:pBdr>
        <w:bottom w:val="single" w:sz="6" w:space="1" w:color="918585"/>
      </w:pBdr>
      <w:spacing w:before="240"/>
    </w:pPr>
  </w:style>
  <w:style w:type="character" w:customStyle="1" w:styleId="HotSpot">
    <w:name w:val="HotSpot"/>
    <w:rsid w:val="006C0A24"/>
    <w:rPr>
      <w:color w:val="0033CC"/>
      <w:u w:val="none"/>
    </w:rPr>
  </w:style>
  <w:style w:type="paragraph" w:customStyle="1" w:styleId="BodyTextRight">
    <w:name w:val="Body Text Right"/>
    <w:basedOn w:val="BodyText"/>
    <w:rsid w:val="006C0A24"/>
    <w:pPr>
      <w:spacing w:before="0" w:after="0"/>
      <w:jc w:val="right"/>
    </w:pPr>
  </w:style>
  <w:style w:type="paragraph" w:styleId="Index3">
    <w:name w:val="index 3"/>
    <w:basedOn w:val="ListNumber2"/>
    <w:next w:val="Normal"/>
    <w:semiHidden/>
    <w:rsid w:val="006C0A24"/>
    <w:pPr>
      <w:numPr>
        <w:numId w:val="0"/>
      </w:numPr>
      <w:tabs>
        <w:tab w:val="right" w:leader="dot" w:pos="4176"/>
      </w:tabs>
    </w:pPr>
  </w:style>
  <w:style w:type="paragraph" w:styleId="ListNumber2">
    <w:name w:val="List Number 2"/>
    <w:basedOn w:val="List2"/>
    <w:rsid w:val="006C0A24"/>
    <w:pPr>
      <w:numPr>
        <w:numId w:val="10"/>
      </w:numPr>
      <w:tabs>
        <w:tab w:val="clear" w:pos="1060"/>
      </w:tabs>
    </w:pPr>
  </w:style>
  <w:style w:type="paragraph" w:customStyle="1" w:styleId="MarginNote">
    <w:name w:val="Margin Note"/>
    <w:basedOn w:val="BodyText"/>
    <w:rsid w:val="006C0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A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A24"/>
    <w:rPr>
      <w:sz w:val="32"/>
    </w:rPr>
  </w:style>
  <w:style w:type="paragraph" w:customStyle="1" w:styleId="HeadingProcedure">
    <w:name w:val="Heading Procedure"/>
    <w:basedOn w:val="HeadingBase"/>
    <w:next w:val="Normal"/>
    <w:rsid w:val="006C0A24"/>
    <w:pPr>
      <w:tabs>
        <w:tab w:val="left" w:pos="0"/>
      </w:tabs>
      <w:spacing w:before="120" w:after="60"/>
    </w:pPr>
    <w:rPr>
      <w:i/>
      <w:color w:val="918585"/>
      <w:sz w:val="22"/>
    </w:rPr>
  </w:style>
  <w:style w:type="paragraph" w:customStyle="1" w:styleId="TableBodyText">
    <w:name w:val="Table Body Text"/>
    <w:basedOn w:val="BodyText"/>
    <w:rsid w:val="006C0A24"/>
    <w:pPr>
      <w:spacing w:before="60" w:after="60"/>
    </w:pPr>
  </w:style>
  <w:style w:type="paragraph" w:styleId="ListContinue">
    <w:name w:val="List Continue"/>
    <w:basedOn w:val="List"/>
    <w:rsid w:val="006C0A24"/>
    <w:pPr>
      <w:ind w:firstLine="0"/>
    </w:pPr>
  </w:style>
  <w:style w:type="paragraph" w:customStyle="1" w:styleId="ListNote">
    <w:name w:val="List Note"/>
    <w:basedOn w:val="List"/>
    <w:rsid w:val="006C0A24"/>
    <w:pPr>
      <w:pBdr>
        <w:top w:val="single" w:sz="6" w:space="2" w:color="918585"/>
        <w:bottom w:val="single" w:sz="6" w:space="2" w:color="918585"/>
      </w:pBdr>
      <w:tabs>
        <w:tab w:val="left" w:pos="1021"/>
      </w:tabs>
      <w:ind w:firstLine="0"/>
    </w:pPr>
  </w:style>
  <w:style w:type="paragraph" w:customStyle="1" w:styleId="Warning">
    <w:name w:val="Warning"/>
    <w:basedOn w:val="BodyText"/>
    <w:rsid w:val="006C0A24"/>
    <w:pPr>
      <w:shd w:val="clear" w:color="auto" w:fill="D9D9D9"/>
      <w:tabs>
        <w:tab w:val="left" w:pos="992"/>
      </w:tabs>
      <w:ind w:left="119" w:right="119"/>
    </w:pPr>
    <w:rPr>
      <w:sz w:val="20"/>
    </w:rPr>
  </w:style>
  <w:style w:type="paragraph" w:customStyle="1" w:styleId="MarginIcons">
    <w:name w:val="Margin Icons"/>
    <w:basedOn w:val="BodyText"/>
    <w:rsid w:val="006C0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A24"/>
    <w:rPr>
      <w:rFonts w:ascii="Courier New" w:hAnsi="Courier New"/>
    </w:rPr>
  </w:style>
  <w:style w:type="paragraph" w:customStyle="1" w:styleId="NoteBullet">
    <w:name w:val="Note Bullet"/>
    <w:basedOn w:val="Note"/>
    <w:rsid w:val="006C0A24"/>
    <w:pPr>
      <w:tabs>
        <w:tab w:val="clear" w:pos="680"/>
      </w:tabs>
      <w:spacing w:before="60" w:after="60"/>
    </w:pPr>
  </w:style>
  <w:style w:type="paragraph" w:customStyle="1" w:styleId="SubHeading2">
    <w:name w:val="SubHeading2"/>
    <w:basedOn w:val="HeadingBase"/>
    <w:rsid w:val="006C0A24"/>
    <w:pPr>
      <w:spacing w:before="240" w:after="60"/>
    </w:pPr>
    <w:rPr>
      <w:sz w:val="20"/>
    </w:rPr>
  </w:style>
  <w:style w:type="paragraph" w:customStyle="1" w:styleId="SubHeading1">
    <w:name w:val="SubHeading1"/>
    <w:basedOn w:val="HeadingBase"/>
    <w:rsid w:val="006C0A24"/>
    <w:pPr>
      <w:spacing w:before="240" w:after="60"/>
    </w:pPr>
    <w:rPr>
      <w:color w:val="918585"/>
      <w:sz w:val="22"/>
    </w:rPr>
  </w:style>
  <w:style w:type="paragraph" w:customStyle="1" w:styleId="SideHeading">
    <w:name w:val="Side Heading"/>
    <w:basedOn w:val="HeadingBase"/>
    <w:rsid w:val="006C0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A24"/>
    <w:pPr>
      <w:numPr>
        <w:numId w:val="12"/>
      </w:numPr>
    </w:pPr>
  </w:style>
  <w:style w:type="paragraph" w:styleId="PlainText">
    <w:name w:val="Plain Text"/>
    <w:basedOn w:val="Normal"/>
    <w:link w:val="PlainTextChar"/>
    <w:rsid w:val="006C0A24"/>
    <w:rPr>
      <w:sz w:val="20"/>
    </w:rPr>
  </w:style>
  <w:style w:type="character" w:customStyle="1" w:styleId="PlainTextChar">
    <w:name w:val="Plain Text Char"/>
    <w:basedOn w:val="DefaultParagraphFont"/>
    <w:link w:val="PlainText"/>
    <w:rsid w:val="006C0A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A24"/>
    <w:rPr>
      <w:b/>
      <w:smallCaps/>
    </w:rPr>
  </w:style>
  <w:style w:type="paragraph" w:customStyle="1" w:styleId="TableListNumber">
    <w:name w:val="Table List Number"/>
    <w:basedOn w:val="ListNumber"/>
    <w:rsid w:val="006C0A24"/>
    <w:pPr>
      <w:numPr>
        <w:numId w:val="0"/>
      </w:numPr>
    </w:pPr>
  </w:style>
  <w:style w:type="paragraph" w:styleId="TOC4">
    <w:name w:val="toc 4"/>
    <w:basedOn w:val="TOCBase"/>
    <w:next w:val="Normal"/>
    <w:semiHidden/>
    <w:rsid w:val="006C0A24"/>
    <w:pPr>
      <w:tabs>
        <w:tab w:val="right" w:leader="dot" w:pos="9071"/>
      </w:tabs>
      <w:ind w:left="1701"/>
    </w:pPr>
  </w:style>
  <w:style w:type="paragraph" w:customStyle="1" w:styleId="ListAlpha">
    <w:name w:val="List Alpha"/>
    <w:basedOn w:val="List"/>
    <w:rsid w:val="006C0A24"/>
    <w:pPr>
      <w:numPr>
        <w:numId w:val="9"/>
      </w:numPr>
    </w:pPr>
  </w:style>
  <w:style w:type="paragraph" w:customStyle="1" w:styleId="ListAlpha2">
    <w:name w:val="List Alpha 2"/>
    <w:basedOn w:val="List2"/>
    <w:rsid w:val="006C0A24"/>
    <w:pPr>
      <w:numPr>
        <w:numId w:val="8"/>
      </w:numPr>
    </w:pPr>
  </w:style>
  <w:style w:type="paragraph" w:styleId="List2">
    <w:name w:val="List 2"/>
    <w:basedOn w:val="BodyText"/>
    <w:rsid w:val="006C0A24"/>
    <w:pPr>
      <w:tabs>
        <w:tab w:val="left" w:pos="680"/>
      </w:tabs>
      <w:spacing w:before="60" w:after="60"/>
      <w:ind w:left="680" w:hanging="340"/>
    </w:pPr>
  </w:style>
  <w:style w:type="paragraph" w:styleId="List3">
    <w:name w:val="List 3"/>
    <w:basedOn w:val="BodyText"/>
    <w:rsid w:val="006C0A24"/>
    <w:pPr>
      <w:tabs>
        <w:tab w:val="left" w:pos="1021"/>
      </w:tabs>
      <w:spacing w:before="60" w:after="60"/>
      <w:ind w:left="1020" w:hanging="340"/>
    </w:pPr>
  </w:style>
  <w:style w:type="paragraph" w:styleId="List4">
    <w:name w:val="List 4"/>
    <w:basedOn w:val="BodyText"/>
    <w:rsid w:val="006C0A24"/>
    <w:pPr>
      <w:tabs>
        <w:tab w:val="left" w:pos="1361"/>
      </w:tabs>
      <w:spacing w:before="60" w:after="60"/>
      <w:ind w:left="1361" w:hanging="340"/>
    </w:pPr>
  </w:style>
  <w:style w:type="paragraph" w:styleId="List5">
    <w:name w:val="List 5"/>
    <w:basedOn w:val="BodyText"/>
    <w:rsid w:val="006C0A24"/>
    <w:pPr>
      <w:tabs>
        <w:tab w:val="left" w:pos="1701"/>
      </w:tabs>
      <w:spacing w:before="60" w:after="60"/>
      <w:ind w:left="1701" w:hanging="340"/>
    </w:pPr>
  </w:style>
  <w:style w:type="paragraph" w:styleId="ListBullet3">
    <w:name w:val="List Bullet 3"/>
    <w:basedOn w:val="List3"/>
    <w:rsid w:val="006C0A24"/>
    <w:pPr>
      <w:numPr>
        <w:numId w:val="15"/>
      </w:numPr>
      <w:tabs>
        <w:tab w:val="clear" w:pos="1021"/>
      </w:tabs>
      <w:ind w:left="1037" w:hanging="357"/>
    </w:pPr>
  </w:style>
  <w:style w:type="paragraph" w:styleId="ListBullet4">
    <w:name w:val="List Bullet 4"/>
    <w:basedOn w:val="List4"/>
    <w:rsid w:val="006C0A24"/>
    <w:pPr>
      <w:numPr>
        <w:numId w:val="3"/>
      </w:numPr>
    </w:pPr>
  </w:style>
  <w:style w:type="paragraph" w:styleId="ListBullet5">
    <w:name w:val="List Bullet 5"/>
    <w:basedOn w:val="List5"/>
    <w:rsid w:val="006C0A24"/>
    <w:pPr>
      <w:numPr>
        <w:numId w:val="4"/>
      </w:numPr>
    </w:pPr>
  </w:style>
  <w:style w:type="paragraph" w:styleId="ListContinue2">
    <w:name w:val="List Continue 2"/>
    <w:basedOn w:val="List2"/>
    <w:rsid w:val="006C0A24"/>
    <w:pPr>
      <w:ind w:firstLine="0"/>
    </w:pPr>
  </w:style>
  <w:style w:type="paragraph" w:styleId="ListContinue3">
    <w:name w:val="List Continue 3"/>
    <w:basedOn w:val="List3"/>
    <w:rsid w:val="006C0A24"/>
    <w:pPr>
      <w:ind w:left="1021" w:firstLine="0"/>
    </w:pPr>
  </w:style>
  <w:style w:type="paragraph" w:styleId="ListContinue4">
    <w:name w:val="List Continue 4"/>
    <w:basedOn w:val="List4"/>
    <w:rsid w:val="006C0A24"/>
    <w:pPr>
      <w:ind w:firstLine="0"/>
    </w:pPr>
  </w:style>
  <w:style w:type="paragraph" w:styleId="ListContinue5">
    <w:name w:val="List Continue 5"/>
    <w:basedOn w:val="List5"/>
    <w:rsid w:val="006C0A24"/>
    <w:pPr>
      <w:ind w:firstLine="0"/>
    </w:pPr>
  </w:style>
  <w:style w:type="paragraph" w:styleId="ListNumber3">
    <w:name w:val="List Number 3"/>
    <w:basedOn w:val="List3"/>
    <w:rsid w:val="006C0A24"/>
    <w:pPr>
      <w:numPr>
        <w:numId w:val="5"/>
      </w:numPr>
    </w:pPr>
  </w:style>
  <w:style w:type="paragraph" w:styleId="ListNumber4">
    <w:name w:val="List Number 4"/>
    <w:basedOn w:val="List4"/>
    <w:rsid w:val="006C0A24"/>
    <w:pPr>
      <w:numPr>
        <w:numId w:val="6"/>
      </w:numPr>
    </w:pPr>
  </w:style>
  <w:style w:type="paragraph" w:styleId="ListNumber5">
    <w:name w:val="List Number 5"/>
    <w:basedOn w:val="List5"/>
    <w:rsid w:val="006C0A24"/>
    <w:pPr>
      <w:numPr>
        <w:numId w:val="7"/>
      </w:numPr>
    </w:pPr>
  </w:style>
  <w:style w:type="paragraph" w:styleId="BlockText">
    <w:name w:val="Block Text"/>
    <w:basedOn w:val="Normal"/>
    <w:rsid w:val="006C0A24"/>
    <w:pPr>
      <w:spacing w:after="120"/>
      <w:ind w:left="1440" w:right="1440"/>
    </w:pPr>
  </w:style>
  <w:style w:type="character" w:customStyle="1" w:styleId="Subscript">
    <w:name w:val="Subscript"/>
    <w:basedOn w:val="DefaultParagraphFont"/>
    <w:rsid w:val="006C0A24"/>
    <w:rPr>
      <w:sz w:val="16"/>
      <w:vertAlign w:val="subscript"/>
    </w:rPr>
  </w:style>
  <w:style w:type="character" w:customStyle="1" w:styleId="Superscript">
    <w:name w:val="Superscript"/>
    <w:basedOn w:val="DefaultParagraphFont"/>
    <w:rsid w:val="006C0A24"/>
    <w:rPr>
      <w:sz w:val="16"/>
      <w:vertAlign w:val="superscript"/>
    </w:rPr>
  </w:style>
  <w:style w:type="character" w:customStyle="1" w:styleId="Symbols">
    <w:name w:val="Symbols"/>
    <w:basedOn w:val="DefaultParagraphFont"/>
    <w:rsid w:val="006C0A24"/>
    <w:rPr>
      <w:rFonts w:ascii="Symbol" w:hAnsi="Symbol"/>
    </w:rPr>
  </w:style>
  <w:style w:type="character" w:customStyle="1" w:styleId="MenuOptions">
    <w:name w:val="Menu Options"/>
    <w:basedOn w:val="DefaultParagraphFont"/>
    <w:rsid w:val="006C0A24"/>
    <w:rPr>
      <w:rFonts w:ascii="Arial Narrow" w:hAnsi="Arial Narrow"/>
      <w:smallCaps/>
    </w:rPr>
  </w:style>
  <w:style w:type="character" w:customStyle="1" w:styleId="Buttons">
    <w:name w:val="Buttons"/>
    <w:basedOn w:val="DefaultParagraphFont"/>
    <w:rsid w:val="006C0A24"/>
    <w:rPr>
      <w:b/>
    </w:rPr>
  </w:style>
  <w:style w:type="character" w:customStyle="1" w:styleId="Underlined">
    <w:name w:val="Underlined"/>
    <w:basedOn w:val="DefaultParagraphFont"/>
    <w:rsid w:val="006C0A24"/>
    <w:rPr>
      <w:u w:val="single"/>
    </w:rPr>
  </w:style>
  <w:style w:type="paragraph" w:customStyle="1" w:styleId="TableBodyTextRight">
    <w:name w:val="Table Body Text Right"/>
    <w:basedOn w:val="TableBodyText"/>
    <w:rsid w:val="006C0A24"/>
    <w:pPr>
      <w:widowControl w:val="0"/>
      <w:autoSpaceDE w:val="0"/>
      <w:autoSpaceDN w:val="0"/>
      <w:adjustRightInd w:val="0"/>
      <w:jc w:val="right"/>
    </w:pPr>
    <w:rPr>
      <w:rFonts w:cs="Arial"/>
      <w:szCs w:val="18"/>
    </w:rPr>
  </w:style>
  <w:style w:type="paragraph" w:customStyle="1" w:styleId="CopyrightText">
    <w:name w:val="Copyright Text"/>
    <w:basedOn w:val="BodyText"/>
    <w:rsid w:val="006C0A24"/>
    <w:rPr>
      <w:sz w:val="18"/>
    </w:rPr>
  </w:style>
  <w:style w:type="paragraph" w:customStyle="1" w:styleId="BodySmallRight">
    <w:name w:val="Body Small Right"/>
    <w:basedOn w:val="BodyTextRight"/>
    <w:rsid w:val="006C0A24"/>
    <w:rPr>
      <w:sz w:val="18"/>
      <w:szCs w:val="18"/>
    </w:rPr>
  </w:style>
  <w:style w:type="paragraph" w:customStyle="1" w:styleId="MarginEdition">
    <w:name w:val="Margin Edition"/>
    <w:basedOn w:val="MarginNote"/>
    <w:rsid w:val="006C0A24"/>
    <w:pPr>
      <w:spacing w:before="0" w:after="0"/>
    </w:pPr>
    <w:rPr>
      <w:rFonts w:ascii="Times New Roman" w:hAnsi="Times New Roman"/>
      <w:color w:val="999999"/>
    </w:rPr>
  </w:style>
  <w:style w:type="paragraph" w:customStyle="1" w:styleId="Spacer">
    <w:name w:val="Spacer"/>
    <w:basedOn w:val="Normal"/>
    <w:rsid w:val="006C0A24"/>
    <w:rPr>
      <w:sz w:val="2"/>
      <w:szCs w:val="2"/>
    </w:rPr>
  </w:style>
  <w:style w:type="character" w:customStyle="1" w:styleId="Small">
    <w:name w:val="Small"/>
    <w:basedOn w:val="DefaultParagraphFont"/>
    <w:rsid w:val="006C0A24"/>
    <w:rPr>
      <w:sz w:val="16"/>
    </w:rPr>
  </w:style>
  <w:style w:type="paragraph" w:customStyle="1" w:styleId="WideTable">
    <w:name w:val="Wide Table"/>
    <w:basedOn w:val="Normal"/>
    <w:rsid w:val="006C0A24"/>
    <w:pPr>
      <w:ind w:left="-1418"/>
    </w:pPr>
    <w:rPr>
      <w:sz w:val="2"/>
      <w:szCs w:val="2"/>
    </w:rPr>
  </w:style>
  <w:style w:type="character" w:styleId="PageNumber">
    <w:name w:val="page number"/>
    <w:basedOn w:val="DefaultParagraphFont"/>
    <w:rsid w:val="006C0A24"/>
  </w:style>
  <w:style w:type="paragraph" w:styleId="Quote">
    <w:name w:val="Quote"/>
    <w:basedOn w:val="Heading1"/>
    <w:link w:val="QuoteChar"/>
    <w:qFormat/>
    <w:rsid w:val="006C0A24"/>
    <w:rPr>
      <w:b w:val="0"/>
      <w:sz w:val="72"/>
      <w:szCs w:val="72"/>
      <w:lang w:val="en-NZ"/>
    </w:rPr>
  </w:style>
  <w:style w:type="character" w:customStyle="1" w:styleId="QuoteChar">
    <w:name w:val="Quote Char"/>
    <w:basedOn w:val="DefaultParagraphFont"/>
    <w:link w:val="Quote"/>
    <w:rsid w:val="006C0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A24"/>
    <w:pPr>
      <w:pageBreakBefore/>
    </w:pPr>
  </w:style>
  <w:style w:type="paragraph" w:customStyle="1" w:styleId="Border">
    <w:name w:val="Border"/>
    <w:basedOn w:val="Normal"/>
    <w:qFormat/>
    <w:rsid w:val="006C0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A24"/>
    <w:rPr>
      <w:b/>
      <w:bCs/>
      <w:i/>
      <w:iCs/>
      <w:color w:val="auto"/>
    </w:rPr>
  </w:style>
  <w:style w:type="paragraph" w:styleId="IntenseQuote">
    <w:name w:val="Intense Quote"/>
    <w:basedOn w:val="Normal"/>
    <w:next w:val="Normal"/>
    <w:link w:val="IntenseQuoteChar"/>
    <w:uiPriority w:val="30"/>
    <w:qFormat/>
    <w:rsid w:val="006C0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A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A24"/>
    <w:rPr>
      <w:smallCaps/>
      <w:color w:val="auto"/>
      <w:u w:val="single"/>
    </w:rPr>
  </w:style>
  <w:style w:type="character" w:styleId="IntenseReference">
    <w:name w:val="Intense Reference"/>
    <w:basedOn w:val="DefaultParagraphFont"/>
    <w:uiPriority w:val="32"/>
    <w:qFormat/>
    <w:rsid w:val="006C0A24"/>
    <w:rPr>
      <w:b/>
      <w:bCs/>
      <w:smallCaps/>
      <w:color w:val="auto"/>
      <w:spacing w:val="5"/>
      <w:u w:val="single"/>
    </w:rPr>
  </w:style>
  <w:style w:type="paragraph" w:customStyle="1" w:styleId="2ColumnHeading">
    <w:name w:val="2Column Heading"/>
    <w:basedOn w:val="BodyText"/>
    <w:qFormat/>
    <w:rsid w:val="006C0A24"/>
    <w:pPr>
      <w:spacing w:after="60"/>
      <w:ind w:left="-2268"/>
    </w:pPr>
    <w:rPr>
      <w:b/>
    </w:rPr>
  </w:style>
  <w:style w:type="paragraph" w:customStyle="1" w:styleId="Heading1TOC">
    <w:name w:val="Heading1 TOC"/>
    <w:basedOn w:val="Normal"/>
    <w:qFormat/>
    <w:rsid w:val="006C0A24"/>
    <w:pPr>
      <w:spacing w:before="240" w:after="120"/>
    </w:pPr>
    <w:rPr>
      <w:rFonts w:ascii="Times New Roman" w:hAnsi="Times New Roman"/>
      <w:b/>
      <w:sz w:val="32"/>
    </w:rPr>
  </w:style>
  <w:style w:type="paragraph" w:customStyle="1" w:styleId="Heading2TOC">
    <w:name w:val="Heading2 TOC"/>
    <w:basedOn w:val="Normal"/>
    <w:qFormat/>
    <w:rsid w:val="006C0A24"/>
    <w:pPr>
      <w:spacing w:before="240" w:after="60"/>
    </w:pPr>
    <w:rPr>
      <w:rFonts w:ascii="Times New Roman" w:hAnsi="Times New Roman"/>
      <w:b/>
      <w:sz w:val="28"/>
    </w:rPr>
  </w:style>
  <w:style w:type="character" w:customStyle="1" w:styleId="Underline">
    <w:name w:val="Underline"/>
    <w:basedOn w:val="DefaultParagraphFont"/>
    <w:qFormat/>
    <w:rsid w:val="006C0A24"/>
    <w:rPr>
      <w:u w:val="single"/>
    </w:rPr>
  </w:style>
  <w:style w:type="paragraph" w:styleId="BalloonText">
    <w:name w:val="Balloon Text"/>
    <w:basedOn w:val="Normal"/>
    <w:link w:val="BalloonTextChar"/>
    <w:rsid w:val="006C0A24"/>
    <w:rPr>
      <w:rFonts w:ascii="Tahoma" w:hAnsi="Tahoma" w:cs="Tahoma"/>
      <w:sz w:val="16"/>
      <w:szCs w:val="16"/>
    </w:rPr>
  </w:style>
  <w:style w:type="character" w:customStyle="1" w:styleId="BalloonTextChar">
    <w:name w:val="Balloon Text Char"/>
    <w:basedOn w:val="DefaultParagraphFont"/>
    <w:link w:val="BalloonText"/>
    <w:rsid w:val="006C0A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A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1736</Words>
  <Characters>11326</Characters>
  <Application>Microsoft Office Word</Application>
  <DocSecurity>0</DocSecurity>
  <Lines>385</Lines>
  <Paragraphs>222</Paragraphs>
  <ScaleCrop>false</ScaleCrop>
  <Company>Author-it Software Corporation Ltd.</Company>
  <LinksUpToDate>false</LinksUpToDate>
  <CharactersWithSpaces>12985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CPPDSM3007B Identify risks and opportunities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2012-05-26T06:06:00Z</dcterms:created>
  <dcterms:modified xsi:type="dcterms:W3CDTF">2012-05-26T06:06:00Z</dcterms:modified>
</cp:coreProperties>
</file>