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1D76" w:rsidP="00BB1D76">
      <w:pPr>
        <w:pStyle w:val="Title"/>
      </w:pPr>
      <w:r>
        <w:fldChar w:fldCharType="begin"/>
      </w:r>
      <w:r>
        <w:instrText xml:space="preserve"> TITLE   \* MERGEFORMAT </w:instrText>
      </w:r>
      <w:r>
        <w:fldChar w:fldCharType="separate"/>
      </w:r>
      <w:r>
        <w:t>CPPCMN5001A Plan for a sustainable business</w:t>
      </w:r>
      <w:r>
        <w:fldChar w:fldCharType="end"/>
      </w:r>
    </w:p>
    <w:p w:rsidR="00BB1D76" w:rsidP="00BB1D76">
      <w:pPr>
        <w:pStyle w:val="Version"/>
        <w:sectPr w:rsidSect="00031D0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1D0A" w:rsidP="00031D0A">
      <w:pPr>
        <w:pStyle w:val="SuperHeading"/>
      </w:pPr>
      <w:r w:rsidRPr="00031D0A">
        <w:t>CPPCMN5001A Plan for a sustainable business</w:t>
      </w:r>
    </w:p>
    <w:p w:rsidR="00000000" w:rsidRPr="00031D0A" w:rsidP="00031D0A">
      <w:pPr>
        <w:pStyle w:val="Heading1"/>
      </w:pPr>
      <w:bookmarkStart w:id="1" w:name="O_270015"/>
      <w:bookmarkEnd w:id="1"/>
      <w:r w:rsidRPr="00031D0A">
        <w:t>Modification History</w:t>
      </w:r>
    </w:p>
    <w:p w:rsidR="00000000" w:rsidRPr="00031D0A" w:rsidP="00031D0A">
      <w:pPr>
        <w:pStyle w:val="BodyText"/>
      </w:pPr>
      <w:r w:rsidRPr="00031D0A">
        <w:t>Not Applicable</w:t>
      </w:r>
    </w:p>
    <w:p w:rsidR="00000000" w:rsidRPr="00031D0A" w:rsidP="00031D0A">
      <w:pPr>
        <w:pStyle w:val="AllowPageBreak"/>
      </w:pPr>
    </w:p>
    <w:p w:rsidR="00000000" w:rsidRPr="00031D0A" w:rsidP="00031D0A">
      <w:pPr>
        <w:pStyle w:val="Heading1"/>
      </w:pPr>
      <w:bookmarkStart w:id="2" w:name="O_200730"/>
      <w:bookmarkEnd w:id="2"/>
      <w:r w:rsidRPr="00031D0A">
        <w:t>Unit Descriptor</w:t>
      </w:r>
    </w:p>
    <w:tbl>
      <w:tblPr>
        <w:tblW w:w="9576" w:type="dxa"/>
        <w:tblLayout w:type="fixed"/>
        <w:tblCellMar>
          <w:left w:w="62" w:type="dxa"/>
          <w:right w:w="62" w:type="dxa"/>
        </w:tblCellMar>
        <w:tblLook w:val="0000"/>
      </w:tblPr>
      <w:tblGrid>
        <w:gridCol w:w="2952"/>
        <w:gridCol w:w="6624"/>
      </w:tblGrid>
      <w:tr w:rsidTr="00BB1D76">
        <w:tblPrEx>
          <w:tblW w:w="9576" w:type="dxa"/>
          <w:tblLayout w:type="fixed"/>
          <w:tblCellMar>
            <w:left w:w="62" w:type="dxa"/>
            <w:right w:w="62" w:type="dxa"/>
          </w:tblCellMar>
          <w:tblLook w:val="0000"/>
        </w:tblPrEx>
        <w:tc>
          <w:tcPr>
            <w:tcW w:w="2952" w:type="dxa"/>
            <w:tcBorders>
              <w:top w:val="nil"/>
              <w:left w:val="nil"/>
              <w:bottom w:val="nil"/>
              <w:right w:val="nil"/>
            </w:tcBorders>
            <w:tcMar>
              <w:top w:w="0" w:type="dxa"/>
              <w:left w:w="62" w:type="dxa"/>
              <w:bottom w:w="0" w:type="dxa"/>
              <w:right w:w="62" w:type="dxa"/>
            </w:tcMar>
          </w:tcPr>
          <w:p w:rsidR="00000000" w:rsidP="00031D0A">
            <w:pPr>
              <w:pStyle w:val="BodyText"/>
              <w:rPr>
                <w:lang w:val="en-NZ"/>
              </w:rPr>
            </w:pPr>
            <w:r w:rsidRPr="00031D0A">
              <w:rPr>
                <w:rStyle w:val="SpecialBold"/>
              </w:rPr>
              <w:t>Unit descriptor</w:t>
            </w:r>
          </w:p>
        </w:tc>
        <w:tc>
          <w:tcPr>
            <w:tcW w:w="6624" w:type="dxa"/>
            <w:tcBorders>
              <w:top w:val="nil"/>
              <w:left w:val="nil"/>
              <w:bottom w:val="nil"/>
              <w:right w:val="nil"/>
            </w:tcBorders>
            <w:tcMar>
              <w:top w:w="0" w:type="dxa"/>
              <w:left w:w="62" w:type="dxa"/>
              <w:bottom w:w="0" w:type="dxa"/>
              <w:right w:w="62" w:type="dxa"/>
            </w:tcMar>
          </w:tcPr>
          <w:p w:rsidR="00000000" w:rsidRPr="00031D0A" w:rsidP="00031D0A">
            <w:pPr>
              <w:pStyle w:val="BodyText"/>
            </w:pPr>
            <w:r w:rsidRPr="00031D0A">
              <w:t>This unit of competency specifies the outcomes required to plan sustainable business operations.</w:t>
            </w:r>
          </w:p>
          <w:p w:rsidR="00000000" w:rsidRPr="00031D0A" w:rsidP="00031D0A">
            <w:pPr>
              <w:pStyle w:val="BodyText"/>
            </w:pPr>
            <w:r w:rsidRPr="00031D0A">
              <w:t>The unit cov</w:t>
            </w:r>
            <w:r w:rsidRPr="00031D0A">
              <w:t>ers the skills and knowledge required to develop plans and strategies to ensure a business is successful in addressing factors that lead to economic, social and environmental sustainability.</w:t>
            </w:r>
          </w:p>
          <w:p w:rsidR="00000000" w:rsidRPr="00031D0A" w:rsidP="00031D0A">
            <w:pPr>
              <w:pStyle w:val="BodyText"/>
            </w:pPr>
            <w:r w:rsidRPr="00031D0A">
              <w:t>Planning skills and the ability to review sustainable policies an</w:t>
            </w:r>
            <w:r w:rsidRPr="00031D0A">
              <w:t>d practices are important. Understanding resourcing implications and the ability to put in place appropriate measures of sustainability outcomes are also essential for success.</w:t>
            </w:r>
          </w:p>
          <w:p w:rsidR="00000000" w:rsidRPr="00031D0A" w:rsidP="00031D0A">
            <w:pPr>
              <w:pStyle w:val="BodyText"/>
            </w:pPr>
            <w:r w:rsidRPr="00031D0A">
              <w:t>No licensing, legislative, regulatory or certification requirements apply to th</w:t>
            </w:r>
            <w:r w:rsidRPr="00031D0A">
              <w:t>is unit at the time of publication.</w:t>
            </w:r>
          </w:p>
        </w:tc>
      </w:tr>
    </w:tbl>
    <w:p w:rsidR="00BB1D76" w:rsidP="00031D0A">
      <w:pPr>
        <w:pStyle w:val="BodyText"/>
      </w:pPr>
    </w:p>
    <w:p w:rsidR="00BB1D76" w:rsidP="00031D0A">
      <w:pPr>
        <w:pStyle w:val="BodyText"/>
      </w:pPr>
    </w:p>
    <w:p w:rsidR="00000000" w:rsidRPr="00031D0A" w:rsidP="00031D0A">
      <w:pPr>
        <w:pStyle w:val="Heading1"/>
      </w:pPr>
      <w:bookmarkStart w:id="3" w:name="O_200733"/>
      <w:bookmarkEnd w:id="3"/>
      <w:r w:rsidRPr="00031D0A">
        <w:t>Application of the Unit</w:t>
      </w:r>
    </w:p>
    <w:tbl>
      <w:tblPr>
        <w:tblW w:w="9576" w:type="dxa"/>
        <w:tblLayout w:type="fixed"/>
        <w:tblCellMar>
          <w:left w:w="62" w:type="dxa"/>
          <w:right w:w="62" w:type="dxa"/>
        </w:tblCellMar>
        <w:tblLook w:val="0000"/>
      </w:tblPr>
      <w:tblGrid>
        <w:gridCol w:w="2952"/>
        <w:gridCol w:w="6624"/>
      </w:tblGrid>
      <w:tr w:rsidTr="00BB1D76">
        <w:tblPrEx>
          <w:tblW w:w="9576" w:type="dxa"/>
          <w:tblLayout w:type="fixed"/>
          <w:tblCellMar>
            <w:left w:w="62" w:type="dxa"/>
            <w:right w:w="62" w:type="dxa"/>
          </w:tblCellMar>
          <w:tblLook w:val="0000"/>
        </w:tblPrEx>
        <w:trPr>
          <w:tblHeader/>
        </w:trPr>
        <w:tc>
          <w:tcPr>
            <w:tcW w:w="2952" w:type="dxa"/>
            <w:tcBorders>
              <w:top w:val="nil"/>
              <w:left w:val="nil"/>
              <w:bottom w:val="nil"/>
              <w:right w:val="nil"/>
            </w:tcBorders>
            <w:tcMar>
              <w:top w:w="0" w:type="dxa"/>
              <w:left w:w="62" w:type="dxa"/>
              <w:bottom w:w="0" w:type="dxa"/>
              <w:right w:w="62" w:type="dxa"/>
            </w:tcMar>
          </w:tcPr>
          <w:p w:rsidR="00000000" w:rsidP="00031D0A">
            <w:pPr>
              <w:pStyle w:val="BodyText"/>
              <w:rPr>
                <w:lang w:val="en-NZ"/>
              </w:rPr>
            </w:pPr>
            <w:r w:rsidRPr="00031D0A">
              <w:rPr>
                <w:rStyle w:val="SpecialBold"/>
              </w:rPr>
              <w:t>Application of the unit</w:t>
            </w:r>
          </w:p>
        </w:tc>
        <w:tc>
          <w:tcPr>
            <w:tcW w:w="6624" w:type="dxa"/>
            <w:tcBorders>
              <w:top w:val="nil"/>
              <w:left w:val="nil"/>
              <w:bottom w:val="nil"/>
              <w:right w:val="nil"/>
            </w:tcBorders>
            <w:tcMar>
              <w:top w:w="0" w:type="dxa"/>
              <w:left w:w="62" w:type="dxa"/>
              <w:bottom w:w="0" w:type="dxa"/>
              <w:right w:w="62" w:type="dxa"/>
            </w:tcMar>
          </w:tcPr>
          <w:p w:rsidR="00000000" w:rsidRPr="00031D0A" w:rsidP="00031D0A">
            <w:pPr>
              <w:pStyle w:val="BodyText"/>
            </w:pPr>
            <w:r w:rsidRPr="00031D0A">
              <w:t>This unit of competency supports individuals responsible for managing sustainability planning.</w:t>
            </w:r>
          </w:p>
        </w:tc>
      </w:tr>
    </w:tbl>
    <w:p w:rsidR="00BB1D76" w:rsidP="00031D0A">
      <w:pPr>
        <w:pStyle w:val="BodyText"/>
      </w:pPr>
    </w:p>
    <w:p w:rsidR="00BB1D76" w:rsidP="00031D0A">
      <w:pPr>
        <w:pStyle w:val="BodyText"/>
      </w:pPr>
    </w:p>
    <w:p w:rsidR="00000000" w:rsidRPr="00031D0A" w:rsidP="00031D0A">
      <w:pPr>
        <w:pStyle w:val="Heading1"/>
      </w:pPr>
      <w:bookmarkStart w:id="4" w:name="O_278275"/>
      <w:bookmarkEnd w:id="4"/>
      <w:r w:rsidRPr="00031D0A">
        <w:t>Licensing/Regulatory Information</w:t>
      </w:r>
    </w:p>
    <w:p w:rsidR="00000000" w:rsidRPr="00031D0A" w:rsidP="00031D0A">
      <w:pPr>
        <w:pStyle w:val="BodyText"/>
      </w:pPr>
      <w:r w:rsidRPr="00031D0A">
        <w:t>Refer to Unit Descriptor</w:t>
      </w:r>
    </w:p>
    <w:p w:rsidR="00000000" w:rsidRPr="00031D0A" w:rsidP="00031D0A">
      <w:pPr>
        <w:pStyle w:val="AllowPageBreak"/>
      </w:pPr>
    </w:p>
    <w:p w:rsidR="00000000" w:rsidRPr="00031D0A" w:rsidP="00031D0A">
      <w:pPr>
        <w:pStyle w:val="Heading1"/>
      </w:pPr>
      <w:bookmarkStart w:id="5" w:name="O_200732"/>
      <w:bookmarkEnd w:id="5"/>
      <w:r w:rsidRPr="00031D0A">
        <w:t>Pre-Requisites</w:t>
      </w:r>
    </w:p>
    <w:tbl>
      <w:tblPr>
        <w:tblW w:w="9576" w:type="dxa"/>
        <w:tblLayout w:type="fixed"/>
        <w:tblCellMar>
          <w:left w:w="62" w:type="dxa"/>
          <w:right w:w="62" w:type="dxa"/>
        </w:tblCellMar>
        <w:tblLook w:val="0000"/>
      </w:tblPr>
      <w:tblGrid>
        <w:gridCol w:w="2688"/>
        <w:gridCol w:w="6888"/>
      </w:tblGrid>
      <w:tr w:rsidTr="00BB1D76">
        <w:tblPrEx>
          <w:tblW w:w="9576" w:type="dxa"/>
          <w:tblLayout w:type="fixed"/>
          <w:tblCellMar>
            <w:left w:w="62" w:type="dxa"/>
            <w:right w:w="62" w:type="dxa"/>
          </w:tblCellMar>
          <w:tblLook w:val="0000"/>
        </w:tblPrEx>
        <w:trPr>
          <w:tblHeader/>
        </w:trPr>
        <w:tc>
          <w:tcPr>
            <w:tcW w:w="2688" w:type="dxa"/>
            <w:tcBorders>
              <w:top w:val="nil"/>
              <w:left w:val="nil"/>
              <w:bottom w:val="nil"/>
              <w:right w:val="nil"/>
            </w:tcBorders>
            <w:tcMar>
              <w:top w:w="0" w:type="dxa"/>
              <w:left w:w="62" w:type="dxa"/>
              <w:bottom w:w="0" w:type="dxa"/>
              <w:right w:w="62" w:type="dxa"/>
            </w:tcMar>
          </w:tcPr>
          <w:p w:rsidR="00000000" w:rsidP="00031D0A">
            <w:pPr>
              <w:pStyle w:val="BodyText"/>
              <w:rPr>
                <w:lang w:val="en-NZ"/>
              </w:rPr>
            </w:pPr>
            <w:r w:rsidRPr="00031D0A">
              <w:rPr>
                <w:rStyle w:val="SpecialBold"/>
              </w:rPr>
              <w:t>Prerequisite units</w:t>
            </w:r>
          </w:p>
        </w:tc>
        <w:tc>
          <w:tcPr>
            <w:tcW w:w="6888" w:type="dxa"/>
            <w:tcBorders>
              <w:top w:val="nil"/>
              <w:left w:val="nil"/>
              <w:bottom w:val="nil"/>
              <w:right w:val="nil"/>
            </w:tcBorders>
            <w:tcMar>
              <w:top w:w="0" w:type="dxa"/>
              <w:left w:w="62" w:type="dxa"/>
              <w:bottom w:w="0" w:type="dxa"/>
              <w:right w:w="62" w:type="dxa"/>
            </w:tcMar>
          </w:tcPr>
          <w:p w:rsidR="00000000" w:rsidRPr="00031D0A" w:rsidP="00031D0A">
            <w:pPr>
              <w:pStyle w:val="BodyText"/>
            </w:pPr>
            <w:r w:rsidRPr="00031D0A">
              <w:t>Nil</w:t>
            </w:r>
          </w:p>
        </w:tc>
      </w:tr>
    </w:tbl>
    <w:p w:rsidR="00BB1D76" w:rsidP="00031D0A">
      <w:pPr>
        <w:pStyle w:val="BodyText"/>
      </w:pPr>
    </w:p>
    <w:p w:rsidR="00BB1D76" w:rsidP="00031D0A">
      <w:pPr>
        <w:pStyle w:val="BodyText"/>
      </w:pPr>
    </w:p>
    <w:p w:rsidR="00000000" w:rsidRPr="00031D0A" w:rsidP="00031D0A">
      <w:pPr>
        <w:pStyle w:val="Heading1"/>
      </w:pPr>
      <w:bookmarkStart w:id="6" w:name="O_200731"/>
      <w:bookmarkEnd w:id="6"/>
      <w:r w:rsidRPr="00031D0A">
        <w:t>Employability Skills Information</w:t>
      </w:r>
    </w:p>
    <w:tbl>
      <w:tblPr>
        <w:tblW w:w="9576" w:type="dxa"/>
        <w:tblLayout w:type="fixed"/>
        <w:tblCellMar>
          <w:left w:w="62" w:type="dxa"/>
          <w:right w:w="62" w:type="dxa"/>
        </w:tblCellMar>
        <w:tblLook w:val="0000"/>
      </w:tblPr>
      <w:tblGrid>
        <w:gridCol w:w="2952"/>
        <w:gridCol w:w="6624"/>
      </w:tblGrid>
      <w:tr w:rsidTr="00BB1D76">
        <w:tblPrEx>
          <w:tblW w:w="9576" w:type="dxa"/>
          <w:tblLayout w:type="fixed"/>
          <w:tblCellMar>
            <w:left w:w="62" w:type="dxa"/>
            <w:right w:w="62" w:type="dxa"/>
          </w:tblCellMar>
          <w:tblLook w:val="0000"/>
        </w:tblPrEx>
        <w:trPr>
          <w:tblHeader/>
        </w:trPr>
        <w:tc>
          <w:tcPr>
            <w:tcW w:w="2952" w:type="dxa"/>
            <w:tcBorders>
              <w:top w:val="nil"/>
              <w:left w:val="nil"/>
              <w:bottom w:val="nil"/>
              <w:right w:val="nil"/>
            </w:tcBorders>
            <w:tcMar>
              <w:top w:w="0" w:type="dxa"/>
              <w:left w:w="62" w:type="dxa"/>
              <w:bottom w:w="0" w:type="dxa"/>
              <w:right w:w="62" w:type="dxa"/>
            </w:tcMar>
          </w:tcPr>
          <w:p w:rsidR="00000000" w:rsidP="00031D0A">
            <w:pPr>
              <w:pStyle w:val="BodyText"/>
              <w:rPr>
                <w:lang w:val="en-NZ"/>
              </w:rPr>
            </w:pPr>
            <w:r w:rsidRPr="00031D0A">
              <w:rPr>
                <w:rStyle w:val="SpecialBold"/>
              </w:rPr>
              <w:t>Employability skills</w:t>
            </w:r>
          </w:p>
        </w:tc>
        <w:tc>
          <w:tcPr>
            <w:tcW w:w="6624" w:type="dxa"/>
            <w:tcBorders>
              <w:top w:val="nil"/>
              <w:left w:val="nil"/>
              <w:bottom w:val="nil"/>
              <w:right w:val="nil"/>
            </w:tcBorders>
            <w:tcMar>
              <w:top w:w="0" w:type="dxa"/>
              <w:left w:w="62" w:type="dxa"/>
              <w:bottom w:w="0" w:type="dxa"/>
              <w:right w:w="62" w:type="dxa"/>
            </w:tcMar>
          </w:tcPr>
          <w:p w:rsidR="00000000" w:rsidRPr="00031D0A" w:rsidP="00031D0A">
            <w:pPr>
              <w:pStyle w:val="BodyText"/>
            </w:pPr>
            <w:r w:rsidRPr="00031D0A">
              <w:t>This unit contains employability skills.</w:t>
            </w:r>
          </w:p>
        </w:tc>
      </w:tr>
    </w:tbl>
    <w:p w:rsidR="00BB1D76" w:rsidP="00031D0A">
      <w:pPr>
        <w:pStyle w:val="BodyText"/>
      </w:pPr>
    </w:p>
    <w:p w:rsidR="00BB1D76" w:rsidP="00031D0A">
      <w:pPr>
        <w:pStyle w:val="BodyText"/>
      </w:pPr>
    </w:p>
    <w:p w:rsidR="00000000" w:rsidRPr="00031D0A" w:rsidP="00031D0A">
      <w:pPr>
        <w:pStyle w:val="Heading1"/>
      </w:pPr>
      <w:bookmarkStart w:id="7" w:name="O_288061"/>
      <w:bookmarkEnd w:id="7"/>
      <w:r w:rsidRPr="00031D0A">
        <w:t>Elements and Performance Criteria Pre-Content</w:t>
      </w:r>
    </w:p>
    <w:tbl>
      <w:tblPr>
        <w:tblW w:w="0" w:type="auto"/>
        <w:tblLayout w:type="fixed"/>
        <w:tblCellMar>
          <w:left w:w="62" w:type="dxa"/>
          <w:right w:w="62" w:type="dxa"/>
        </w:tblCellMar>
        <w:tblLook w:val="0000"/>
      </w:tblPr>
      <w:tblGrid>
        <w:gridCol w:w="2624"/>
        <w:gridCol w:w="5898"/>
      </w:tblGrid>
      <w:tr w:rsidTr="00BB1D76">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031D0A">
            <w:pPr>
              <w:pStyle w:val="BodyText"/>
              <w:rPr>
                <w:lang w:val="en-NZ"/>
              </w:rPr>
            </w:pPr>
            <w:r w:rsidRPr="00031D0A">
              <w:t>Elements describe the essential outcomes of a unit of competency.</w:t>
            </w:r>
          </w:p>
        </w:tc>
        <w:tc>
          <w:tcPr>
            <w:tcW w:w="5898" w:type="dxa"/>
            <w:tcBorders>
              <w:top w:val="nil"/>
              <w:left w:val="nil"/>
              <w:bottom w:val="nil"/>
              <w:right w:val="nil"/>
            </w:tcBorders>
            <w:tcMar>
              <w:top w:w="0" w:type="dxa"/>
              <w:left w:w="62" w:type="dxa"/>
              <w:bottom w:w="0" w:type="dxa"/>
              <w:right w:w="62" w:type="dxa"/>
            </w:tcMar>
          </w:tcPr>
          <w:p w:rsidR="00000000" w:rsidRPr="00031D0A" w:rsidP="00031D0A">
            <w:pPr>
              <w:pStyle w:val="BodyText"/>
            </w:pPr>
            <w:r w:rsidRPr="00031D0A">
              <w:t xml:space="preserve">Performance criteria describe the performance needed to demonstrate achievement of the element. Where bold italicised text is used, further </w:t>
            </w:r>
            <w:r w:rsidRPr="00031D0A">
              <w:t>information is detailed in the required skills and knowledge section and the range statement. Assessment of performance is to be consistent with the evidence guide.</w:t>
            </w:r>
          </w:p>
        </w:tc>
      </w:tr>
    </w:tbl>
    <w:p w:rsidR="00000000" w:rsidRPr="00031D0A" w:rsidP="00031D0A">
      <w:pPr>
        <w:pStyle w:val="BodyText"/>
      </w:pPr>
    </w:p>
    <w:p w:rsidR="00000000" w:rsidRPr="00031D0A" w:rsidP="00031D0A">
      <w:pPr>
        <w:pStyle w:val="AllowPageBreak"/>
      </w:pPr>
    </w:p>
    <w:p w:rsidR="00000000" w:rsidRPr="00031D0A" w:rsidP="00031D0A">
      <w:pPr>
        <w:pStyle w:val="Heading1"/>
      </w:pPr>
      <w:bookmarkStart w:id="8" w:name="O_234728"/>
      <w:bookmarkEnd w:id="8"/>
      <w:r w:rsidRPr="00031D0A">
        <w:t>Elements and Performance Criteria</w:t>
      </w:r>
    </w:p>
    <w:tbl>
      <w:tblPr>
        <w:tblW w:w="0" w:type="auto"/>
        <w:tblLayout w:type="fixed"/>
        <w:tblCellMar>
          <w:left w:w="62" w:type="dxa"/>
          <w:right w:w="62" w:type="dxa"/>
        </w:tblCellMar>
        <w:tblLook w:val="0000"/>
      </w:tblPr>
      <w:tblGrid>
        <w:gridCol w:w="2624"/>
        <w:gridCol w:w="5898"/>
      </w:tblGrid>
      <w:tr w:rsidTr="00BB1D76">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RPr="00031D0A" w:rsidP="00031D0A">
            <w:pPr>
              <w:pStyle w:val="BodyText"/>
            </w:pPr>
            <w:r w:rsidRPr="00031D0A">
              <w:rPr>
                <w:rStyle w:val="SpecialBold"/>
              </w:rPr>
              <w:t>ELEMENT</w:t>
            </w:r>
          </w:p>
        </w:tc>
        <w:tc>
          <w:tcPr>
            <w:tcW w:w="5898" w:type="dxa"/>
            <w:tcBorders>
              <w:top w:val="nil"/>
              <w:left w:val="nil"/>
              <w:bottom w:val="nil"/>
              <w:right w:val="nil"/>
            </w:tcBorders>
            <w:tcMar>
              <w:top w:w="0" w:type="dxa"/>
              <w:left w:w="62" w:type="dxa"/>
              <w:bottom w:w="0" w:type="dxa"/>
              <w:right w:w="62" w:type="dxa"/>
            </w:tcMar>
          </w:tcPr>
          <w:p w:rsidR="00000000" w:rsidP="00031D0A">
            <w:pPr>
              <w:pStyle w:val="BodyText"/>
              <w:rPr>
                <w:lang w:val="en-NZ"/>
              </w:rPr>
            </w:pPr>
            <w:r w:rsidRPr="00031D0A">
              <w:rPr>
                <w:rStyle w:val="SpecialBold"/>
              </w:rPr>
              <w:t>PERFORMANCE CRITERIA</w:t>
            </w:r>
          </w:p>
        </w:tc>
      </w:tr>
      <w:tr w:rsidTr="00BB1D76">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031D0A">
            <w:pPr>
              <w:pStyle w:val="List"/>
              <w:rPr>
                <w:lang w:val="en-NZ"/>
              </w:rPr>
            </w:pPr>
            <w:r w:rsidRPr="00031D0A">
              <w:t>1.</w:t>
            </w:r>
            <w:r w:rsidRPr="00031D0A">
              <w:tab/>
            </w:r>
            <w:r w:rsidRPr="00031D0A">
              <w:rPr>
                <w:rStyle w:val="SpecialBold"/>
              </w:rPr>
              <w:t>Infor</w:t>
            </w:r>
            <w:r w:rsidRPr="00031D0A">
              <w:rPr>
                <w:rStyle w:val="SpecialBold"/>
              </w:rPr>
              <w:t>m the development of a plan for sustainability</w:t>
            </w:r>
            <w:r w:rsidRPr="00031D0A">
              <w:t>.</w:t>
            </w:r>
          </w:p>
        </w:tc>
        <w:tc>
          <w:tcPr>
            <w:tcW w:w="5898" w:type="dxa"/>
            <w:tcBorders>
              <w:top w:val="nil"/>
              <w:left w:val="nil"/>
              <w:bottom w:val="nil"/>
              <w:right w:val="nil"/>
            </w:tcBorders>
            <w:tcMar>
              <w:top w:w="0" w:type="dxa"/>
              <w:left w:w="62" w:type="dxa"/>
              <w:bottom w:w="0" w:type="dxa"/>
              <w:right w:w="62" w:type="dxa"/>
            </w:tcMar>
          </w:tcPr>
          <w:p w:rsidR="00000000" w:rsidRPr="00031D0A" w:rsidP="00031D0A">
            <w:pPr>
              <w:pStyle w:val="BodyText"/>
            </w:pPr>
            <w:r w:rsidRPr="00031D0A">
              <w:t>1.1</w:t>
            </w:r>
            <w:r w:rsidRPr="00031D0A">
              <w:tab/>
            </w:r>
            <w:r w:rsidRPr="00031D0A">
              <w:rPr>
                <w:rStyle w:val="BoldandItalics"/>
              </w:rPr>
              <w:t>Research</w:t>
            </w:r>
            <w:r w:rsidRPr="00031D0A">
              <w:t xml:space="preserve"> into the aspects of </w:t>
            </w:r>
            <w:r w:rsidRPr="00031D0A">
              <w:rPr>
                <w:rStyle w:val="BoldandItalics"/>
              </w:rPr>
              <w:t>sustainability</w:t>
            </w:r>
            <w:r w:rsidRPr="00031D0A">
              <w:t xml:space="preserve"> is conducted and analysed. </w:t>
            </w:r>
          </w:p>
          <w:p w:rsidR="00000000" w:rsidRPr="00031D0A" w:rsidP="00031D0A">
            <w:pPr>
              <w:pStyle w:val="BodyText"/>
            </w:pPr>
            <w:r w:rsidRPr="00031D0A">
              <w:t>1.2</w:t>
            </w:r>
            <w:r w:rsidRPr="00031D0A">
              <w:tab/>
              <w:t>Regulations applying to the sustainable operation of the business are identified.</w:t>
            </w:r>
          </w:p>
          <w:p w:rsidR="00000000" w:rsidRPr="00031D0A" w:rsidP="00031D0A">
            <w:pPr>
              <w:pStyle w:val="BodyText"/>
            </w:pPr>
            <w:r w:rsidRPr="00031D0A">
              <w:t>1.3</w:t>
            </w:r>
            <w:r w:rsidRPr="00031D0A">
              <w:tab/>
              <w:t xml:space="preserve">Procedures for assessing </w:t>
            </w:r>
            <w:r w:rsidRPr="00031D0A">
              <w:rPr>
                <w:rStyle w:val="BoldandItalics"/>
              </w:rPr>
              <w:t>compliance</w:t>
            </w:r>
            <w:r w:rsidRPr="00031D0A">
              <w:t xml:space="preserve"> with s</w:t>
            </w:r>
            <w:r w:rsidRPr="00031D0A">
              <w:t>ustainability regulations are evaluated.</w:t>
            </w:r>
          </w:p>
          <w:p w:rsidR="00000000" w:rsidP="00031D0A">
            <w:pPr>
              <w:pStyle w:val="BodyText"/>
              <w:rPr>
                <w:lang w:val="en-NZ"/>
              </w:rPr>
            </w:pPr>
            <w:r w:rsidRPr="00031D0A">
              <w:t>1.4</w:t>
            </w:r>
            <w:r w:rsidRPr="00031D0A">
              <w:tab/>
              <w:t xml:space="preserve">Concepts of </w:t>
            </w:r>
            <w:r w:rsidRPr="00031D0A">
              <w:rPr>
                <w:rStyle w:val="BoldandItalics"/>
              </w:rPr>
              <w:t>triple bottom line</w:t>
            </w:r>
            <w:r w:rsidRPr="00031D0A">
              <w:t xml:space="preserve"> planning, budgeting and reporting are reviewed and used to inform the planning process.</w:t>
            </w:r>
          </w:p>
        </w:tc>
      </w:tr>
      <w:tr w:rsidTr="00BB1D76">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031D0A">
            <w:pPr>
              <w:pStyle w:val="BodyText"/>
              <w:rPr>
                <w:lang w:val="en-NZ"/>
              </w:rPr>
            </w:pPr>
            <w:r w:rsidRPr="00031D0A">
              <w:rPr>
                <w:rStyle w:val="SpecialBold"/>
              </w:rPr>
              <w:t>2</w:t>
            </w:r>
            <w:r w:rsidRPr="00031D0A">
              <w:t>.</w:t>
            </w:r>
            <w:r w:rsidRPr="00031D0A">
              <w:tab/>
            </w:r>
            <w:r w:rsidRPr="00031D0A">
              <w:rPr>
                <w:rStyle w:val="SpecialBold"/>
              </w:rPr>
              <w:t>Review current sustainable business practices</w:t>
            </w:r>
            <w:r w:rsidRPr="00031D0A">
              <w:t>.</w:t>
            </w:r>
          </w:p>
        </w:tc>
        <w:tc>
          <w:tcPr>
            <w:tcW w:w="5898" w:type="dxa"/>
            <w:tcBorders>
              <w:top w:val="nil"/>
              <w:left w:val="nil"/>
              <w:bottom w:val="nil"/>
              <w:right w:val="nil"/>
            </w:tcBorders>
            <w:tcMar>
              <w:top w:w="0" w:type="dxa"/>
              <w:left w:w="62" w:type="dxa"/>
              <w:bottom w:w="0" w:type="dxa"/>
              <w:right w:w="62" w:type="dxa"/>
            </w:tcMar>
          </w:tcPr>
          <w:p w:rsidR="00000000" w:rsidRPr="00031D0A" w:rsidP="00031D0A">
            <w:pPr>
              <w:pStyle w:val="BodyText"/>
            </w:pPr>
            <w:r w:rsidRPr="00031D0A">
              <w:t>2.1</w:t>
            </w:r>
            <w:r w:rsidRPr="00031D0A">
              <w:tab/>
            </w:r>
            <w:r w:rsidRPr="00031D0A">
              <w:t>Current business planning is reviewed to identify aspects that reflect sustainable practices.</w:t>
            </w:r>
          </w:p>
          <w:p w:rsidR="00000000" w:rsidRPr="00031D0A" w:rsidP="00031D0A">
            <w:pPr>
              <w:pStyle w:val="BodyText"/>
            </w:pPr>
            <w:r w:rsidRPr="00031D0A">
              <w:t>2.2</w:t>
            </w:r>
            <w:r w:rsidRPr="00031D0A">
              <w:tab/>
              <w:t>Sustainable practices and processes are reviewed and measured to assess current performance.</w:t>
            </w:r>
          </w:p>
          <w:p w:rsidR="00000000" w:rsidP="00031D0A">
            <w:pPr>
              <w:pStyle w:val="BodyText"/>
              <w:rPr>
                <w:lang w:val="en-NZ"/>
              </w:rPr>
            </w:pPr>
            <w:r w:rsidRPr="00031D0A">
              <w:t>2.3</w:t>
            </w:r>
            <w:r w:rsidRPr="00031D0A">
              <w:tab/>
              <w:t>Alternative solutions for improved and sustainable operations</w:t>
            </w:r>
            <w:r w:rsidRPr="00031D0A">
              <w:t xml:space="preserve"> are evaluated.</w:t>
            </w:r>
          </w:p>
        </w:tc>
      </w:tr>
      <w:tr w:rsidTr="00BB1D76">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031D0A">
            <w:pPr>
              <w:pStyle w:val="BodyText"/>
              <w:rPr>
                <w:lang w:val="en-NZ"/>
              </w:rPr>
            </w:pPr>
            <w:r w:rsidRPr="00031D0A">
              <w:rPr>
                <w:rStyle w:val="SpecialBold"/>
              </w:rPr>
              <w:t>3</w:t>
            </w:r>
            <w:r w:rsidRPr="00031D0A">
              <w:t>.</w:t>
            </w:r>
            <w:r w:rsidRPr="00031D0A">
              <w:tab/>
            </w:r>
            <w:r w:rsidRPr="00031D0A">
              <w:rPr>
                <w:rStyle w:val="SpecialBold"/>
              </w:rPr>
              <w:t>Prepare a business sustainability plan</w:t>
            </w:r>
            <w:r w:rsidRPr="00031D0A">
              <w:t>.</w:t>
            </w:r>
          </w:p>
        </w:tc>
        <w:tc>
          <w:tcPr>
            <w:tcW w:w="5898" w:type="dxa"/>
            <w:tcBorders>
              <w:top w:val="nil"/>
              <w:left w:val="nil"/>
              <w:bottom w:val="nil"/>
              <w:right w:val="nil"/>
            </w:tcBorders>
            <w:tcMar>
              <w:top w:w="0" w:type="dxa"/>
              <w:left w:w="62" w:type="dxa"/>
              <w:bottom w:w="0" w:type="dxa"/>
              <w:right w:w="62" w:type="dxa"/>
            </w:tcMar>
          </w:tcPr>
          <w:p w:rsidR="00000000" w:rsidRPr="00031D0A" w:rsidP="00031D0A">
            <w:pPr>
              <w:pStyle w:val="BodyText"/>
            </w:pPr>
            <w:r w:rsidRPr="00031D0A">
              <w:t>3.1</w:t>
            </w:r>
            <w:r w:rsidRPr="00031D0A">
              <w:tab/>
              <w:t xml:space="preserve">Objectives and performance measures for the business sustainability plan are identified in consultation with organisation's key staff. </w:t>
            </w:r>
          </w:p>
          <w:p w:rsidR="00000000" w:rsidRPr="00031D0A" w:rsidP="00031D0A">
            <w:pPr>
              <w:pStyle w:val="BodyText"/>
            </w:pPr>
            <w:r w:rsidRPr="00031D0A">
              <w:t>3.2</w:t>
            </w:r>
            <w:r w:rsidRPr="00031D0A">
              <w:tab/>
              <w:t xml:space="preserve">Market conditions and market potential are analysed </w:t>
            </w:r>
            <w:r w:rsidRPr="00031D0A">
              <w:t>to inform plan development.</w:t>
            </w:r>
          </w:p>
          <w:p w:rsidR="00000000" w:rsidRPr="00031D0A" w:rsidP="00031D0A">
            <w:pPr>
              <w:pStyle w:val="BodyText"/>
            </w:pPr>
            <w:r w:rsidRPr="00031D0A">
              <w:t>3.3</w:t>
            </w:r>
            <w:r w:rsidRPr="00031D0A">
              <w:tab/>
              <w:t>Research and industry intelligence are collated and analysed to build understanding of customer and community needs and preferences.</w:t>
            </w:r>
          </w:p>
          <w:p w:rsidR="00000000" w:rsidRPr="00031D0A" w:rsidP="00031D0A">
            <w:pPr>
              <w:pStyle w:val="BodyText"/>
            </w:pPr>
            <w:r w:rsidRPr="00031D0A">
              <w:t>3.4</w:t>
            </w:r>
            <w:r w:rsidRPr="00031D0A">
              <w:tab/>
              <w:t>Competitors' sustainable offerings and market position are identified and reviewed.</w:t>
            </w:r>
          </w:p>
          <w:p w:rsidR="00000000" w:rsidRPr="00031D0A" w:rsidP="00031D0A">
            <w:pPr>
              <w:pStyle w:val="BodyText"/>
            </w:pPr>
            <w:r w:rsidRPr="00031D0A">
              <w:t>3.5</w:t>
            </w:r>
            <w:r w:rsidRPr="00031D0A">
              <w:tab/>
              <w:t>Costings of proposed strategies are determined and included using standard budgetary processes.</w:t>
            </w:r>
          </w:p>
          <w:p w:rsidR="00000000" w:rsidRPr="00031D0A" w:rsidP="00031D0A">
            <w:pPr>
              <w:pStyle w:val="BodyText"/>
            </w:pPr>
            <w:r w:rsidRPr="00031D0A">
              <w:t>3.6</w:t>
            </w:r>
            <w:r w:rsidRPr="00031D0A">
              <w:tab/>
              <w:t>Impact of proposed strategies on the community and the reputation of the business is reviewed and considered in the planning process.</w:t>
            </w:r>
          </w:p>
          <w:p w:rsidR="00000000" w:rsidRPr="00031D0A" w:rsidP="00031D0A">
            <w:pPr>
              <w:pStyle w:val="BodyText"/>
            </w:pPr>
            <w:r w:rsidRPr="00031D0A">
              <w:t>3.7</w:t>
            </w:r>
            <w:r w:rsidRPr="00031D0A">
              <w:tab/>
              <w:t>Environmental imp</w:t>
            </w:r>
            <w:r w:rsidRPr="00031D0A">
              <w:t>act of the proposed strategies is identified and evaluated to ensure positive outcomes for the business, community and environment.</w:t>
            </w:r>
          </w:p>
          <w:p w:rsidR="00000000" w:rsidP="00031D0A">
            <w:pPr>
              <w:pStyle w:val="BodyText"/>
              <w:rPr>
                <w:lang w:val="en-NZ"/>
              </w:rPr>
            </w:pPr>
            <w:r w:rsidRPr="00031D0A">
              <w:t>3.8</w:t>
            </w:r>
            <w:r w:rsidRPr="00031D0A">
              <w:tab/>
              <w:t>Business sustainability plan is prepared using standard organisational procedures and approved by appropriate senior sta</w:t>
            </w:r>
            <w:r w:rsidRPr="00031D0A">
              <w:t>ff.</w:t>
            </w:r>
          </w:p>
        </w:tc>
      </w:tr>
      <w:tr w:rsidTr="00BB1D76">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031D0A">
            <w:pPr>
              <w:pStyle w:val="BodyText"/>
              <w:rPr>
                <w:lang w:val="en-NZ"/>
              </w:rPr>
            </w:pPr>
            <w:r w:rsidRPr="00031D0A">
              <w:rPr>
                <w:rStyle w:val="SpecialBold"/>
              </w:rPr>
              <w:t>4</w:t>
            </w:r>
            <w:r w:rsidRPr="00031D0A">
              <w:t>.</w:t>
            </w:r>
            <w:r w:rsidRPr="00031D0A">
              <w:tab/>
            </w:r>
            <w:r w:rsidRPr="00031D0A">
              <w:rPr>
                <w:rStyle w:val="SpecialBold"/>
              </w:rPr>
              <w:t>Plan for implementation</w:t>
            </w:r>
            <w:r w:rsidRPr="00031D0A">
              <w:t>.</w:t>
            </w:r>
          </w:p>
        </w:tc>
        <w:tc>
          <w:tcPr>
            <w:tcW w:w="5898" w:type="dxa"/>
            <w:tcBorders>
              <w:top w:val="nil"/>
              <w:left w:val="nil"/>
              <w:bottom w:val="nil"/>
              <w:right w:val="nil"/>
            </w:tcBorders>
            <w:tcMar>
              <w:top w:w="0" w:type="dxa"/>
              <w:left w:w="62" w:type="dxa"/>
              <w:bottom w:w="0" w:type="dxa"/>
              <w:right w:w="62" w:type="dxa"/>
            </w:tcMar>
          </w:tcPr>
          <w:p w:rsidR="00000000" w:rsidRPr="00031D0A" w:rsidP="00031D0A">
            <w:pPr>
              <w:pStyle w:val="BodyText"/>
            </w:pPr>
            <w:r w:rsidRPr="00031D0A">
              <w:t>4.1</w:t>
            </w:r>
            <w:r w:rsidRPr="00031D0A">
              <w:tab/>
            </w:r>
            <w:r w:rsidRPr="00031D0A">
              <w:rPr>
                <w:rStyle w:val="BoldandItalics"/>
              </w:rPr>
              <w:t>Performance indicators</w:t>
            </w:r>
            <w:r w:rsidRPr="00031D0A">
              <w:t xml:space="preserve"> relevant to the monitoring of plan performance are identified.</w:t>
            </w:r>
          </w:p>
          <w:p w:rsidR="00000000" w:rsidRPr="00031D0A" w:rsidP="00031D0A">
            <w:pPr>
              <w:pStyle w:val="BodyText"/>
            </w:pPr>
            <w:r w:rsidRPr="00031D0A">
              <w:t>4.2</w:t>
            </w:r>
            <w:r w:rsidRPr="00031D0A">
              <w:tab/>
              <w:t>Team members involved in implementation of plan are briefed and ongoing communication channels are established.</w:t>
            </w:r>
          </w:p>
          <w:p w:rsidR="00000000" w:rsidRPr="00031D0A" w:rsidP="00031D0A">
            <w:pPr>
              <w:pStyle w:val="BodyText"/>
            </w:pPr>
            <w:r w:rsidRPr="00031D0A">
              <w:t>4.3</w:t>
            </w:r>
            <w:r w:rsidRPr="00031D0A">
              <w:tab/>
              <w:t>Timelines and</w:t>
            </w:r>
            <w:r w:rsidRPr="00031D0A">
              <w:t xml:space="preserve"> resources to support plan implementation are identified and sourced.</w:t>
            </w:r>
          </w:p>
        </w:tc>
      </w:tr>
    </w:tbl>
    <w:p w:rsidR="00BB1D76" w:rsidP="00031D0A">
      <w:pPr>
        <w:pStyle w:val="BodyText"/>
      </w:pPr>
    </w:p>
    <w:p w:rsidR="00BB1D76" w:rsidP="00031D0A">
      <w:pPr>
        <w:pStyle w:val="BodyText"/>
      </w:pPr>
    </w:p>
    <w:p w:rsidR="00000000" w:rsidRPr="00031D0A" w:rsidP="00031D0A">
      <w:pPr>
        <w:pStyle w:val="Heading1"/>
      </w:pPr>
      <w:bookmarkStart w:id="9" w:name="O_258678"/>
      <w:bookmarkEnd w:id="9"/>
      <w:r w:rsidRPr="00031D0A">
        <w:t>Required Skills and Knowledge</w:t>
      </w:r>
    </w:p>
    <w:tbl>
      <w:tblPr>
        <w:tblW w:w="0" w:type="auto"/>
        <w:tblLayout w:type="fixed"/>
        <w:tblCellMar>
          <w:left w:w="62" w:type="dxa"/>
          <w:right w:w="62" w:type="dxa"/>
        </w:tblCellMar>
        <w:tblLook w:val="0000"/>
      </w:tblPr>
      <w:tblGrid>
        <w:gridCol w:w="8522"/>
      </w:tblGrid>
      <w:tr w:rsidTr="00BB1D76">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031D0A">
            <w:pPr>
              <w:pStyle w:val="BodyText"/>
              <w:rPr>
                <w:lang w:val="en-NZ"/>
              </w:rPr>
            </w:pPr>
            <w:r w:rsidRPr="00031D0A">
              <w:rPr>
                <w:rStyle w:val="SpecialBold"/>
              </w:rPr>
              <w:t>REQUIRED SKILLS AND KNOWLEDGE</w:t>
            </w:r>
          </w:p>
        </w:tc>
      </w:tr>
      <w:tr w:rsidTr="00BB1D7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31D0A">
            <w:pPr>
              <w:pStyle w:val="BodyText"/>
              <w:rPr>
                <w:lang w:val="en-NZ"/>
              </w:rPr>
            </w:pPr>
            <w:r w:rsidRPr="00031D0A">
              <w:t>This section describes the skills and knowledge required for this unit.</w:t>
            </w:r>
          </w:p>
        </w:tc>
      </w:tr>
      <w:tr w:rsidTr="00BB1D7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31D0A">
            <w:pPr>
              <w:pStyle w:val="BodyText"/>
              <w:rPr>
                <w:lang w:val="en-NZ"/>
              </w:rPr>
            </w:pPr>
            <w:r w:rsidRPr="00031D0A">
              <w:rPr>
                <w:rStyle w:val="SpecialBold"/>
              </w:rPr>
              <w:t>Required skills</w:t>
            </w:r>
          </w:p>
        </w:tc>
      </w:tr>
      <w:tr w:rsidTr="00BB1D7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31D0A" w:rsidP="00031D0A">
            <w:pPr>
              <w:pStyle w:val="ListBullet"/>
            </w:pPr>
            <w:r w:rsidRPr="00031D0A">
              <w:t>organisational skills to undertake business and project planning</w:t>
            </w:r>
          </w:p>
          <w:p w:rsidR="00000000" w:rsidRPr="00031D0A" w:rsidP="00031D0A">
            <w:pPr>
              <w:pStyle w:val="ListBullet"/>
            </w:pPr>
            <w:r w:rsidRPr="00031D0A">
              <w:t>change-management skills to respond to new opportunities and implement sustainable business solutions</w:t>
            </w:r>
          </w:p>
          <w:p w:rsidR="00000000" w:rsidRPr="00031D0A" w:rsidP="00031D0A">
            <w:pPr>
              <w:pStyle w:val="ListBullet"/>
            </w:pPr>
            <w:r w:rsidRPr="00031D0A">
              <w:t>decision-making skills to:</w:t>
            </w:r>
          </w:p>
          <w:p w:rsidR="00000000" w:rsidRPr="00031D0A" w:rsidP="00031D0A">
            <w:pPr>
              <w:pStyle w:val="ListBullet2"/>
            </w:pPr>
            <w:r w:rsidRPr="00031D0A">
              <w:t>determine costing and their impact</w:t>
            </w:r>
          </w:p>
          <w:p w:rsidR="00000000" w:rsidRPr="00031D0A" w:rsidP="00031D0A">
            <w:pPr>
              <w:pStyle w:val="ListBullet2"/>
            </w:pPr>
            <w:r w:rsidRPr="00031D0A">
              <w:t>establish performance indicators</w:t>
            </w:r>
          </w:p>
          <w:p w:rsidR="00000000" w:rsidRPr="00031D0A" w:rsidP="00031D0A">
            <w:pPr>
              <w:pStyle w:val="ListBullet2"/>
            </w:pPr>
            <w:r w:rsidRPr="00031D0A">
              <w:t>select suitable strategies</w:t>
            </w:r>
          </w:p>
          <w:p w:rsidR="00000000" w:rsidRPr="00031D0A" w:rsidP="00031D0A">
            <w:pPr>
              <w:pStyle w:val="ListBullet"/>
            </w:pPr>
            <w:r w:rsidRPr="00031D0A">
              <w:t>language, literacy and numeracy skills to:</w:t>
            </w:r>
          </w:p>
          <w:p w:rsidR="00000000" w:rsidRPr="00031D0A" w:rsidP="00031D0A">
            <w:pPr>
              <w:pStyle w:val="ListBullet2"/>
            </w:pPr>
            <w:r w:rsidRPr="00031D0A">
              <w:t>communicate clearly and concisely verbally and in writing</w:t>
            </w:r>
          </w:p>
          <w:p w:rsidR="00000000" w:rsidRPr="00031D0A" w:rsidP="00031D0A">
            <w:pPr>
              <w:pStyle w:val="ListBullet2"/>
            </w:pPr>
            <w:r w:rsidRPr="00031D0A">
              <w:t>compare benchmarks</w:t>
            </w:r>
          </w:p>
          <w:p w:rsidR="00000000" w:rsidRPr="00031D0A" w:rsidP="00031D0A">
            <w:pPr>
              <w:pStyle w:val="ListBullet2"/>
            </w:pPr>
            <w:r w:rsidRPr="00031D0A">
              <w:t>consult with work group</w:t>
            </w:r>
          </w:p>
          <w:p w:rsidR="00000000" w:rsidRPr="00031D0A" w:rsidP="00031D0A">
            <w:pPr>
              <w:pStyle w:val="ListBullet2"/>
            </w:pPr>
            <w:r w:rsidRPr="00031D0A">
              <w:t>read and interpret documentation, including:</w:t>
            </w:r>
          </w:p>
          <w:p w:rsidR="00000000" w:rsidRPr="00031D0A" w:rsidP="00031D0A">
            <w:pPr>
              <w:pStyle w:val="ListBullet3"/>
            </w:pPr>
            <w:r w:rsidRPr="00031D0A">
              <w:t>envi</w:t>
            </w:r>
            <w:r w:rsidRPr="00031D0A">
              <w:t>ronment and energy efficiency requirements</w:t>
            </w:r>
          </w:p>
          <w:p w:rsidR="00000000" w:rsidRPr="00031D0A" w:rsidP="00031D0A">
            <w:pPr>
              <w:pStyle w:val="BodyText"/>
            </w:pPr>
            <w:r w:rsidRPr="00031D0A">
              <w:t>resource use</w:t>
            </w:r>
          </w:p>
          <w:p w:rsidR="00000000" w:rsidRPr="00031D0A" w:rsidP="00031D0A">
            <w:pPr>
              <w:pStyle w:val="ListBullet2"/>
            </w:pPr>
            <w:r w:rsidRPr="00031D0A">
              <w:t>request information</w:t>
            </w:r>
          </w:p>
          <w:p w:rsidR="00000000" w:rsidRPr="00031D0A" w:rsidP="00031D0A">
            <w:pPr>
              <w:pStyle w:val="ListBullet2"/>
            </w:pPr>
            <w:r w:rsidRPr="00031D0A">
              <w:t>report against identified performance indicators</w:t>
            </w:r>
          </w:p>
          <w:p w:rsidR="00000000" w:rsidRPr="00031D0A" w:rsidP="00031D0A">
            <w:pPr>
              <w:pStyle w:val="ListBullet2"/>
            </w:pPr>
            <w:r w:rsidRPr="00031D0A">
              <w:t>seek and receive feedback</w:t>
            </w:r>
          </w:p>
          <w:p w:rsidR="00000000" w:rsidRPr="00031D0A" w:rsidP="00031D0A">
            <w:pPr>
              <w:pStyle w:val="ListBullet2"/>
            </w:pPr>
            <w:r w:rsidRPr="00031D0A">
              <w:t>source, organise and record information</w:t>
            </w:r>
          </w:p>
          <w:p w:rsidR="00000000" w:rsidRPr="00031D0A" w:rsidP="00031D0A">
            <w:pPr>
              <w:pStyle w:val="ListBullet2"/>
            </w:pPr>
            <w:r w:rsidRPr="00031D0A">
              <w:t>use costing strategies</w:t>
            </w:r>
          </w:p>
          <w:p w:rsidR="00000000" w:rsidRPr="00031D0A" w:rsidP="00031D0A">
            <w:pPr>
              <w:pStyle w:val="ListBullet"/>
            </w:pPr>
            <w:r w:rsidRPr="00031D0A">
              <w:t>lateral and creative thinking to:</w:t>
            </w:r>
          </w:p>
          <w:p w:rsidR="00000000" w:rsidRPr="00031D0A" w:rsidP="00031D0A">
            <w:pPr>
              <w:pStyle w:val="ListBullet2"/>
            </w:pPr>
            <w:r w:rsidRPr="00031D0A">
              <w:t>identify new sustainable business opportunities</w:t>
            </w:r>
          </w:p>
          <w:p w:rsidR="00000000" w:rsidRPr="00031D0A" w:rsidP="00031D0A">
            <w:pPr>
              <w:pStyle w:val="ListBullet2"/>
            </w:pPr>
            <w:r w:rsidRPr="00031D0A">
              <w:t>strategically analyse information</w:t>
            </w:r>
          </w:p>
          <w:p w:rsidR="00000000" w:rsidP="00031D0A">
            <w:pPr>
              <w:pStyle w:val="ListBullet"/>
              <w:rPr>
                <w:lang w:val="en-NZ"/>
              </w:rPr>
            </w:pPr>
            <w:r w:rsidRPr="00031D0A">
              <w:t>technology skills to use computer applications</w:t>
            </w:r>
          </w:p>
        </w:tc>
      </w:tr>
      <w:tr w:rsidTr="00BB1D7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31D0A">
            <w:pPr>
              <w:pStyle w:val="BodyText"/>
              <w:rPr>
                <w:lang w:val="en-NZ"/>
              </w:rPr>
            </w:pPr>
            <w:r w:rsidRPr="00031D0A">
              <w:rPr>
                <w:rStyle w:val="SpecialBold"/>
              </w:rPr>
              <w:t>Required knowledge</w:t>
            </w:r>
          </w:p>
        </w:tc>
      </w:tr>
      <w:tr w:rsidTr="00BB1D7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31D0A" w:rsidP="00031D0A">
            <w:pPr>
              <w:pStyle w:val="ListBullet"/>
            </w:pPr>
            <w:r w:rsidRPr="00031D0A">
              <w:t>concepts and models of sustainability, corporate citizenship, and strategic and business planning</w:t>
            </w:r>
          </w:p>
          <w:p w:rsidR="00000000" w:rsidRPr="00031D0A" w:rsidP="00031D0A">
            <w:pPr>
              <w:pStyle w:val="ListBullet"/>
            </w:pPr>
            <w:r w:rsidRPr="00031D0A">
              <w:t>ethics regarding the impact of business activity on the community and environment</w:t>
            </w:r>
          </w:p>
          <w:p w:rsidR="00000000" w:rsidRPr="00031D0A" w:rsidP="00031D0A">
            <w:pPr>
              <w:pStyle w:val="ListBullet"/>
            </w:pPr>
            <w:r w:rsidRPr="00031D0A">
              <w:t>techniques for financial planning and modelling</w:t>
            </w:r>
          </w:p>
          <w:p w:rsidR="00000000" w:rsidRPr="00031D0A" w:rsidP="00031D0A">
            <w:pPr>
              <w:pStyle w:val="ListBullet"/>
            </w:pPr>
            <w:r w:rsidRPr="00031D0A">
              <w:t>governance and accountability models and processes</w:t>
            </w:r>
          </w:p>
          <w:p w:rsidR="00000000" w:rsidRPr="00031D0A" w:rsidP="00031D0A">
            <w:pPr>
              <w:pStyle w:val="ListBullet"/>
            </w:pPr>
            <w:r w:rsidRPr="00031D0A">
              <w:t>legislation, regulations, codes of practice and industry advisory standards</w:t>
            </w:r>
            <w:r w:rsidRPr="00031D0A">
              <w:t xml:space="preserve"> that apply to environmental sustainability</w:t>
            </w:r>
          </w:p>
          <w:p w:rsidR="00000000" w:rsidRPr="00031D0A" w:rsidP="00031D0A">
            <w:pPr>
              <w:pStyle w:val="ListBullet"/>
            </w:pPr>
            <w:r w:rsidRPr="00031D0A">
              <w:t>overarching organisational strategy, policy and procedures</w:t>
            </w:r>
          </w:p>
          <w:p w:rsidR="00000000" w:rsidRPr="00031D0A" w:rsidP="00031D0A">
            <w:pPr>
              <w:pStyle w:val="ListBullet"/>
            </w:pPr>
            <w:r w:rsidRPr="00031D0A">
              <w:t>strategies for:</w:t>
            </w:r>
          </w:p>
          <w:p w:rsidR="00000000" w:rsidRPr="00031D0A" w:rsidP="00031D0A">
            <w:pPr>
              <w:pStyle w:val="ListBullet2"/>
            </w:pPr>
            <w:r w:rsidRPr="00031D0A">
              <w:t>continuous improvement</w:t>
            </w:r>
          </w:p>
          <w:p w:rsidR="00000000" w:rsidRPr="00031D0A" w:rsidP="00031D0A">
            <w:pPr>
              <w:pStyle w:val="ListBullet2"/>
            </w:pPr>
            <w:r w:rsidRPr="00031D0A">
              <w:t>effecting outcomes</w:t>
            </w:r>
          </w:p>
          <w:p w:rsidR="00000000" w:rsidRPr="00031D0A" w:rsidP="00031D0A">
            <w:pPr>
              <w:pStyle w:val="ListBullet2"/>
            </w:pPr>
            <w:r w:rsidRPr="00031D0A">
              <w:t xml:space="preserve">maximising opportunities </w:t>
            </w:r>
          </w:p>
          <w:p w:rsidR="00000000" w:rsidRPr="00031D0A" w:rsidP="00031D0A">
            <w:pPr>
              <w:pStyle w:val="ListBullet2"/>
            </w:pPr>
            <w:r w:rsidRPr="00031D0A">
              <w:t>minimising impacts</w:t>
            </w:r>
          </w:p>
        </w:tc>
      </w:tr>
    </w:tbl>
    <w:p w:rsidR="00BB1D76" w:rsidP="00031D0A">
      <w:pPr>
        <w:pStyle w:val="BodyText"/>
      </w:pPr>
    </w:p>
    <w:p w:rsidR="00BB1D76" w:rsidP="00031D0A">
      <w:pPr>
        <w:pStyle w:val="BodyText"/>
      </w:pPr>
    </w:p>
    <w:p w:rsidR="00000000" w:rsidRPr="00031D0A" w:rsidP="00031D0A">
      <w:pPr>
        <w:pStyle w:val="Heading1"/>
      </w:pPr>
      <w:bookmarkStart w:id="10" w:name="O_242712"/>
      <w:bookmarkEnd w:id="10"/>
      <w:r w:rsidRPr="00031D0A">
        <w:t>Evidence Guide</w:t>
      </w:r>
    </w:p>
    <w:tbl>
      <w:tblPr>
        <w:tblW w:w="0" w:type="auto"/>
        <w:tblLayout w:type="fixed"/>
        <w:tblCellMar>
          <w:left w:w="62" w:type="dxa"/>
          <w:right w:w="62" w:type="dxa"/>
        </w:tblCellMar>
        <w:tblLook w:val="0000"/>
      </w:tblPr>
      <w:tblGrid>
        <w:gridCol w:w="2808"/>
        <w:gridCol w:w="6372"/>
      </w:tblGrid>
      <w:tr w:rsidTr="00BB1D76">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031D0A">
            <w:pPr>
              <w:pStyle w:val="BodyText"/>
              <w:rPr>
                <w:lang w:val="en-NZ"/>
              </w:rPr>
            </w:pPr>
            <w:r w:rsidRPr="00031D0A">
              <w:rPr>
                <w:rStyle w:val="SpecialBold"/>
              </w:rPr>
              <w:t>EVIDENCE GUIDE</w:t>
            </w:r>
          </w:p>
        </w:tc>
      </w:tr>
      <w:tr w:rsidTr="00BB1D76">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031D0A">
            <w:pPr>
              <w:pStyle w:val="BodyText"/>
              <w:rPr>
                <w:lang w:val="en-NZ"/>
              </w:rPr>
            </w:pPr>
            <w:r w:rsidRPr="00031D0A">
              <w:t>The evidence guide provides advice on assessment and must be read in conjunction with the performance criteria, required skills and knowledge, range statement and the Assessment Guidelines for the Training Package.</w:t>
            </w:r>
          </w:p>
        </w:tc>
      </w:tr>
      <w:tr w:rsidTr="00BB1D76">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031D0A">
            <w:pPr>
              <w:pStyle w:val="BodyText"/>
              <w:rPr>
                <w:lang w:val="en-NZ"/>
              </w:rPr>
            </w:pPr>
            <w:r w:rsidRPr="00031D0A">
              <w:rPr>
                <w:rStyle w:val="SpecialBold"/>
              </w:rPr>
              <w:t>Overview of assessment</w:t>
            </w:r>
          </w:p>
        </w:tc>
        <w:tc>
          <w:tcPr>
            <w:tcW w:w="6372" w:type="dxa"/>
            <w:tcBorders>
              <w:top w:val="nil"/>
              <w:left w:val="nil"/>
              <w:bottom w:val="nil"/>
              <w:right w:val="nil"/>
            </w:tcBorders>
            <w:tcMar>
              <w:top w:w="0" w:type="dxa"/>
              <w:left w:w="62" w:type="dxa"/>
              <w:bottom w:w="0" w:type="dxa"/>
              <w:right w:w="62" w:type="dxa"/>
            </w:tcMar>
          </w:tcPr>
          <w:p w:rsidR="00000000" w:rsidP="00031D0A">
            <w:pPr>
              <w:pStyle w:val="BodyText"/>
              <w:rPr>
                <w:lang w:val="en-NZ"/>
              </w:rPr>
            </w:pPr>
            <w:r w:rsidRPr="00031D0A">
              <w:t>This unit of competency could be assessed by observing at least two instances of the implementation and monitoring of integrated economic, social and environmental sustainability policies and procedures in an organisation.</w:t>
            </w:r>
          </w:p>
        </w:tc>
      </w:tr>
      <w:tr w:rsidTr="00BB1D76">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031D0A">
            <w:pPr>
              <w:pStyle w:val="BodyText"/>
              <w:rPr>
                <w:lang w:val="en-NZ"/>
              </w:rPr>
            </w:pPr>
            <w:r w:rsidRPr="00031D0A">
              <w:rPr>
                <w:rStyle w:val="SpecialBold"/>
              </w:rPr>
              <w:t>Critical aspects for assessment</w:t>
            </w:r>
            <w:r w:rsidRPr="00031D0A">
              <w:rPr>
                <w:rStyle w:val="SpecialBold"/>
              </w:rPr>
              <w:t xml:space="preserve"> and evidence required to demonstrate competency in this unit</w:t>
            </w:r>
          </w:p>
        </w:tc>
        <w:tc>
          <w:tcPr>
            <w:tcW w:w="6372" w:type="dxa"/>
            <w:tcBorders>
              <w:top w:val="nil"/>
              <w:left w:val="nil"/>
              <w:bottom w:val="nil"/>
              <w:right w:val="nil"/>
            </w:tcBorders>
            <w:tcMar>
              <w:top w:w="0" w:type="dxa"/>
              <w:left w:w="62" w:type="dxa"/>
              <w:bottom w:w="0" w:type="dxa"/>
              <w:right w:w="62" w:type="dxa"/>
            </w:tcMar>
          </w:tcPr>
          <w:p w:rsidR="00000000" w:rsidRPr="00031D0A" w:rsidP="00031D0A">
            <w:pPr>
              <w:pStyle w:val="BodyText"/>
            </w:pPr>
            <w:r w:rsidRPr="00031D0A">
              <w:t>A person who demonstrates competency in this unit must be able to provide evidence of the required skills and knowledge specified in this unit.</w:t>
            </w:r>
          </w:p>
          <w:p w:rsidR="00000000" w:rsidRPr="00031D0A" w:rsidP="00031D0A">
            <w:pPr>
              <w:pStyle w:val="BodyText"/>
            </w:pPr>
            <w:r w:rsidRPr="00031D0A">
              <w:t>In particular the person should demonstrate the ab</w:t>
            </w:r>
            <w:r w:rsidRPr="00031D0A">
              <w:t>ility to:</w:t>
            </w:r>
          </w:p>
          <w:p w:rsidR="00000000" w:rsidRPr="00031D0A" w:rsidP="00031D0A">
            <w:pPr>
              <w:pStyle w:val="ListBullet"/>
            </w:pPr>
            <w:r w:rsidRPr="00031D0A">
              <w:t>research and identify opportunities for improved sustainability within the business</w:t>
            </w:r>
          </w:p>
          <w:p w:rsidR="00000000" w:rsidRPr="00031D0A" w:rsidP="00031D0A">
            <w:pPr>
              <w:pStyle w:val="ListBullet"/>
            </w:pPr>
            <w:r w:rsidRPr="00031D0A">
              <w:t>plan for economic, social and environmental business operations</w:t>
            </w:r>
          </w:p>
          <w:p w:rsidR="00000000" w:rsidP="00031D0A">
            <w:pPr>
              <w:pStyle w:val="ListBullet"/>
              <w:rPr>
                <w:lang w:val="en-NZ"/>
              </w:rPr>
            </w:pPr>
            <w:r w:rsidRPr="00031D0A">
              <w:t>establish and monitor performance indicators for sustainable business operations.</w:t>
            </w:r>
          </w:p>
        </w:tc>
      </w:tr>
      <w:tr w:rsidTr="00BB1D76">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031D0A">
            <w:pPr>
              <w:pStyle w:val="BodyText"/>
              <w:rPr>
                <w:lang w:val="en-NZ"/>
              </w:rPr>
            </w:pPr>
            <w:r w:rsidRPr="00031D0A">
              <w:rPr>
                <w:rStyle w:val="SpecialBold"/>
              </w:rPr>
              <w:t>Context of and specific resources for assessment</w:t>
            </w:r>
          </w:p>
        </w:tc>
        <w:tc>
          <w:tcPr>
            <w:tcW w:w="6372" w:type="dxa"/>
            <w:tcBorders>
              <w:top w:val="nil"/>
              <w:left w:val="nil"/>
              <w:bottom w:val="nil"/>
              <w:right w:val="nil"/>
            </w:tcBorders>
            <w:tcMar>
              <w:top w:w="0" w:type="dxa"/>
              <w:left w:w="62" w:type="dxa"/>
              <w:bottom w:w="0" w:type="dxa"/>
              <w:right w:w="62" w:type="dxa"/>
            </w:tcMar>
          </w:tcPr>
          <w:p w:rsidR="00000000" w:rsidRPr="00031D0A" w:rsidP="00031D0A">
            <w:pPr>
              <w:pStyle w:val="BodyText"/>
            </w:pPr>
            <w:r w:rsidRPr="00031D0A">
              <w:t>Assessment of essential underpinning knowledge may be conducted in an off-site context. It is to comply with relevant regulatory or Australian standards' requirements.</w:t>
            </w:r>
          </w:p>
          <w:p w:rsidR="00000000" w:rsidRPr="00031D0A" w:rsidP="00031D0A">
            <w:pPr>
              <w:pStyle w:val="BodyText"/>
            </w:pPr>
            <w:r w:rsidRPr="00031D0A">
              <w:t>Resource implications for assessment in</w:t>
            </w:r>
            <w:r w:rsidRPr="00031D0A">
              <w:t>clude access to:</w:t>
            </w:r>
          </w:p>
          <w:p w:rsidR="00000000" w:rsidRPr="00031D0A" w:rsidP="00031D0A">
            <w:pPr>
              <w:pStyle w:val="ListBullet"/>
            </w:pPr>
            <w:r w:rsidRPr="00031D0A">
              <w:t>relevant legislation, standards and guidelines</w:t>
            </w:r>
          </w:p>
          <w:p w:rsidR="00000000" w:rsidRPr="00031D0A" w:rsidP="00031D0A">
            <w:pPr>
              <w:pStyle w:val="ListBullet"/>
            </w:pPr>
            <w:r w:rsidRPr="00031D0A">
              <w:t>workplace documentation and personnel</w:t>
            </w:r>
          </w:p>
          <w:p w:rsidR="00000000" w:rsidP="00031D0A">
            <w:pPr>
              <w:pStyle w:val="ListBullet"/>
              <w:rPr>
                <w:lang w:val="en-NZ"/>
              </w:rPr>
            </w:pPr>
            <w:r w:rsidRPr="00031D0A">
              <w:t>reports from other parties involved in the process of identifying and implementing improvements.</w:t>
            </w:r>
          </w:p>
        </w:tc>
      </w:tr>
      <w:tr w:rsidTr="00BB1D76">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031D0A">
            <w:pPr>
              <w:pStyle w:val="BodyText"/>
              <w:rPr>
                <w:lang w:val="en-NZ"/>
              </w:rPr>
            </w:pPr>
            <w:r w:rsidRPr="00031D0A">
              <w:rPr>
                <w:rStyle w:val="SpecialBold"/>
              </w:rPr>
              <w:t>Method of assessment</w:t>
            </w:r>
          </w:p>
        </w:tc>
        <w:tc>
          <w:tcPr>
            <w:tcW w:w="6372" w:type="dxa"/>
            <w:tcBorders>
              <w:top w:val="nil"/>
              <w:left w:val="nil"/>
              <w:bottom w:val="nil"/>
              <w:right w:val="nil"/>
            </w:tcBorders>
            <w:tcMar>
              <w:top w:w="0" w:type="dxa"/>
              <w:left w:w="62" w:type="dxa"/>
              <w:bottom w:w="0" w:type="dxa"/>
              <w:right w:w="62" w:type="dxa"/>
            </w:tcMar>
          </w:tcPr>
          <w:p w:rsidR="00000000" w:rsidRPr="00031D0A" w:rsidP="00031D0A">
            <w:pPr>
              <w:pStyle w:val="BodyText"/>
            </w:pPr>
            <w:r w:rsidRPr="00031D0A">
              <w:t>Assessment methods must:</w:t>
            </w:r>
          </w:p>
          <w:p w:rsidR="00000000" w:rsidRPr="00031D0A" w:rsidP="00031D0A">
            <w:pPr>
              <w:pStyle w:val="ListBullet"/>
            </w:pPr>
            <w:r w:rsidRPr="00031D0A">
              <w:t xml:space="preserve">satisfy </w:t>
            </w:r>
            <w:r w:rsidRPr="00031D0A">
              <w:t>the endorsed Assessment Guidelines of the Property Services Training Package</w:t>
            </w:r>
          </w:p>
          <w:p w:rsidR="00000000" w:rsidRPr="00031D0A" w:rsidP="00031D0A">
            <w:pPr>
              <w:pStyle w:val="ListBullet"/>
            </w:pPr>
            <w:r w:rsidRPr="00031D0A">
              <w:t>include direct observation of tasks in real or simulated work conditions, with questioning to confirm the ability to consistently identify and correctly interpret the essential un</w:t>
            </w:r>
            <w:r w:rsidRPr="00031D0A">
              <w:t>derpinning knowledge required for practical application</w:t>
            </w:r>
          </w:p>
          <w:p w:rsidR="00000000" w:rsidRPr="00031D0A" w:rsidP="00031D0A">
            <w:pPr>
              <w:pStyle w:val="ListBullet"/>
            </w:pPr>
            <w:r w:rsidRPr="00031D0A">
              <w:t>reinforce the integration of employability skills with workplace tasks and job roles</w:t>
            </w:r>
          </w:p>
          <w:p w:rsidR="00000000" w:rsidRPr="00031D0A" w:rsidP="00031D0A">
            <w:pPr>
              <w:pStyle w:val="ListBullet"/>
            </w:pPr>
            <w:r w:rsidRPr="00031D0A">
              <w:t>confirm that competency is verified and able to be transferred to other circumstances and environments.</w:t>
            </w:r>
          </w:p>
          <w:p w:rsidR="00000000" w:rsidP="00031D0A">
            <w:pPr>
              <w:pStyle w:val="BodyText"/>
              <w:rPr>
                <w:lang w:val="en-NZ"/>
              </w:rPr>
            </w:pPr>
            <w:r w:rsidRPr="00031D0A">
              <w:t>This unit could be assessed on its own or in combination with other units relevant to the job function.</w:t>
            </w:r>
          </w:p>
        </w:tc>
      </w:tr>
      <w:tr w:rsidTr="00BB1D76">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031D0A">
            <w:pPr>
              <w:pStyle w:val="BodyText"/>
              <w:rPr>
                <w:lang w:val="en-NZ"/>
              </w:rPr>
            </w:pPr>
            <w:r w:rsidRPr="00031D0A">
              <w:rPr>
                <w:rStyle w:val="SpecialBold"/>
              </w:rPr>
              <w:t>Guidance information for assessment</w:t>
            </w:r>
          </w:p>
        </w:tc>
        <w:tc>
          <w:tcPr>
            <w:tcW w:w="6372" w:type="dxa"/>
            <w:tcBorders>
              <w:top w:val="nil"/>
              <w:left w:val="nil"/>
              <w:bottom w:val="nil"/>
              <w:right w:val="nil"/>
            </w:tcBorders>
            <w:tcMar>
              <w:top w:w="0" w:type="dxa"/>
              <w:left w:w="62" w:type="dxa"/>
              <w:bottom w:w="0" w:type="dxa"/>
              <w:right w:w="62" w:type="dxa"/>
            </w:tcMar>
          </w:tcPr>
          <w:p w:rsidR="00000000" w:rsidRPr="00031D0A" w:rsidP="00031D0A">
            <w:pPr>
              <w:pStyle w:val="BodyText"/>
            </w:pPr>
            <w:r w:rsidRPr="00031D0A">
              <w:t>Reasonable adjustments for people with disabilities must be made to assessment processes where required. This could</w:t>
            </w:r>
            <w:r w:rsidRPr="00031D0A">
              <w:t xml:space="preserve"> include access to modified equipment and other physical resources, and the provision of appropriate assessment support.</w:t>
            </w:r>
          </w:p>
          <w:p w:rsidR="00000000" w:rsidRPr="00031D0A" w:rsidP="00031D0A">
            <w:pPr>
              <w:pStyle w:val="BodyText"/>
            </w:pPr>
            <w:r w:rsidRPr="00031D0A">
              <w:t>Assessment processes and techniques should as far as is practical take into account the language, literacy and numeracy capacity of the</w:t>
            </w:r>
            <w:r w:rsidRPr="00031D0A">
              <w:t xml:space="preserve"> candidate in relation to the competency being assessed.</w:t>
            </w:r>
          </w:p>
        </w:tc>
      </w:tr>
    </w:tbl>
    <w:p w:rsidR="00BB1D76" w:rsidP="00031D0A">
      <w:pPr>
        <w:pStyle w:val="BodyText"/>
      </w:pPr>
    </w:p>
    <w:p w:rsidR="00BB1D76" w:rsidP="00031D0A">
      <w:pPr>
        <w:pStyle w:val="BodyText"/>
      </w:pPr>
    </w:p>
    <w:p w:rsidR="00000000" w:rsidRPr="00031D0A" w:rsidP="00031D0A">
      <w:pPr>
        <w:pStyle w:val="Heading1"/>
      </w:pPr>
      <w:bookmarkStart w:id="11" w:name="O_250695"/>
      <w:bookmarkEnd w:id="11"/>
      <w:r w:rsidRPr="00031D0A">
        <w:t>Range Statement</w:t>
      </w:r>
    </w:p>
    <w:tbl>
      <w:tblPr>
        <w:tblW w:w="0" w:type="auto"/>
        <w:tblLayout w:type="fixed"/>
        <w:tblCellMar>
          <w:left w:w="62" w:type="dxa"/>
          <w:right w:w="62" w:type="dxa"/>
        </w:tblCellMar>
        <w:tblLook w:val="0000"/>
      </w:tblPr>
      <w:tblGrid>
        <w:gridCol w:w="2586"/>
        <w:gridCol w:w="5936"/>
      </w:tblGrid>
      <w:tr w:rsidTr="00BB1D76">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031D0A">
            <w:pPr>
              <w:pStyle w:val="BodyText"/>
              <w:rPr>
                <w:lang w:val="en-NZ"/>
              </w:rPr>
            </w:pPr>
            <w:r w:rsidRPr="00031D0A">
              <w:rPr>
                <w:rStyle w:val="SpecialBold"/>
              </w:rPr>
              <w:t>RANGE STATEMENT</w:t>
            </w:r>
          </w:p>
        </w:tc>
      </w:tr>
      <w:tr w:rsidTr="00BB1D76">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031D0A">
            <w:pPr>
              <w:pStyle w:val="BodyText"/>
              <w:rPr>
                <w:lang w:val="en-NZ"/>
              </w:rPr>
            </w:pPr>
            <w:r w:rsidRPr="00031D0A">
              <w:t xml:space="preserve">The range statement relates to the unit of competency as a whole. It allows for different work environments and situations that may affect </w:t>
            </w:r>
            <w:r w:rsidRPr="00031D0A">
              <w:t>performance. Bold italicised wording, if used in the performance criteria, is detailed below. Essential operating conditions that may be present with training and assessment (depending on the work situation, needs of the candidate, accessibility of the ite</w:t>
            </w:r>
            <w:r w:rsidRPr="00031D0A">
              <w:t>m, and local industry and regional contexts) may also be included.</w:t>
            </w:r>
          </w:p>
        </w:tc>
      </w:tr>
      <w:tr w:rsidTr="00BB1D76">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031D0A">
            <w:pPr>
              <w:pStyle w:val="BodyText"/>
              <w:rPr>
                <w:lang w:val="en-NZ"/>
              </w:rPr>
            </w:pPr>
            <w:r w:rsidRPr="00031D0A">
              <w:rPr>
                <w:rStyle w:val="BoldandItalics"/>
              </w:rPr>
              <w:t>Research</w:t>
            </w:r>
            <w:r w:rsidRPr="00031D0A">
              <w:t xml:space="preserve"> data may be sourced from:</w:t>
            </w:r>
          </w:p>
        </w:tc>
        <w:tc>
          <w:tcPr>
            <w:tcW w:w="5936" w:type="dxa"/>
            <w:tcBorders>
              <w:top w:val="nil"/>
              <w:left w:val="nil"/>
              <w:bottom w:val="nil"/>
              <w:right w:val="nil"/>
            </w:tcBorders>
            <w:tcMar>
              <w:top w:w="0" w:type="dxa"/>
              <w:left w:w="62" w:type="dxa"/>
              <w:bottom w:w="0" w:type="dxa"/>
              <w:right w:w="62" w:type="dxa"/>
            </w:tcMar>
          </w:tcPr>
          <w:p w:rsidR="00000000" w:rsidRPr="00031D0A" w:rsidP="00031D0A">
            <w:pPr>
              <w:pStyle w:val="ListBullet"/>
            </w:pPr>
            <w:r w:rsidRPr="00031D0A">
              <w:t>'think tanks' and research houses</w:t>
            </w:r>
          </w:p>
          <w:p w:rsidR="00000000" w:rsidRPr="00031D0A" w:rsidP="00031D0A">
            <w:pPr>
              <w:pStyle w:val="ListBullet"/>
            </w:pPr>
            <w:r w:rsidRPr="00031D0A">
              <w:t xml:space="preserve">industry associations </w:t>
            </w:r>
          </w:p>
          <w:p w:rsidR="00000000" w:rsidRPr="00031D0A" w:rsidP="00031D0A">
            <w:pPr>
              <w:pStyle w:val="ListBullet"/>
            </w:pPr>
            <w:r w:rsidRPr="00031D0A">
              <w:t>primary research, such as surveys and focus groups</w:t>
            </w:r>
          </w:p>
          <w:p w:rsidR="00000000" w:rsidRPr="00031D0A" w:rsidP="00031D0A">
            <w:pPr>
              <w:pStyle w:val="ListBullet"/>
            </w:pPr>
            <w:r w:rsidRPr="00031D0A">
              <w:t>publicly available data, such as Australian</w:t>
            </w:r>
            <w:r w:rsidRPr="00031D0A">
              <w:t xml:space="preserve"> Bureau of Statistics (ABS)</w:t>
            </w:r>
          </w:p>
          <w:p w:rsidR="00000000" w:rsidRPr="00031D0A" w:rsidP="00031D0A">
            <w:pPr>
              <w:pStyle w:val="ListBullet"/>
            </w:pPr>
            <w:r w:rsidRPr="00031D0A">
              <w:t>regional economic development plans</w:t>
            </w:r>
          </w:p>
          <w:p w:rsidR="00000000" w:rsidP="00031D0A">
            <w:pPr>
              <w:pStyle w:val="ListBullet"/>
              <w:rPr>
                <w:lang w:val="en-NZ"/>
              </w:rPr>
            </w:pPr>
            <w:r w:rsidRPr="00031D0A">
              <w:t>secondary research, such as national and international literature searches.</w:t>
            </w:r>
          </w:p>
        </w:tc>
      </w:tr>
      <w:tr w:rsidTr="00BB1D76">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031D0A">
            <w:pPr>
              <w:pStyle w:val="BodyText"/>
              <w:rPr>
                <w:lang w:val="en-NZ"/>
              </w:rPr>
            </w:pPr>
            <w:r w:rsidRPr="00031D0A">
              <w:rPr>
                <w:rStyle w:val="BoldandItalics"/>
              </w:rPr>
              <w:t>Sustainability</w:t>
            </w:r>
            <w:r w:rsidRPr="00031D0A">
              <w:t xml:space="preserve"> is broadly defined as having three separate but inter-related components with </w:t>
            </w:r>
            <w:r w:rsidRPr="00031D0A">
              <w:t>characteristics including:</w:t>
            </w:r>
          </w:p>
        </w:tc>
        <w:tc>
          <w:tcPr>
            <w:tcW w:w="5936" w:type="dxa"/>
            <w:tcBorders>
              <w:top w:val="nil"/>
              <w:left w:val="nil"/>
              <w:bottom w:val="nil"/>
              <w:right w:val="nil"/>
            </w:tcBorders>
            <w:tcMar>
              <w:top w:w="0" w:type="dxa"/>
              <w:left w:w="62" w:type="dxa"/>
              <w:bottom w:w="0" w:type="dxa"/>
              <w:right w:w="62" w:type="dxa"/>
            </w:tcMar>
          </w:tcPr>
          <w:p w:rsidR="00000000" w:rsidRPr="00031D0A" w:rsidP="00031D0A">
            <w:pPr>
              <w:pStyle w:val="ListBullet"/>
            </w:pPr>
            <w:r w:rsidRPr="00031D0A">
              <w:t xml:space="preserve">economic sustainability, demonstrated by: </w:t>
            </w:r>
          </w:p>
          <w:p w:rsidR="00000000" w:rsidRPr="00031D0A" w:rsidP="00031D0A">
            <w:pPr>
              <w:pStyle w:val="ListBullet2"/>
            </w:pPr>
            <w:r w:rsidRPr="00031D0A">
              <w:t>cost-effective use of resources</w:t>
            </w:r>
          </w:p>
          <w:p w:rsidR="00000000" w:rsidRPr="00031D0A" w:rsidP="00031D0A">
            <w:pPr>
              <w:pStyle w:val="ListBullet2"/>
            </w:pPr>
            <w:r w:rsidRPr="00031D0A">
              <w:t>ensuring costs of 'green' solutions are properly accounted for and recovered</w:t>
            </w:r>
          </w:p>
          <w:p w:rsidR="00000000" w:rsidRPr="00031D0A" w:rsidP="00031D0A">
            <w:pPr>
              <w:pStyle w:val="ListBullet2"/>
            </w:pPr>
            <w:r w:rsidRPr="00031D0A">
              <w:t>growing market share by appealing to socially aware customers</w:t>
            </w:r>
          </w:p>
          <w:p w:rsidR="00000000" w:rsidRPr="00031D0A" w:rsidP="00031D0A">
            <w:pPr>
              <w:pStyle w:val="ListBullet2"/>
            </w:pPr>
            <w:r w:rsidRPr="00031D0A">
              <w:t>purchasing lo</w:t>
            </w:r>
            <w:r w:rsidRPr="00031D0A">
              <w:t>cally to reduce transport costs</w:t>
            </w:r>
          </w:p>
          <w:p w:rsidR="00000000" w:rsidRPr="00031D0A" w:rsidP="00031D0A">
            <w:pPr>
              <w:pStyle w:val="ListBullet2"/>
            </w:pPr>
            <w:r w:rsidRPr="00031D0A">
              <w:t>seeking to participate in government schemes that reward or fund sustainable operations</w:t>
            </w:r>
          </w:p>
          <w:p w:rsidR="00000000" w:rsidRPr="00031D0A" w:rsidP="00031D0A">
            <w:pPr>
              <w:pStyle w:val="ListBullet"/>
            </w:pPr>
            <w:r w:rsidRPr="00031D0A">
              <w:t xml:space="preserve">social sustainability, demonstrated by: </w:t>
            </w:r>
          </w:p>
          <w:p w:rsidR="00000000" w:rsidRPr="00031D0A" w:rsidP="00031D0A">
            <w:pPr>
              <w:pStyle w:val="ListBullet2"/>
            </w:pPr>
            <w:r w:rsidRPr="00031D0A">
              <w:t>building community involvement</w:t>
            </w:r>
          </w:p>
          <w:p w:rsidR="00000000" w:rsidRPr="00031D0A" w:rsidP="00031D0A">
            <w:pPr>
              <w:pStyle w:val="ListBullet2"/>
            </w:pPr>
            <w:r w:rsidRPr="00031D0A">
              <w:t>communicating benefits of sustainable products and services to customers</w:t>
            </w:r>
          </w:p>
          <w:p w:rsidR="00000000" w:rsidRPr="00031D0A" w:rsidP="00031D0A">
            <w:pPr>
              <w:pStyle w:val="ListBullet2"/>
            </w:pPr>
            <w:r w:rsidRPr="00031D0A">
              <w:t>purchasing locally and using local and community-based products and services</w:t>
            </w:r>
          </w:p>
          <w:p w:rsidR="00000000" w:rsidRPr="00031D0A" w:rsidP="00031D0A">
            <w:pPr>
              <w:pStyle w:val="ListBullet2"/>
            </w:pPr>
            <w:r w:rsidRPr="00031D0A">
              <w:t>using 'fair trade' products</w:t>
            </w:r>
          </w:p>
          <w:p w:rsidR="00000000" w:rsidRPr="00031D0A" w:rsidP="00031D0A">
            <w:pPr>
              <w:pStyle w:val="ListBullet"/>
            </w:pPr>
            <w:r w:rsidRPr="00031D0A">
              <w:t xml:space="preserve">environmental sustainability, demonstrated by: </w:t>
            </w:r>
          </w:p>
          <w:p w:rsidR="00000000" w:rsidRPr="00031D0A" w:rsidP="00031D0A">
            <w:pPr>
              <w:pStyle w:val="ListBullet2"/>
            </w:pPr>
            <w:r w:rsidRPr="00031D0A">
              <w:t>efficient use of resources</w:t>
            </w:r>
          </w:p>
          <w:p w:rsidR="00000000" w:rsidRPr="00031D0A" w:rsidP="00031D0A">
            <w:pPr>
              <w:pStyle w:val="ListBullet2"/>
            </w:pPr>
            <w:r w:rsidRPr="00031D0A">
              <w:t>e</w:t>
            </w:r>
            <w:r w:rsidRPr="00031D0A">
              <w:t>liminating hazardous and toxic materials</w:t>
            </w:r>
          </w:p>
          <w:p w:rsidR="00000000" w:rsidRPr="00031D0A" w:rsidP="00031D0A">
            <w:pPr>
              <w:pStyle w:val="ListBullet2"/>
            </w:pPr>
            <w:r w:rsidRPr="00031D0A">
              <w:t>identifying strategies to offset or mitigate environmental impacts, such as purchasing carbon credits</w:t>
            </w:r>
          </w:p>
          <w:p w:rsidR="00000000" w:rsidRPr="00031D0A" w:rsidP="00031D0A">
            <w:pPr>
              <w:pStyle w:val="ListBullet2"/>
            </w:pPr>
            <w:r w:rsidRPr="00031D0A">
              <w:t>making more efficient use of energy</w:t>
            </w:r>
          </w:p>
          <w:p w:rsidR="00000000" w:rsidRPr="00031D0A" w:rsidP="00031D0A">
            <w:pPr>
              <w:pStyle w:val="ListBullet2"/>
            </w:pPr>
            <w:r w:rsidRPr="00031D0A">
              <w:t>maximising opportunities to re-use and recycle materials</w:t>
            </w:r>
          </w:p>
          <w:p w:rsidR="00000000" w:rsidRPr="00031D0A" w:rsidP="00031D0A">
            <w:pPr>
              <w:pStyle w:val="ListBullet2"/>
            </w:pPr>
            <w:r w:rsidRPr="00031D0A">
              <w:t>preventing and minim</w:t>
            </w:r>
            <w:r w:rsidRPr="00031D0A">
              <w:t>ising risks and maximising opportunities, such as use of solar or other alternative forms of energy where appropriate</w:t>
            </w:r>
          </w:p>
          <w:p w:rsidR="00000000" w:rsidRPr="00031D0A" w:rsidP="00031D0A">
            <w:pPr>
              <w:pStyle w:val="ListBullet2"/>
            </w:pPr>
            <w:r w:rsidRPr="00031D0A">
              <w:t>purchasing renewable energy</w:t>
            </w:r>
          </w:p>
          <w:p w:rsidR="00000000" w:rsidRPr="00031D0A" w:rsidP="00031D0A">
            <w:pPr>
              <w:pStyle w:val="ListBullet2"/>
            </w:pPr>
            <w:r w:rsidRPr="00031D0A">
              <w:t>reducing emissions of greenhouse gases</w:t>
            </w:r>
          </w:p>
          <w:p w:rsidR="00000000" w:rsidRPr="00031D0A" w:rsidP="00031D0A">
            <w:pPr>
              <w:pStyle w:val="ListBullet2"/>
            </w:pPr>
            <w:r w:rsidRPr="00031D0A">
              <w:t>reducing use of non-renewable resources</w:t>
            </w:r>
          </w:p>
          <w:p w:rsidR="00000000" w:rsidP="00031D0A">
            <w:pPr>
              <w:pStyle w:val="ListBullet2"/>
              <w:rPr>
                <w:lang w:val="en-NZ"/>
              </w:rPr>
            </w:pPr>
            <w:r w:rsidRPr="00031D0A">
              <w:t>waste reduction.</w:t>
            </w:r>
          </w:p>
        </w:tc>
      </w:tr>
      <w:tr w:rsidTr="00BB1D76">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031D0A">
            <w:pPr>
              <w:pStyle w:val="BodyText"/>
              <w:rPr>
                <w:lang w:val="en-NZ"/>
              </w:rPr>
            </w:pPr>
            <w:r w:rsidRPr="00031D0A">
              <w:rPr>
                <w:rStyle w:val="BoldandItalics"/>
              </w:rPr>
              <w:t>Compliance</w:t>
            </w:r>
            <w:r w:rsidRPr="00031D0A">
              <w:t xml:space="preserve"> includes:</w:t>
            </w:r>
          </w:p>
        </w:tc>
        <w:tc>
          <w:tcPr>
            <w:tcW w:w="5936" w:type="dxa"/>
            <w:tcBorders>
              <w:top w:val="nil"/>
              <w:left w:val="nil"/>
              <w:bottom w:val="nil"/>
              <w:right w:val="nil"/>
            </w:tcBorders>
            <w:tcMar>
              <w:top w:w="0" w:type="dxa"/>
              <w:left w:w="62" w:type="dxa"/>
              <w:bottom w:w="0" w:type="dxa"/>
              <w:right w:w="62" w:type="dxa"/>
            </w:tcMar>
          </w:tcPr>
          <w:p w:rsidR="00000000" w:rsidRPr="00031D0A" w:rsidP="00031D0A">
            <w:pPr>
              <w:pStyle w:val="ListBullet"/>
            </w:pPr>
            <w:r w:rsidRPr="00031D0A">
              <w:t>meeting relevant federal, state or territory, and local government laws, by-laws, regulations and codes of practice</w:t>
            </w:r>
          </w:p>
          <w:p w:rsidR="00000000" w:rsidP="00031D0A">
            <w:pPr>
              <w:pStyle w:val="ListBullet"/>
              <w:rPr>
                <w:lang w:val="en-NZ"/>
              </w:rPr>
            </w:pPr>
            <w:r w:rsidRPr="00031D0A">
              <w:t>addressing voluntary industry benchmarking and certification processes.</w:t>
            </w:r>
          </w:p>
        </w:tc>
      </w:tr>
      <w:tr w:rsidTr="00BB1D76">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031D0A">
            <w:pPr>
              <w:pStyle w:val="BodyText"/>
              <w:rPr>
                <w:lang w:val="en-NZ"/>
              </w:rPr>
            </w:pPr>
            <w:r w:rsidRPr="00031D0A">
              <w:rPr>
                <w:rStyle w:val="BoldandItalics"/>
              </w:rPr>
              <w:t>Triple bottom line</w:t>
            </w:r>
            <w:r w:rsidRPr="00031D0A">
              <w:t xml:space="preserve"> refers to:</w:t>
            </w:r>
          </w:p>
        </w:tc>
        <w:tc>
          <w:tcPr>
            <w:tcW w:w="5936" w:type="dxa"/>
            <w:tcBorders>
              <w:top w:val="nil"/>
              <w:left w:val="nil"/>
              <w:bottom w:val="nil"/>
              <w:right w:val="nil"/>
            </w:tcBorders>
            <w:tcMar>
              <w:top w:w="0" w:type="dxa"/>
              <w:left w:w="62" w:type="dxa"/>
              <w:bottom w:w="0" w:type="dxa"/>
              <w:right w:w="62" w:type="dxa"/>
            </w:tcMar>
          </w:tcPr>
          <w:p w:rsidR="00000000" w:rsidRPr="00031D0A" w:rsidP="00031D0A">
            <w:pPr>
              <w:pStyle w:val="ListBullet"/>
            </w:pPr>
            <w:r w:rsidRPr="00031D0A">
              <w:t>methods of planning, monitoring and reporting business operations that measure:</w:t>
            </w:r>
          </w:p>
          <w:p w:rsidR="00000000" w:rsidRPr="00031D0A" w:rsidP="00031D0A">
            <w:pPr>
              <w:pStyle w:val="ListBullet2"/>
            </w:pPr>
            <w:r w:rsidRPr="00031D0A">
              <w:t>financial performance</w:t>
            </w:r>
          </w:p>
          <w:p w:rsidR="00000000" w:rsidRPr="00031D0A" w:rsidP="00031D0A">
            <w:pPr>
              <w:pStyle w:val="ListBullet2"/>
            </w:pPr>
            <w:r w:rsidRPr="00031D0A">
              <w:t>social impact and performance</w:t>
            </w:r>
          </w:p>
          <w:p w:rsidR="00000000" w:rsidP="00031D0A">
            <w:pPr>
              <w:pStyle w:val="ListBullet2"/>
              <w:rPr>
                <w:lang w:val="en-NZ"/>
              </w:rPr>
            </w:pPr>
            <w:r w:rsidRPr="00031D0A">
              <w:t>ecological or environmental impact and performance.</w:t>
            </w:r>
          </w:p>
        </w:tc>
      </w:tr>
      <w:tr w:rsidTr="00BB1D76">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031D0A">
            <w:pPr>
              <w:pStyle w:val="BodyText"/>
              <w:rPr>
                <w:lang w:val="en-NZ"/>
              </w:rPr>
            </w:pPr>
            <w:r w:rsidRPr="00031D0A">
              <w:rPr>
                <w:rStyle w:val="BoldandItalics"/>
              </w:rPr>
              <w:t>Performance indicators</w:t>
            </w:r>
            <w:r w:rsidRPr="00031D0A">
              <w:t xml:space="preserve"> may include:</w:t>
            </w:r>
          </w:p>
        </w:tc>
        <w:tc>
          <w:tcPr>
            <w:tcW w:w="5936" w:type="dxa"/>
            <w:tcBorders>
              <w:top w:val="nil"/>
              <w:left w:val="nil"/>
              <w:bottom w:val="nil"/>
              <w:right w:val="nil"/>
            </w:tcBorders>
            <w:tcMar>
              <w:top w:w="0" w:type="dxa"/>
              <w:left w:w="62" w:type="dxa"/>
              <w:bottom w:w="0" w:type="dxa"/>
              <w:right w:w="62" w:type="dxa"/>
            </w:tcMar>
          </w:tcPr>
          <w:p w:rsidR="00000000" w:rsidRPr="00031D0A" w:rsidP="00031D0A">
            <w:pPr>
              <w:pStyle w:val="ListBullet"/>
            </w:pPr>
            <w:r w:rsidRPr="00031D0A">
              <w:t>benchmarks achieved against external certification process requirements</w:t>
            </w:r>
          </w:p>
          <w:p w:rsidR="00000000" w:rsidRPr="00031D0A" w:rsidP="00031D0A">
            <w:pPr>
              <w:pStyle w:val="ListBullet"/>
            </w:pPr>
            <w:r w:rsidRPr="00031D0A">
              <w:t>costs measured against performance targets</w:t>
            </w:r>
          </w:p>
          <w:p w:rsidR="00000000" w:rsidRPr="00031D0A" w:rsidP="00031D0A">
            <w:pPr>
              <w:pStyle w:val="ListBullet"/>
            </w:pPr>
            <w:r w:rsidRPr="00031D0A">
              <w:t>level of:</w:t>
            </w:r>
          </w:p>
          <w:p w:rsidR="00000000" w:rsidRPr="00031D0A" w:rsidP="00031D0A">
            <w:pPr>
              <w:pStyle w:val="ListBullet2"/>
            </w:pPr>
            <w:r w:rsidRPr="00031D0A">
              <w:t>recycling achieved</w:t>
            </w:r>
          </w:p>
          <w:p w:rsidR="00000000" w:rsidRPr="00031D0A" w:rsidP="00031D0A">
            <w:pPr>
              <w:pStyle w:val="ListBullet2"/>
            </w:pPr>
            <w:r w:rsidRPr="00031D0A">
              <w:t>reduction of waste</w:t>
            </w:r>
          </w:p>
          <w:p w:rsidR="00000000" w:rsidRPr="00031D0A" w:rsidP="00031D0A">
            <w:pPr>
              <w:pStyle w:val="ListBullet2"/>
            </w:pPr>
            <w:r w:rsidRPr="00031D0A">
              <w:t>response to marketing and communication strategies</w:t>
            </w:r>
          </w:p>
          <w:p w:rsidR="00000000" w:rsidRPr="00031D0A" w:rsidP="00031D0A">
            <w:pPr>
              <w:pStyle w:val="ListBullet"/>
            </w:pPr>
            <w:r w:rsidRPr="00031D0A">
              <w:t>sales achieved measured against performance targets.</w:t>
            </w:r>
          </w:p>
        </w:tc>
      </w:tr>
    </w:tbl>
    <w:p w:rsidR="00BB1D76" w:rsidP="00031D0A">
      <w:pPr>
        <w:pStyle w:val="BodyText"/>
      </w:pPr>
    </w:p>
    <w:p w:rsidR="00BB1D76" w:rsidP="00031D0A">
      <w:pPr>
        <w:pStyle w:val="BodyText"/>
      </w:pPr>
    </w:p>
    <w:p w:rsidR="00000000" w:rsidRPr="00031D0A" w:rsidP="00031D0A">
      <w:pPr>
        <w:pStyle w:val="Heading1"/>
      </w:pPr>
      <w:bookmarkStart w:id="12" w:name="O_200735"/>
      <w:bookmarkEnd w:id="12"/>
      <w:r w:rsidRPr="00031D0A">
        <w:t>Unit Sector(s)</w:t>
      </w:r>
    </w:p>
    <w:tbl>
      <w:tblPr>
        <w:tblW w:w="9576" w:type="dxa"/>
        <w:tblLayout w:type="fixed"/>
        <w:tblCellMar>
          <w:left w:w="62" w:type="dxa"/>
          <w:right w:w="62" w:type="dxa"/>
        </w:tblCellMar>
        <w:tblLook w:val="0000"/>
      </w:tblPr>
      <w:tblGrid>
        <w:gridCol w:w="2952"/>
        <w:gridCol w:w="6624"/>
      </w:tblGrid>
      <w:tr w:rsidTr="00BB1D76">
        <w:tblPrEx>
          <w:tblW w:w="9576" w:type="dxa"/>
          <w:tblLayout w:type="fixed"/>
          <w:tblCellMar>
            <w:left w:w="62" w:type="dxa"/>
            <w:right w:w="62" w:type="dxa"/>
          </w:tblCellMar>
          <w:tblLook w:val="0000"/>
        </w:tblPrEx>
        <w:trPr>
          <w:tblHeader/>
        </w:trPr>
        <w:tc>
          <w:tcPr>
            <w:tcW w:w="2952" w:type="dxa"/>
            <w:tcBorders>
              <w:top w:val="nil"/>
              <w:left w:val="nil"/>
              <w:bottom w:val="nil"/>
              <w:right w:val="nil"/>
            </w:tcBorders>
            <w:tcMar>
              <w:top w:w="0" w:type="dxa"/>
              <w:left w:w="62" w:type="dxa"/>
              <w:bottom w:w="0" w:type="dxa"/>
              <w:right w:w="62" w:type="dxa"/>
            </w:tcMar>
          </w:tcPr>
          <w:p w:rsidR="00000000" w:rsidP="00031D0A">
            <w:pPr>
              <w:pStyle w:val="BodyText"/>
              <w:rPr>
                <w:lang w:val="en-NZ"/>
              </w:rPr>
            </w:pPr>
            <w:r w:rsidRPr="00031D0A">
              <w:rPr>
                <w:rStyle w:val="SpecialBold"/>
              </w:rPr>
              <w:t>Unit sector</w:t>
            </w:r>
          </w:p>
        </w:tc>
        <w:tc>
          <w:tcPr>
            <w:tcW w:w="6624" w:type="dxa"/>
            <w:tcBorders>
              <w:top w:val="nil"/>
              <w:left w:val="nil"/>
              <w:bottom w:val="nil"/>
              <w:right w:val="nil"/>
            </w:tcBorders>
            <w:tcMar>
              <w:top w:w="0" w:type="dxa"/>
              <w:left w:w="62" w:type="dxa"/>
              <w:bottom w:w="0" w:type="dxa"/>
              <w:right w:w="62" w:type="dxa"/>
            </w:tcMar>
          </w:tcPr>
          <w:p w:rsidR="00000000" w:rsidRPr="00031D0A" w:rsidP="00031D0A">
            <w:pPr>
              <w:pStyle w:val="BodyText"/>
            </w:pPr>
            <w:r w:rsidRPr="00031D0A">
              <w:t>Common</w:t>
            </w:r>
          </w:p>
        </w:tc>
      </w:tr>
    </w:tbl>
    <w:p w:rsidR="00BB1D76" w:rsidP="00031D0A">
      <w:pPr>
        <w:pStyle w:val="BodyText"/>
      </w:pPr>
    </w:p>
    <w:p w:rsidR="00BB1D76" w:rsidP="00031D0A">
      <w:pPr>
        <w:pStyle w:val="BodyText"/>
      </w:pPr>
    </w:p>
    <w:p w:rsidR="00000000" w:rsidRPr="00031D0A" w:rsidP="00031D0A">
      <w:pPr>
        <w:pStyle w:val="Heading1"/>
      </w:pPr>
      <w:bookmarkStart w:id="13" w:name="O_200734"/>
      <w:bookmarkEnd w:id="13"/>
      <w:r w:rsidRPr="00031D0A">
        <w:t>Competency field</w:t>
      </w:r>
    </w:p>
    <w:tbl>
      <w:tblPr>
        <w:tblW w:w="9576" w:type="dxa"/>
        <w:tblLayout w:type="fixed"/>
        <w:tblCellMar>
          <w:left w:w="62" w:type="dxa"/>
          <w:right w:w="62" w:type="dxa"/>
        </w:tblCellMar>
        <w:tblLook w:val="0000"/>
      </w:tblPr>
      <w:tblGrid>
        <w:gridCol w:w="2952"/>
        <w:gridCol w:w="6624"/>
      </w:tblGrid>
      <w:tr w:rsidTr="00BB1D76">
        <w:tblPrEx>
          <w:tblW w:w="9576" w:type="dxa"/>
          <w:tblLayout w:type="fixed"/>
          <w:tblCellMar>
            <w:left w:w="62" w:type="dxa"/>
            <w:right w:w="62" w:type="dxa"/>
          </w:tblCellMar>
          <w:tblLook w:val="0000"/>
        </w:tblPrEx>
        <w:trPr>
          <w:tblHeader/>
        </w:trPr>
        <w:tc>
          <w:tcPr>
            <w:tcW w:w="2952" w:type="dxa"/>
            <w:tcBorders>
              <w:top w:val="nil"/>
              <w:left w:val="nil"/>
              <w:bottom w:val="nil"/>
              <w:right w:val="nil"/>
            </w:tcBorders>
            <w:tcMar>
              <w:top w:w="0" w:type="dxa"/>
              <w:left w:w="62" w:type="dxa"/>
              <w:bottom w:w="0" w:type="dxa"/>
              <w:right w:w="62" w:type="dxa"/>
            </w:tcMar>
          </w:tcPr>
          <w:p w:rsidR="00000000" w:rsidP="00031D0A">
            <w:pPr>
              <w:pStyle w:val="BodyText"/>
              <w:rPr>
                <w:lang w:val="en-NZ"/>
              </w:rPr>
            </w:pPr>
            <w:r w:rsidRPr="00031D0A">
              <w:rPr>
                <w:rStyle w:val="SpecialBold"/>
              </w:rPr>
              <w:t>Competency field</w:t>
            </w:r>
          </w:p>
        </w:tc>
        <w:tc>
          <w:tcPr>
            <w:tcW w:w="6624" w:type="dxa"/>
            <w:tcBorders>
              <w:top w:val="nil"/>
              <w:left w:val="nil"/>
              <w:bottom w:val="nil"/>
              <w:right w:val="nil"/>
            </w:tcBorders>
            <w:tcMar>
              <w:top w:w="0" w:type="dxa"/>
              <w:left w:w="62" w:type="dxa"/>
              <w:bottom w:w="0" w:type="dxa"/>
              <w:right w:w="62" w:type="dxa"/>
            </w:tcMar>
          </w:tcPr>
          <w:p w:rsidR="00000000" w:rsidRPr="00031D0A" w:rsidP="00031D0A">
            <w:pPr>
              <w:pStyle w:val="BodyText"/>
            </w:pPr>
          </w:p>
        </w:tc>
      </w:tr>
    </w:tbl>
    <w:p w:rsidR="00BB1D76" w:rsidP="00031D0A">
      <w:pPr>
        <w:pStyle w:val="BodyText"/>
      </w:pPr>
    </w:p>
    <w:p w:rsidR="00BB1D76" w:rsidP="00031D0A">
      <w:pPr>
        <w:pStyle w:val="BodyText"/>
      </w:pPr>
    </w:p>
    <w:p w:rsidR="00000000" w:rsidRPr="00031D0A" w:rsidP="00031D0A"/>
    <w:sectPr w:rsidSect="00031D0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D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B1D76" w:rsidP="00BB1D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D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D76" w:rsidP="00031D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B1D76" w:rsidP="00031D0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BB1D76" w:rsidP="00031D0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D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B1D76" w:rsidP="00BB1D7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D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D76" w:rsidP="00031D0A">
    <w:pPr>
      <w:pStyle w:val="Header"/>
      <w:framePr w:wrap="around"/>
    </w:pPr>
    <w:r>
      <w:fldChar w:fldCharType="begin"/>
    </w:r>
    <w:r>
      <w:instrText xml:space="preserve"> TITLE   \* MERGEFORMAT </w:instrText>
    </w:r>
    <w:r>
      <w:fldChar w:fldCharType="separate"/>
    </w:r>
    <w:r>
      <w:t>CPPCMN5001A Plan for a sustainable business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B1D76" w:rsidP="00031D0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27EA4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CE830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0E8E0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1D0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31D0A"/>
    <w:pPr>
      <w:spacing w:before="360" w:after="60"/>
      <w:outlineLvl w:val="0"/>
    </w:pPr>
    <w:rPr>
      <w:sz w:val="32"/>
    </w:rPr>
  </w:style>
  <w:style w:type="paragraph" w:styleId="Heading2">
    <w:name w:val="heading 2"/>
    <w:basedOn w:val="HeadingBase"/>
    <w:next w:val="BodyText"/>
    <w:link w:val="Heading2Char"/>
    <w:qFormat/>
    <w:rsid w:val="00031D0A"/>
    <w:pPr>
      <w:keepLines/>
      <w:spacing w:before="240" w:after="120"/>
      <w:outlineLvl w:val="1"/>
    </w:pPr>
    <w:rPr>
      <w:sz w:val="28"/>
      <w:szCs w:val="40"/>
    </w:rPr>
  </w:style>
  <w:style w:type="paragraph" w:styleId="Heading3">
    <w:name w:val="heading 3"/>
    <w:basedOn w:val="HeadingBase"/>
    <w:next w:val="BodyText"/>
    <w:link w:val="Heading3Char"/>
    <w:qFormat/>
    <w:rsid w:val="00031D0A"/>
    <w:pPr>
      <w:spacing w:before="180" w:after="120"/>
      <w:outlineLvl w:val="2"/>
    </w:pPr>
    <w:rPr>
      <w:spacing w:val="-10"/>
      <w:kern w:val="32"/>
    </w:rPr>
  </w:style>
  <w:style w:type="paragraph" w:styleId="Heading4">
    <w:name w:val="heading 4"/>
    <w:basedOn w:val="HeadingBase"/>
    <w:next w:val="BodyText"/>
    <w:link w:val="Heading4Char"/>
    <w:qFormat/>
    <w:rsid w:val="00031D0A"/>
    <w:pPr>
      <w:spacing w:before="160" w:after="120"/>
      <w:outlineLvl w:val="3"/>
    </w:pPr>
    <w:rPr>
      <w:sz w:val="22"/>
    </w:rPr>
  </w:style>
  <w:style w:type="paragraph" w:styleId="Heading5">
    <w:name w:val="heading 5"/>
    <w:basedOn w:val="HeadingBase"/>
    <w:next w:val="Normal"/>
    <w:link w:val="Heading5Char"/>
    <w:qFormat/>
    <w:rsid w:val="00031D0A"/>
    <w:pPr>
      <w:spacing w:before="80"/>
      <w:outlineLvl w:val="4"/>
    </w:pPr>
    <w:rPr>
      <w:color w:val="918585"/>
      <w:sz w:val="20"/>
    </w:rPr>
  </w:style>
  <w:style w:type="paragraph" w:styleId="Heading6">
    <w:name w:val="heading 6"/>
    <w:basedOn w:val="HeadingBase"/>
    <w:next w:val="Normal"/>
    <w:link w:val="Heading6Char"/>
    <w:qFormat/>
    <w:rsid w:val="00031D0A"/>
    <w:pPr>
      <w:spacing w:before="60"/>
      <w:outlineLvl w:val="5"/>
    </w:pPr>
    <w:rPr>
      <w:color w:val="918585"/>
      <w:sz w:val="20"/>
    </w:rPr>
  </w:style>
  <w:style w:type="paragraph" w:styleId="Heading7">
    <w:name w:val="heading 7"/>
    <w:basedOn w:val="Normal"/>
    <w:next w:val="Normal"/>
    <w:link w:val="Heading7Char"/>
    <w:qFormat/>
    <w:rsid w:val="00031D0A"/>
    <w:pPr>
      <w:ind w:left="720"/>
      <w:outlineLvl w:val="6"/>
    </w:pPr>
    <w:rPr>
      <w:i/>
    </w:rPr>
  </w:style>
  <w:style w:type="paragraph" w:styleId="Heading8">
    <w:name w:val="heading 8"/>
    <w:basedOn w:val="Normal"/>
    <w:next w:val="Normal"/>
    <w:link w:val="Heading8Char"/>
    <w:qFormat/>
    <w:rsid w:val="00031D0A"/>
    <w:pPr>
      <w:ind w:left="720"/>
      <w:outlineLvl w:val="7"/>
    </w:pPr>
    <w:rPr>
      <w:i/>
    </w:rPr>
  </w:style>
  <w:style w:type="paragraph" w:styleId="Heading9">
    <w:name w:val="heading 9"/>
    <w:basedOn w:val="Normal"/>
    <w:next w:val="Normal"/>
    <w:link w:val="Heading9Char"/>
    <w:qFormat/>
    <w:rsid w:val="00031D0A"/>
    <w:pPr>
      <w:ind w:left="720"/>
      <w:outlineLvl w:val="8"/>
    </w:pPr>
    <w:rPr>
      <w:i/>
    </w:rPr>
  </w:style>
  <w:style w:type="character" w:default="1" w:styleId="DefaultParagraphFont">
    <w:name w:val="Default Paragraph Font"/>
    <w:uiPriority w:val="1"/>
    <w:unhideWhenUsed/>
    <w:rsid w:val="00031D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1D0A"/>
  </w:style>
  <w:style w:type="character" w:customStyle="1" w:styleId="Heading1Char">
    <w:name w:val="Heading 1 Char"/>
    <w:basedOn w:val="DefaultParagraphFont"/>
    <w:link w:val="Heading1"/>
    <w:rsid w:val="00031D0A"/>
    <w:rPr>
      <w:rFonts w:ascii="Times New Roman" w:eastAsia="Times New Roman" w:hAnsi="Times New Roman" w:cs="Times New Roman"/>
      <w:b/>
      <w:sz w:val="32"/>
      <w:szCs w:val="20"/>
      <w:lang w:eastAsia="en-US"/>
    </w:rPr>
  </w:style>
  <w:style w:type="paragraph" w:styleId="BodyText">
    <w:name w:val="Body Text"/>
    <w:basedOn w:val="Normal"/>
    <w:link w:val="BodyTextChar"/>
    <w:rsid w:val="00031D0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31D0A"/>
    <w:rPr>
      <w:rFonts w:ascii="Times New Roman" w:eastAsia="Times New Roman" w:hAnsi="Times New Roman" w:cs="Times New Roman"/>
      <w:sz w:val="24"/>
      <w:lang w:val="en-US" w:eastAsia="en-US"/>
    </w:rPr>
  </w:style>
  <w:style w:type="paragraph" w:styleId="Footer">
    <w:name w:val="footer"/>
    <w:basedOn w:val="Normal"/>
    <w:link w:val="FooterChar"/>
    <w:rsid w:val="00031D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1D0A"/>
    <w:rPr>
      <w:rFonts w:ascii="Times New Roman" w:eastAsia="Times New Roman" w:hAnsi="Times New Roman" w:cs="Times New Roman"/>
      <w:sz w:val="16"/>
      <w:lang w:val="en-US" w:eastAsia="en-US"/>
    </w:rPr>
  </w:style>
  <w:style w:type="paragraph" w:styleId="List">
    <w:name w:val="List"/>
    <w:basedOn w:val="BodyText"/>
    <w:next w:val="BodyText"/>
    <w:rsid w:val="00031D0A"/>
    <w:pPr>
      <w:tabs>
        <w:tab w:val="left" w:pos="340"/>
      </w:tabs>
      <w:spacing w:before="60" w:after="60"/>
      <w:ind w:left="340" w:hanging="340"/>
    </w:pPr>
  </w:style>
  <w:style w:type="paragraph" w:styleId="ListBullet">
    <w:name w:val="List Bullet"/>
    <w:basedOn w:val="List"/>
    <w:rsid w:val="00031D0A"/>
    <w:pPr>
      <w:numPr>
        <w:numId w:val="14"/>
      </w:numPr>
      <w:tabs>
        <w:tab w:val="clear" w:pos="340"/>
      </w:tabs>
      <w:spacing w:before="40" w:after="40"/>
    </w:pPr>
  </w:style>
  <w:style w:type="character" w:customStyle="1" w:styleId="SpecialBold">
    <w:name w:val="Special Bold"/>
    <w:basedOn w:val="DefaultParagraphFont"/>
    <w:rsid w:val="00031D0A"/>
    <w:rPr>
      <w:b/>
      <w:spacing w:val="0"/>
    </w:rPr>
  </w:style>
  <w:style w:type="paragraph" w:styleId="ListBullet2">
    <w:name w:val="List Bullet 2"/>
    <w:basedOn w:val="List2"/>
    <w:rsid w:val="00031D0A"/>
    <w:pPr>
      <w:numPr>
        <w:numId w:val="15"/>
      </w:numPr>
      <w:tabs>
        <w:tab w:val="clear" w:pos="680"/>
      </w:tabs>
    </w:pPr>
  </w:style>
  <w:style w:type="paragraph" w:styleId="Header">
    <w:name w:val="header"/>
    <w:basedOn w:val="Normal"/>
    <w:link w:val="HeaderChar"/>
    <w:rsid w:val="00031D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1D0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31D0A"/>
    <w:pPr>
      <w:spacing w:before="240" w:after="120"/>
      <w:outlineLvl w:val="0"/>
    </w:pPr>
    <w:rPr>
      <w:rFonts w:ascii="Times New Roman" w:hAnsi="Times New Roman"/>
      <w:b/>
      <w:sz w:val="28"/>
    </w:rPr>
  </w:style>
  <w:style w:type="paragraph" w:customStyle="1" w:styleId="AllowPageBreak">
    <w:name w:val="AllowPageBreak"/>
    <w:rsid w:val="00031D0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31D0A"/>
    <w:pPr>
      <w:numPr>
        <w:numId w:val="3"/>
      </w:numPr>
      <w:tabs>
        <w:tab w:val="clear" w:pos="1021"/>
      </w:tabs>
      <w:ind w:left="1037" w:hanging="357"/>
    </w:pPr>
  </w:style>
  <w:style w:type="character" w:customStyle="1" w:styleId="BoldandItalics">
    <w:name w:val="Bold and Italics"/>
    <w:qFormat/>
    <w:rsid w:val="00031D0A"/>
    <w:rPr>
      <w:b/>
      <w:i/>
      <w:u w:val="none"/>
    </w:rPr>
  </w:style>
  <w:style w:type="character" w:customStyle="1" w:styleId="Heading2Char">
    <w:name w:val="Heading 2 Char"/>
    <w:basedOn w:val="DefaultParagraphFont"/>
    <w:link w:val="Heading2"/>
    <w:rsid w:val="00031D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1D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1D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1D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1D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1D0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31D0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31D0A"/>
    <w:rPr>
      <w:rFonts w:ascii="Courier New" w:eastAsia="Times New Roman" w:hAnsi="Courier New" w:cs="Times New Roman"/>
      <w:i/>
      <w:szCs w:val="20"/>
      <w:lang w:val="en-US" w:eastAsia="en-US"/>
    </w:rPr>
  </w:style>
  <w:style w:type="paragraph" w:customStyle="1" w:styleId="HeadingBase">
    <w:name w:val="Heading Base"/>
    <w:rsid w:val="00031D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1D0A"/>
    <w:pPr>
      <w:tabs>
        <w:tab w:val="right" w:leader="dot" w:pos="9072"/>
      </w:tabs>
      <w:ind w:left="567"/>
    </w:pPr>
    <w:rPr>
      <w:szCs w:val="22"/>
    </w:rPr>
  </w:style>
  <w:style w:type="paragraph" w:customStyle="1" w:styleId="TOCBase">
    <w:name w:val="TOC Base"/>
    <w:rsid w:val="00031D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1D0A"/>
    <w:pPr>
      <w:tabs>
        <w:tab w:val="right" w:leader="dot" w:pos="9072"/>
      </w:tabs>
      <w:spacing w:before="40" w:after="40"/>
      <w:ind w:left="284"/>
    </w:pPr>
    <w:rPr>
      <w:rFonts w:ascii="Times New Roman" w:hAnsi="Times New Roman"/>
    </w:rPr>
  </w:style>
  <w:style w:type="paragraph" w:styleId="TOC1">
    <w:name w:val="toc 1"/>
    <w:basedOn w:val="TOCBase"/>
    <w:next w:val="Normal"/>
    <w:rsid w:val="00031D0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31D0A"/>
    <w:pPr>
      <w:spacing w:before="5040"/>
      <w:jc w:val="center"/>
    </w:pPr>
    <w:rPr>
      <w:sz w:val="48"/>
      <w:szCs w:val="72"/>
      <w:lang w:val="en-US"/>
    </w:rPr>
  </w:style>
  <w:style w:type="character" w:customStyle="1" w:styleId="TitleChar">
    <w:name w:val="Title Char"/>
    <w:basedOn w:val="DefaultParagraphFont"/>
    <w:link w:val="Title"/>
    <w:rsid w:val="00031D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1D0A"/>
    <w:pPr>
      <w:tabs>
        <w:tab w:val="left" w:pos="3600"/>
        <w:tab w:val="left" w:pos="3958"/>
      </w:tabs>
    </w:pPr>
  </w:style>
  <w:style w:type="paragraph" w:customStyle="1" w:styleId="Note">
    <w:name w:val="Note"/>
    <w:basedOn w:val="BodyText"/>
    <w:rsid w:val="00031D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1D0A"/>
    <w:pPr>
      <w:framePr w:wrap="auto" w:hAnchor="text" w:y="6049"/>
    </w:pPr>
    <w:rPr>
      <w:color w:val="000000"/>
      <w:sz w:val="40"/>
    </w:rPr>
  </w:style>
  <w:style w:type="paragraph" w:customStyle="1" w:styleId="TOCTitle">
    <w:name w:val="TOCTitle"/>
    <w:basedOn w:val="Heading1"/>
    <w:rsid w:val="00031D0A"/>
    <w:pPr>
      <w:spacing w:after="240"/>
      <w:jc w:val="center"/>
      <w:outlineLvl w:val="9"/>
    </w:pPr>
    <w:rPr>
      <w:caps/>
    </w:rPr>
  </w:style>
  <w:style w:type="paragraph" w:customStyle="1" w:styleId="Version">
    <w:name w:val="Version"/>
    <w:rsid w:val="00031D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31D0A"/>
    <w:pPr>
      <w:keepNext w:val="0"/>
      <w:tabs>
        <w:tab w:val="right" w:pos="4176"/>
      </w:tabs>
      <w:ind w:left="198" w:hanging="198"/>
    </w:pPr>
    <w:rPr>
      <w:rFonts w:ascii="Garamond" w:hAnsi="Garamond"/>
    </w:rPr>
  </w:style>
  <w:style w:type="paragraph" w:styleId="IndexHeading">
    <w:name w:val="index heading"/>
    <w:basedOn w:val="Normal"/>
    <w:next w:val="Index1"/>
    <w:semiHidden/>
    <w:rsid w:val="00031D0A"/>
    <w:pPr>
      <w:spacing w:before="120" w:after="120"/>
    </w:pPr>
    <w:rPr>
      <w:rFonts w:ascii="Arial" w:hAnsi="Arial"/>
      <w:b/>
      <w:color w:val="918585"/>
      <w:sz w:val="24"/>
    </w:rPr>
  </w:style>
  <w:style w:type="paragraph" w:customStyle="1" w:styleId="Chapter">
    <w:name w:val="Chapter"/>
    <w:basedOn w:val="Normal"/>
    <w:rsid w:val="00031D0A"/>
    <w:pPr>
      <w:spacing w:before="240"/>
    </w:pPr>
    <w:rPr>
      <w:rFonts w:ascii="Times New Roman" w:hAnsi="Times New Roman"/>
      <w:smallCaps/>
      <w:spacing w:val="80"/>
      <w:sz w:val="28"/>
    </w:rPr>
  </w:style>
  <w:style w:type="paragraph" w:customStyle="1" w:styleId="InChapter">
    <w:name w:val="InChapter"/>
    <w:basedOn w:val="Heading3"/>
    <w:rsid w:val="00031D0A"/>
    <w:pPr>
      <w:spacing w:after="240"/>
      <w:outlineLvl w:val="9"/>
    </w:pPr>
    <w:rPr>
      <w:noProof/>
    </w:rPr>
  </w:style>
  <w:style w:type="paragraph" w:styleId="Index2">
    <w:name w:val="index 2"/>
    <w:basedOn w:val="Normal"/>
    <w:next w:val="Normal"/>
    <w:semiHidden/>
    <w:rsid w:val="00031D0A"/>
    <w:pPr>
      <w:tabs>
        <w:tab w:val="right" w:pos="4176"/>
      </w:tabs>
      <w:ind w:left="568" w:hanging="284"/>
    </w:pPr>
    <w:rPr>
      <w:rFonts w:ascii="Garamond" w:hAnsi="Garamond"/>
    </w:rPr>
  </w:style>
  <w:style w:type="paragraph" w:customStyle="1" w:styleId="Byline">
    <w:name w:val="Byline"/>
    <w:rsid w:val="00031D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1D0A"/>
    <w:pPr>
      <w:tabs>
        <w:tab w:val="clear" w:pos="3600"/>
        <w:tab w:val="clear" w:pos="3958"/>
      </w:tabs>
      <w:jc w:val="right"/>
    </w:pPr>
  </w:style>
  <w:style w:type="character" w:styleId="Emphasis">
    <w:name w:val="Emphasis"/>
    <w:basedOn w:val="DefaultParagraphFont"/>
    <w:qFormat/>
    <w:rsid w:val="00031D0A"/>
    <w:rPr>
      <w:i/>
    </w:rPr>
  </w:style>
  <w:style w:type="paragraph" w:styleId="Caption">
    <w:name w:val="caption"/>
    <w:basedOn w:val="BodyText"/>
    <w:next w:val="Normal"/>
    <w:qFormat/>
    <w:rsid w:val="00031D0A"/>
    <w:pPr>
      <w:framePr w:w="2268" w:hSpace="181" w:vSpace="181" w:wrap="around" w:vAnchor="text" w:hAnchor="page" w:x="1135" w:y="285" w:anchorLock="1"/>
    </w:pPr>
    <w:rPr>
      <w:i/>
    </w:rPr>
  </w:style>
  <w:style w:type="paragraph" w:customStyle="1" w:styleId="MiniTOCTitle">
    <w:name w:val="MiniTOCTitle"/>
    <w:basedOn w:val="Heading4"/>
    <w:rsid w:val="00031D0A"/>
    <w:pPr>
      <w:spacing w:before="240"/>
      <w:outlineLvl w:val="9"/>
    </w:pPr>
    <w:rPr>
      <w:noProof/>
      <w:sz w:val="24"/>
    </w:rPr>
  </w:style>
  <w:style w:type="paragraph" w:customStyle="1" w:styleId="MiniTOCItem">
    <w:name w:val="MiniTOCItem"/>
    <w:basedOn w:val="ListBullet"/>
    <w:rsid w:val="00031D0A"/>
    <w:pPr>
      <w:numPr>
        <w:numId w:val="0"/>
      </w:numPr>
      <w:tabs>
        <w:tab w:val="right" w:leader="dot" w:pos="6521"/>
      </w:tabs>
      <w:spacing w:before="0" w:after="0"/>
    </w:pPr>
  </w:style>
  <w:style w:type="paragraph" w:customStyle="1" w:styleId="TOFTitle">
    <w:name w:val="TOFTitle"/>
    <w:basedOn w:val="TOCTitle"/>
    <w:rsid w:val="00031D0A"/>
  </w:style>
  <w:style w:type="paragraph" w:styleId="TableofFigures">
    <w:name w:val="table of figures"/>
    <w:basedOn w:val="Normal"/>
    <w:next w:val="Normal"/>
    <w:semiHidden/>
    <w:rsid w:val="00031D0A"/>
    <w:pPr>
      <w:tabs>
        <w:tab w:val="right" w:leader="dot" w:pos="9072"/>
      </w:tabs>
      <w:ind w:left="970" w:hanging="403"/>
    </w:pPr>
    <w:rPr>
      <w:rFonts w:ascii="Times New Roman" w:hAnsi="Times New Roman"/>
      <w:b/>
    </w:rPr>
  </w:style>
  <w:style w:type="paragraph" w:styleId="ListNumber">
    <w:name w:val="List Number"/>
    <w:basedOn w:val="List"/>
    <w:rsid w:val="00031D0A"/>
    <w:pPr>
      <w:numPr>
        <w:numId w:val="12"/>
      </w:numPr>
    </w:pPr>
  </w:style>
  <w:style w:type="character" w:customStyle="1" w:styleId="WingdingSymbols">
    <w:name w:val="Wingding Symbols"/>
    <w:rsid w:val="00031D0A"/>
    <w:rPr>
      <w:rFonts w:ascii="Wingdings" w:hAnsi="Wingdings"/>
    </w:rPr>
  </w:style>
  <w:style w:type="paragraph" w:customStyle="1" w:styleId="TableHeading">
    <w:name w:val="Table Heading"/>
    <w:basedOn w:val="HeadingBase"/>
    <w:rsid w:val="00031D0A"/>
    <w:pPr>
      <w:keepLines/>
      <w:pBdr>
        <w:bottom w:val="single" w:sz="6" w:space="1" w:color="918585"/>
      </w:pBdr>
      <w:spacing w:before="240"/>
    </w:pPr>
  </w:style>
  <w:style w:type="character" w:customStyle="1" w:styleId="HotSpot">
    <w:name w:val="HotSpot"/>
    <w:rsid w:val="00031D0A"/>
    <w:rPr>
      <w:color w:val="0033CC"/>
      <w:u w:val="none"/>
    </w:rPr>
  </w:style>
  <w:style w:type="paragraph" w:customStyle="1" w:styleId="BodyTextRight">
    <w:name w:val="Body Text Right"/>
    <w:basedOn w:val="BodyText"/>
    <w:rsid w:val="00031D0A"/>
    <w:pPr>
      <w:spacing w:before="0" w:after="0"/>
      <w:jc w:val="right"/>
    </w:pPr>
  </w:style>
  <w:style w:type="paragraph" w:styleId="Index3">
    <w:name w:val="index 3"/>
    <w:basedOn w:val="ListNumber2"/>
    <w:next w:val="Normal"/>
    <w:semiHidden/>
    <w:rsid w:val="00031D0A"/>
    <w:pPr>
      <w:numPr>
        <w:numId w:val="0"/>
      </w:numPr>
      <w:tabs>
        <w:tab w:val="right" w:leader="dot" w:pos="4176"/>
      </w:tabs>
    </w:pPr>
  </w:style>
  <w:style w:type="paragraph" w:styleId="ListNumber2">
    <w:name w:val="List Number 2"/>
    <w:basedOn w:val="List2"/>
    <w:rsid w:val="00031D0A"/>
    <w:pPr>
      <w:numPr>
        <w:numId w:val="11"/>
      </w:numPr>
      <w:tabs>
        <w:tab w:val="clear" w:pos="1060"/>
      </w:tabs>
    </w:pPr>
  </w:style>
  <w:style w:type="paragraph" w:customStyle="1" w:styleId="MarginNote">
    <w:name w:val="Margin Note"/>
    <w:basedOn w:val="BodyText"/>
    <w:rsid w:val="00031D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1D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1D0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31D0A"/>
    <w:rPr>
      <w:sz w:val="32"/>
    </w:rPr>
  </w:style>
  <w:style w:type="paragraph" w:customStyle="1" w:styleId="HeadingProcedure">
    <w:name w:val="Heading Procedure"/>
    <w:basedOn w:val="HeadingBase"/>
    <w:next w:val="Normal"/>
    <w:rsid w:val="00031D0A"/>
    <w:pPr>
      <w:tabs>
        <w:tab w:val="left" w:pos="0"/>
      </w:tabs>
      <w:spacing w:before="120" w:after="60"/>
    </w:pPr>
    <w:rPr>
      <w:i/>
      <w:color w:val="918585"/>
      <w:sz w:val="22"/>
    </w:rPr>
  </w:style>
  <w:style w:type="paragraph" w:customStyle="1" w:styleId="TableBodyText">
    <w:name w:val="Table Body Text"/>
    <w:basedOn w:val="BodyText"/>
    <w:rsid w:val="00031D0A"/>
    <w:pPr>
      <w:spacing w:before="60" w:after="60"/>
    </w:pPr>
  </w:style>
  <w:style w:type="paragraph" w:styleId="ListContinue">
    <w:name w:val="List Continue"/>
    <w:basedOn w:val="List"/>
    <w:rsid w:val="00031D0A"/>
    <w:pPr>
      <w:ind w:firstLine="0"/>
    </w:pPr>
  </w:style>
  <w:style w:type="paragraph" w:customStyle="1" w:styleId="ListNote">
    <w:name w:val="List Note"/>
    <w:basedOn w:val="List"/>
    <w:rsid w:val="00031D0A"/>
    <w:pPr>
      <w:pBdr>
        <w:top w:val="single" w:sz="6" w:space="2" w:color="918585"/>
        <w:bottom w:val="single" w:sz="6" w:space="2" w:color="918585"/>
      </w:pBdr>
      <w:tabs>
        <w:tab w:val="left" w:pos="1021"/>
      </w:tabs>
      <w:ind w:firstLine="0"/>
    </w:pPr>
  </w:style>
  <w:style w:type="paragraph" w:customStyle="1" w:styleId="Warning">
    <w:name w:val="Warning"/>
    <w:basedOn w:val="BodyText"/>
    <w:rsid w:val="00031D0A"/>
    <w:pPr>
      <w:shd w:val="clear" w:color="auto" w:fill="D9D9D9"/>
      <w:tabs>
        <w:tab w:val="left" w:pos="992"/>
      </w:tabs>
      <w:ind w:left="119" w:right="119"/>
    </w:pPr>
    <w:rPr>
      <w:sz w:val="20"/>
    </w:rPr>
  </w:style>
  <w:style w:type="paragraph" w:customStyle="1" w:styleId="MarginIcons">
    <w:name w:val="Margin Icons"/>
    <w:basedOn w:val="BodyText"/>
    <w:rsid w:val="00031D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1D0A"/>
    <w:rPr>
      <w:rFonts w:ascii="Courier New" w:hAnsi="Courier New"/>
    </w:rPr>
  </w:style>
  <w:style w:type="paragraph" w:customStyle="1" w:styleId="NoteBullet">
    <w:name w:val="Note Bullet"/>
    <w:basedOn w:val="Note"/>
    <w:rsid w:val="00031D0A"/>
    <w:pPr>
      <w:tabs>
        <w:tab w:val="clear" w:pos="680"/>
      </w:tabs>
      <w:spacing w:before="60" w:after="60"/>
    </w:pPr>
  </w:style>
  <w:style w:type="paragraph" w:customStyle="1" w:styleId="SubHeading2">
    <w:name w:val="SubHeading2"/>
    <w:basedOn w:val="HeadingBase"/>
    <w:rsid w:val="00031D0A"/>
    <w:pPr>
      <w:spacing w:before="240" w:after="60"/>
    </w:pPr>
    <w:rPr>
      <w:sz w:val="20"/>
    </w:rPr>
  </w:style>
  <w:style w:type="paragraph" w:customStyle="1" w:styleId="SubHeading1">
    <w:name w:val="SubHeading1"/>
    <w:basedOn w:val="HeadingBase"/>
    <w:rsid w:val="00031D0A"/>
    <w:pPr>
      <w:spacing w:before="240" w:after="60"/>
    </w:pPr>
    <w:rPr>
      <w:color w:val="918585"/>
      <w:sz w:val="22"/>
    </w:rPr>
  </w:style>
  <w:style w:type="paragraph" w:customStyle="1" w:styleId="SideHeading">
    <w:name w:val="Side Heading"/>
    <w:basedOn w:val="HeadingBase"/>
    <w:rsid w:val="00031D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1D0A"/>
    <w:pPr>
      <w:numPr>
        <w:numId w:val="13"/>
      </w:numPr>
    </w:pPr>
  </w:style>
  <w:style w:type="paragraph" w:styleId="PlainText">
    <w:name w:val="Plain Text"/>
    <w:basedOn w:val="Normal"/>
    <w:link w:val="PlainTextChar"/>
    <w:rsid w:val="00031D0A"/>
    <w:rPr>
      <w:sz w:val="20"/>
    </w:rPr>
  </w:style>
  <w:style w:type="character" w:customStyle="1" w:styleId="PlainTextChar">
    <w:name w:val="Plain Text Char"/>
    <w:basedOn w:val="DefaultParagraphFont"/>
    <w:link w:val="PlainText"/>
    <w:rsid w:val="00031D0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31D0A"/>
    <w:rPr>
      <w:b/>
      <w:smallCaps/>
    </w:rPr>
  </w:style>
  <w:style w:type="paragraph" w:customStyle="1" w:styleId="TableListNumber">
    <w:name w:val="Table List Number"/>
    <w:basedOn w:val="ListNumber"/>
    <w:rsid w:val="00031D0A"/>
    <w:pPr>
      <w:numPr>
        <w:numId w:val="0"/>
      </w:numPr>
    </w:pPr>
  </w:style>
  <w:style w:type="paragraph" w:styleId="TOC4">
    <w:name w:val="toc 4"/>
    <w:basedOn w:val="TOCBase"/>
    <w:next w:val="Normal"/>
    <w:semiHidden/>
    <w:rsid w:val="00031D0A"/>
    <w:pPr>
      <w:tabs>
        <w:tab w:val="right" w:leader="dot" w:pos="9071"/>
      </w:tabs>
      <w:ind w:left="1701"/>
    </w:pPr>
  </w:style>
  <w:style w:type="paragraph" w:customStyle="1" w:styleId="ListAlpha">
    <w:name w:val="List Alpha"/>
    <w:basedOn w:val="List"/>
    <w:rsid w:val="00031D0A"/>
    <w:pPr>
      <w:numPr>
        <w:numId w:val="10"/>
      </w:numPr>
    </w:pPr>
  </w:style>
  <w:style w:type="paragraph" w:customStyle="1" w:styleId="ListAlpha2">
    <w:name w:val="List Alpha 2"/>
    <w:basedOn w:val="List2"/>
    <w:rsid w:val="00031D0A"/>
    <w:pPr>
      <w:numPr>
        <w:numId w:val="9"/>
      </w:numPr>
    </w:pPr>
  </w:style>
  <w:style w:type="paragraph" w:styleId="List2">
    <w:name w:val="List 2"/>
    <w:basedOn w:val="BodyText"/>
    <w:rsid w:val="00031D0A"/>
    <w:pPr>
      <w:tabs>
        <w:tab w:val="left" w:pos="680"/>
      </w:tabs>
      <w:spacing w:before="60" w:after="60"/>
      <w:ind w:left="680" w:hanging="340"/>
    </w:pPr>
  </w:style>
  <w:style w:type="paragraph" w:styleId="List3">
    <w:name w:val="List 3"/>
    <w:basedOn w:val="BodyText"/>
    <w:rsid w:val="00031D0A"/>
    <w:pPr>
      <w:tabs>
        <w:tab w:val="left" w:pos="1021"/>
      </w:tabs>
      <w:spacing w:before="60" w:after="60"/>
      <w:ind w:left="1020" w:hanging="340"/>
    </w:pPr>
  </w:style>
  <w:style w:type="paragraph" w:styleId="List4">
    <w:name w:val="List 4"/>
    <w:basedOn w:val="BodyText"/>
    <w:rsid w:val="00031D0A"/>
    <w:pPr>
      <w:tabs>
        <w:tab w:val="left" w:pos="1361"/>
      </w:tabs>
      <w:spacing w:before="60" w:after="60"/>
      <w:ind w:left="1361" w:hanging="340"/>
    </w:pPr>
  </w:style>
  <w:style w:type="paragraph" w:styleId="List5">
    <w:name w:val="List 5"/>
    <w:basedOn w:val="BodyText"/>
    <w:rsid w:val="00031D0A"/>
    <w:pPr>
      <w:tabs>
        <w:tab w:val="left" w:pos="1701"/>
      </w:tabs>
      <w:spacing w:before="60" w:after="60"/>
      <w:ind w:left="1701" w:hanging="340"/>
    </w:pPr>
  </w:style>
  <w:style w:type="paragraph" w:styleId="ListBullet4">
    <w:name w:val="List Bullet 4"/>
    <w:basedOn w:val="List4"/>
    <w:rsid w:val="00031D0A"/>
    <w:pPr>
      <w:numPr>
        <w:numId w:val="4"/>
      </w:numPr>
    </w:pPr>
  </w:style>
  <w:style w:type="paragraph" w:styleId="ListBullet5">
    <w:name w:val="List Bullet 5"/>
    <w:basedOn w:val="List5"/>
    <w:rsid w:val="00031D0A"/>
    <w:pPr>
      <w:numPr>
        <w:numId w:val="5"/>
      </w:numPr>
    </w:pPr>
  </w:style>
  <w:style w:type="paragraph" w:styleId="ListContinue2">
    <w:name w:val="List Continue 2"/>
    <w:basedOn w:val="List2"/>
    <w:rsid w:val="00031D0A"/>
    <w:pPr>
      <w:ind w:firstLine="0"/>
    </w:pPr>
  </w:style>
  <w:style w:type="paragraph" w:styleId="ListContinue3">
    <w:name w:val="List Continue 3"/>
    <w:basedOn w:val="List3"/>
    <w:rsid w:val="00031D0A"/>
    <w:pPr>
      <w:ind w:left="1021" w:firstLine="0"/>
    </w:pPr>
  </w:style>
  <w:style w:type="paragraph" w:styleId="ListContinue4">
    <w:name w:val="List Continue 4"/>
    <w:basedOn w:val="List4"/>
    <w:rsid w:val="00031D0A"/>
    <w:pPr>
      <w:ind w:firstLine="0"/>
    </w:pPr>
  </w:style>
  <w:style w:type="paragraph" w:styleId="ListContinue5">
    <w:name w:val="List Continue 5"/>
    <w:basedOn w:val="List5"/>
    <w:rsid w:val="00031D0A"/>
    <w:pPr>
      <w:ind w:firstLine="0"/>
    </w:pPr>
  </w:style>
  <w:style w:type="paragraph" w:styleId="ListNumber3">
    <w:name w:val="List Number 3"/>
    <w:basedOn w:val="List3"/>
    <w:rsid w:val="00031D0A"/>
    <w:pPr>
      <w:numPr>
        <w:numId w:val="6"/>
      </w:numPr>
    </w:pPr>
  </w:style>
  <w:style w:type="paragraph" w:styleId="ListNumber4">
    <w:name w:val="List Number 4"/>
    <w:basedOn w:val="List4"/>
    <w:rsid w:val="00031D0A"/>
    <w:pPr>
      <w:numPr>
        <w:numId w:val="7"/>
      </w:numPr>
    </w:pPr>
  </w:style>
  <w:style w:type="paragraph" w:styleId="ListNumber5">
    <w:name w:val="List Number 5"/>
    <w:basedOn w:val="List5"/>
    <w:rsid w:val="00031D0A"/>
    <w:pPr>
      <w:numPr>
        <w:numId w:val="8"/>
      </w:numPr>
    </w:pPr>
  </w:style>
  <w:style w:type="paragraph" w:styleId="BlockText">
    <w:name w:val="Block Text"/>
    <w:basedOn w:val="Normal"/>
    <w:rsid w:val="00031D0A"/>
    <w:pPr>
      <w:spacing w:after="120"/>
      <w:ind w:left="1440" w:right="1440"/>
    </w:pPr>
  </w:style>
  <w:style w:type="character" w:customStyle="1" w:styleId="Subscript">
    <w:name w:val="Subscript"/>
    <w:basedOn w:val="DefaultParagraphFont"/>
    <w:rsid w:val="00031D0A"/>
    <w:rPr>
      <w:sz w:val="16"/>
      <w:vertAlign w:val="subscript"/>
    </w:rPr>
  </w:style>
  <w:style w:type="character" w:customStyle="1" w:styleId="Superscript">
    <w:name w:val="Superscript"/>
    <w:basedOn w:val="DefaultParagraphFont"/>
    <w:rsid w:val="00031D0A"/>
    <w:rPr>
      <w:sz w:val="16"/>
      <w:vertAlign w:val="superscript"/>
    </w:rPr>
  </w:style>
  <w:style w:type="character" w:customStyle="1" w:styleId="Symbols">
    <w:name w:val="Symbols"/>
    <w:basedOn w:val="DefaultParagraphFont"/>
    <w:rsid w:val="00031D0A"/>
    <w:rPr>
      <w:rFonts w:ascii="Symbol" w:hAnsi="Symbol"/>
    </w:rPr>
  </w:style>
  <w:style w:type="character" w:customStyle="1" w:styleId="MenuOptions">
    <w:name w:val="Menu Options"/>
    <w:basedOn w:val="DefaultParagraphFont"/>
    <w:rsid w:val="00031D0A"/>
    <w:rPr>
      <w:rFonts w:ascii="Arial Narrow" w:hAnsi="Arial Narrow"/>
      <w:smallCaps/>
    </w:rPr>
  </w:style>
  <w:style w:type="character" w:customStyle="1" w:styleId="Buttons">
    <w:name w:val="Buttons"/>
    <w:basedOn w:val="DefaultParagraphFont"/>
    <w:rsid w:val="00031D0A"/>
    <w:rPr>
      <w:b/>
    </w:rPr>
  </w:style>
  <w:style w:type="character" w:customStyle="1" w:styleId="Underlined">
    <w:name w:val="Underlined"/>
    <w:basedOn w:val="DefaultParagraphFont"/>
    <w:rsid w:val="00031D0A"/>
    <w:rPr>
      <w:u w:val="single"/>
    </w:rPr>
  </w:style>
  <w:style w:type="paragraph" w:customStyle="1" w:styleId="TableBodyTextRight">
    <w:name w:val="Table Body Text Right"/>
    <w:basedOn w:val="TableBodyText"/>
    <w:rsid w:val="00031D0A"/>
    <w:pPr>
      <w:widowControl w:val="0"/>
      <w:autoSpaceDE w:val="0"/>
      <w:autoSpaceDN w:val="0"/>
      <w:adjustRightInd w:val="0"/>
      <w:jc w:val="right"/>
    </w:pPr>
    <w:rPr>
      <w:rFonts w:cs="Arial"/>
      <w:szCs w:val="18"/>
    </w:rPr>
  </w:style>
  <w:style w:type="paragraph" w:customStyle="1" w:styleId="CopyrightText">
    <w:name w:val="Copyright Text"/>
    <w:basedOn w:val="BodyText"/>
    <w:rsid w:val="00031D0A"/>
    <w:rPr>
      <w:sz w:val="18"/>
    </w:rPr>
  </w:style>
  <w:style w:type="paragraph" w:customStyle="1" w:styleId="BodySmallRight">
    <w:name w:val="Body Small Right"/>
    <w:basedOn w:val="BodyTextRight"/>
    <w:rsid w:val="00031D0A"/>
    <w:rPr>
      <w:sz w:val="18"/>
      <w:szCs w:val="18"/>
    </w:rPr>
  </w:style>
  <w:style w:type="paragraph" w:customStyle="1" w:styleId="MarginEdition">
    <w:name w:val="Margin Edition"/>
    <w:basedOn w:val="MarginNote"/>
    <w:rsid w:val="00031D0A"/>
    <w:pPr>
      <w:spacing w:before="0" w:after="0"/>
    </w:pPr>
    <w:rPr>
      <w:rFonts w:ascii="Times New Roman" w:hAnsi="Times New Roman"/>
      <w:color w:val="999999"/>
    </w:rPr>
  </w:style>
  <w:style w:type="paragraph" w:customStyle="1" w:styleId="Spacer">
    <w:name w:val="Spacer"/>
    <w:basedOn w:val="Normal"/>
    <w:rsid w:val="00031D0A"/>
    <w:rPr>
      <w:sz w:val="2"/>
      <w:szCs w:val="2"/>
    </w:rPr>
  </w:style>
  <w:style w:type="character" w:customStyle="1" w:styleId="Small">
    <w:name w:val="Small"/>
    <w:basedOn w:val="DefaultParagraphFont"/>
    <w:rsid w:val="00031D0A"/>
    <w:rPr>
      <w:sz w:val="16"/>
    </w:rPr>
  </w:style>
  <w:style w:type="paragraph" w:customStyle="1" w:styleId="WideTable">
    <w:name w:val="Wide Table"/>
    <w:basedOn w:val="Normal"/>
    <w:rsid w:val="00031D0A"/>
    <w:pPr>
      <w:ind w:left="-1418"/>
    </w:pPr>
    <w:rPr>
      <w:sz w:val="2"/>
      <w:szCs w:val="2"/>
    </w:rPr>
  </w:style>
  <w:style w:type="character" w:styleId="PageNumber">
    <w:name w:val="page number"/>
    <w:basedOn w:val="DefaultParagraphFont"/>
    <w:rsid w:val="00031D0A"/>
  </w:style>
  <w:style w:type="paragraph" w:styleId="Quote">
    <w:name w:val="Quote"/>
    <w:basedOn w:val="Heading1"/>
    <w:link w:val="QuoteChar"/>
    <w:qFormat/>
    <w:rsid w:val="00031D0A"/>
    <w:rPr>
      <w:b w:val="0"/>
      <w:sz w:val="72"/>
      <w:szCs w:val="72"/>
      <w:lang w:val="en-NZ"/>
    </w:rPr>
  </w:style>
  <w:style w:type="character" w:customStyle="1" w:styleId="QuoteChar">
    <w:name w:val="Quote Char"/>
    <w:basedOn w:val="DefaultParagraphFont"/>
    <w:link w:val="Quote"/>
    <w:rsid w:val="00031D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1D0A"/>
    <w:pPr>
      <w:pageBreakBefore/>
    </w:pPr>
  </w:style>
  <w:style w:type="paragraph" w:customStyle="1" w:styleId="Border">
    <w:name w:val="Border"/>
    <w:basedOn w:val="Normal"/>
    <w:qFormat/>
    <w:rsid w:val="00031D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1D0A"/>
    <w:rPr>
      <w:b/>
      <w:bCs/>
      <w:i/>
      <w:iCs/>
      <w:color w:val="auto"/>
    </w:rPr>
  </w:style>
  <w:style w:type="paragraph" w:styleId="IntenseQuote">
    <w:name w:val="Intense Quote"/>
    <w:basedOn w:val="Normal"/>
    <w:next w:val="Normal"/>
    <w:link w:val="IntenseQuoteChar"/>
    <w:uiPriority w:val="30"/>
    <w:qFormat/>
    <w:rsid w:val="00031D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1D0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31D0A"/>
    <w:rPr>
      <w:smallCaps/>
      <w:color w:val="auto"/>
      <w:u w:val="single"/>
    </w:rPr>
  </w:style>
  <w:style w:type="character" w:styleId="IntenseReference">
    <w:name w:val="Intense Reference"/>
    <w:basedOn w:val="DefaultParagraphFont"/>
    <w:uiPriority w:val="32"/>
    <w:qFormat/>
    <w:rsid w:val="00031D0A"/>
    <w:rPr>
      <w:b/>
      <w:bCs/>
      <w:smallCaps/>
      <w:color w:val="auto"/>
      <w:spacing w:val="5"/>
      <w:u w:val="single"/>
    </w:rPr>
  </w:style>
  <w:style w:type="paragraph" w:customStyle="1" w:styleId="2ColumnHeading">
    <w:name w:val="2Column Heading"/>
    <w:basedOn w:val="BodyText"/>
    <w:qFormat/>
    <w:rsid w:val="00031D0A"/>
    <w:pPr>
      <w:spacing w:after="60"/>
      <w:ind w:left="-2268"/>
    </w:pPr>
    <w:rPr>
      <w:b/>
    </w:rPr>
  </w:style>
  <w:style w:type="paragraph" w:customStyle="1" w:styleId="Heading1TOC">
    <w:name w:val="Heading1 TOC"/>
    <w:basedOn w:val="Normal"/>
    <w:qFormat/>
    <w:rsid w:val="00031D0A"/>
    <w:pPr>
      <w:spacing w:before="240" w:after="120"/>
    </w:pPr>
    <w:rPr>
      <w:rFonts w:ascii="Times New Roman" w:hAnsi="Times New Roman"/>
      <w:b/>
      <w:sz w:val="32"/>
    </w:rPr>
  </w:style>
  <w:style w:type="paragraph" w:customStyle="1" w:styleId="Heading2TOC">
    <w:name w:val="Heading2 TOC"/>
    <w:basedOn w:val="Normal"/>
    <w:qFormat/>
    <w:rsid w:val="00031D0A"/>
    <w:pPr>
      <w:spacing w:before="240" w:after="60"/>
    </w:pPr>
    <w:rPr>
      <w:rFonts w:ascii="Times New Roman" w:hAnsi="Times New Roman"/>
      <w:b/>
      <w:sz w:val="28"/>
    </w:rPr>
  </w:style>
  <w:style w:type="character" w:customStyle="1" w:styleId="Underline">
    <w:name w:val="Underline"/>
    <w:basedOn w:val="DefaultParagraphFont"/>
    <w:qFormat/>
    <w:rsid w:val="00031D0A"/>
    <w:rPr>
      <w:u w:val="single"/>
    </w:rPr>
  </w:style>
  <w:style w:type="paragraph" w:styleId="BalloonText">
    <w:name w:val="Balloon Text"/>
    <w:basedOn w:val="Normal"/>
    <w:link w:val="BalloonTextChar"/>
    <w:rsid w:val="00031D0A"/>
    <w:rPr>
      <w:rFonts w:ascii="Tahoma" w:hAnsi="Tahoma" w:cs="Tahoma"/>
      <w:sz w:val="16"/>
      <w:szCs w:val="16"/>
    </w:rPr>
  </w:style>
  <w:style w:type="character" w:customStyle="1" w:styleId="BalloonTextChar">
    <w:name w:val="Balloon Text Char"/>
    <w:basedOn w:val="DefaultParagraphFont"/>
    <w:link w:val="BalloonText"/>
    <w:rsid w:val="00031D0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31D0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31D0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1435</Words>
  <Characters>9452</Characters>
  <Application>Microsoft Office Word</Application>
  <DocSecurity>0</DocSecurity>
  <Lines>309</Lines>
  <Paragraphs>169</Paragraphs>
  <ScaleCrop>false</ScaleCrop>
  <Company>Author-it Software Corporation Ltd.</Company>
  <LinksUpToDate>false</LinksUpToDate>
  <CharactersWithSpaces>10807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CPPCMN5001A Plan for a sustainable business</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2012-05-26T06:05:00Z</dcterms:created>
  <dcterms:modified xsi:type="dcterms:W3CDTF">2012-05-26T06:05:00Z</dcterms:modified>
</cp:coreProperties>
</file>