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DD9" w:rsidP="001F5DD9">
      <w:pPr>
        <w:pStyle w:val="Title"/>
      </w:pPr>
      <w:bookmarkStart w:id="0" w:name="_GoBack"/>
      <w:bookmarkEnd w:id="0"/>
      <w:r>
        <w:fldChar w:fldCharType="begin"/>
      </w:r>
      <w:r>
        <w:instrText xml:space="preserve"> TITLE   \* MERGEFORMAT </w:instrText>
      </w:r>
      <w:r>
        <w:fldChar w:fldCharType="separate"/>
      </w:r>
      <w:r>
        <w:t>CPPBDN8002A Research compliance requirements for complex building design projects</w:t>
      </w:r>
      <w:r>
        <w:fldChar w:fldCharType="end"/>
      </w:r>
    </w:p>
    <w:p w:rsidR="001F5DD9" w:rsidP="001F5DD9">
      <w:pPr>
        <w:pStyle w:val="Version"/>
        <w:sectPr w:rsidSect="00EB6C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C97" w:rsidP="00EB6C97">
      <w:pPr>
        <w:pStyle w:val="SuperHeading"/>
      </w:pPr>
      <w:r w:rsidRPr="00EB6C97">
        <w:t>CPPBDN8002A Research compliance requirements for complex building design projects</w:t>
      </w:r>
    </w:p>
    <w:p w:rsidR="00000000" w:rsidRPr="00EB6C97" w:rsidP="00EB6C97">
      <w:pPr>
        <w:pStyle w:val="Heading1"/>
      </w:pPr>
      <w:bookmarkStart w:id="1" w:name="O_400643"/>
      <w:bookmarkEnd w:id="1"/>
      <w:r w:rsidRPr="00EB6C97">
        <w:t>Modification History</w:t>
      </w:r>
    </w:p>
    <w:p w:rsidR="00000000" w:rsidRPr="00EB6C97" w:rsidP="00EB6C97">
      <w:pPr>
        <w:pStyle w:val="BodyText"/>
      </w:pPr>
      <w:r w:rsidRPr="00EB6C97">
        <w:t>New unit</w:t>
      </w:r>
    </w:p>
    <w:p w:rsidR="00000000" w:rsidRPr="00EB6C97" w:rsidP="00EB6C97">
      <w:pPr>
        <w:pStyle w:val="AllowPageBreak"/>
      </w:pPr>
    </w:p>
    <w:p w:rsidR="00000000" w:rsidRPr="00EB6C97" w:rsidP="00EB6C97">
      <w:pPr>
        <w:pStyle w:val="Heading1"/>
      </w:pPr>
      <w:bookmarkStart w:id="2" w:name="O_400644"/>
      <w:bookmarkEnd w:id="2"/>
      <w:r w:rsidRPr="00EB6C97">
        <w:t>Unit Descriptor</w:t>
      </w:r>
    </w:p>
    <w:p w:rsidR="00000000" w:rsidRPr="00EB6C97" w:rsidP="00EB6C97">
      <w:pPr>
        <w:pStyle w:val="BodyText"/>
      </w:pPr>
      <w:r w:rsidRPr="00EB6C97">
        <w:t xml:space="preserve">This </w:t>
      </w:r>
      <w:r w:rsidRPr="00EB6C97">
        <w:t xml:space="preserve">unit of competency specifies the outcomes required to research compliance requirements that apply to large scale and complex building design projects in a range of locations. </w:t>
      </w:r>
    </w:p>
    <w:p w:rsidR="00000000" w:rsidRPr="00EB6C97" w:rsidP="00EB6C97">
      <w:pPr>
        <w:pStyle w:val="BodyText"/>
      </w:pPr>
    </w:p>
    <w:p w:rsidR="001F5DD9" w:rsidP="00EB6C97">
      <w:pPr>
        <w:pStyle w:val="BodyText"/>
      </w:pPr>
      <w:r w:rsidRPr="00EB6C97">
        <w:t>It covers research into local, state and federal government legislation and pol</w:t>
      </w:r>
      <w:r w:rsidRPr="00EB6C97">
        <w:t>icies relating to planning and the environment, including zoning and interpretation of these requirements in relation to client preferences and prospective design proposals.</w:t>
      </w:r>
    </w:p>
    <w:p w:rsidR="001F5DD9" w:rsidP="00EB6C97">
      <w:pPr>
        <w:pStyle w:val="BodyText"/>
      </w:pPr>
    </w:p>
    <w:p w:rsidR="00000000" w:rsidRPr="00EB6C97" w:rsidP="00EB6C97">
      <w:pPr>
        <w:pStyle w:val="Heading1"/>
      </w:pPr>
      <w:bookmarkStart w:id="3" w:name="O_400645"/>
      <w:bookmarkEnd w:id="3"/>
      <w:r w:rsidRPr="00EB6C97">
        <w:t>Application of the Unit</w:t>
      </w:r>
    </w:p>
    <w:p w:rsidR="00000000" w:rsidRPr="00EB6C97" w:rsidP="00EB6C97">
      <w:pPr>
        <w:pStyle w:val="BodyText"/>
      </w:pPr>
      <w:r w:rsidRPr="00EB6C97">
        <w:t>This unit of competency supports buildin</w:t>
      </w:r>
      <w:r w:rsidRPr="00EB6C97">
        <w:t>g designers who analyse and explain compliance requirements for construction Type A buildings as defined within the Building Code of Australia (BCA).</w:t>
      </w:r>
    </w:p>
    <w:p w:rsidR="00000000" w:rsidRPr="00EB6C97" w:rsidP="00EB6C97">
      <w:pPr>
        <w:pStyle w:val="AllowPageBreak"/>
      </w:pPr>
    </w:p>
    <w:p w:rsidR="00000000" w:rsidRPr="00EB6C97" w:rsidP="00EB6C97">
      <w:pPr>
        <w:pStyle w:val="Heading1"/>
      </w:pPr>
      <w:bookmarkStart w:id="4" w:name="O_400646"/>
      <w:bookmarkEnd w:id="4"/>
      <w:r w:rsidRPr="00EB6C97">
        <w:t>Licensing/Regulatory Information</w:t>
      </w:r>
    </w:p>
    <w:p w:rsidR="00000000" w:rsidRPr="00EB6C97" w:rsidP="00EB6C97">
      <w:pPr>
        <w:pStyle w:val="BodyText"/>
      </w:pPr>
      <w:r w:rsidRPr="00EB6C97">
        <w:t>Work in this area must be completed according to relevan</w:t>
      </w:r>
      <w:r w:rsidRPr="00EB6C97">
        <w:t>t legislative, industry and organisational requirements, including occupational health and safety (OHS) policies and procedures.</w:t>
      </w:r>
    </w:p>
    <w:p w:rsidR="00000000" w:rsidRPr="00EB6C97" w:rsidP="00EB6C97">
      <w:pPr>
        <w:pStyle w:val="BodyText"/>
      </w:pPr>
    </w:p>
    <w:p w:rsidR="00000000" w:rsidRPr="00EB6C97" w:rsidP="00EB6C97">
      <w:pPr>
        <w:pStyle w:val="BodyText"/>
      </w:pPr>
      <w:r w:rsidRPr="00EB6C97">
        <w:t>Different states and territories may have regulatory mechanisms that apply to this unit. Users are advised to check for regulatory limitations.</w:t>
      </w:r>
    </w:p>
    <w:p w:rsidR="00000000" w:rsidRPr="00EB6C97" w:rsidP="00EB6C97">
      <w:pPr>
        <w:pStyle w:val="AllowPageBreak"/>
      </w:pPr>
    </w:p>
    <w:p w:rsidR="00000000" w:rsidRPr="00EB6C97" w:rsidP="00EB6C97">
      <w:pPr>
        <w:pStyle w:val="Heading1"/>
      </w:pPr>
      <w:bookmarkStart w:id="5" w:name="O_400647"/>
      <w:bookmarkEnd w:id="5"/>
      <w:r w:rsidRPr="00EB6C97">
        <w:t>Pre-Requisites</w:t>
      </w:r>
    </w:p>
    <w:p w:rsidR="00000000" w:rsidRPr="00EB6C97" w:rsidP="00EB6C97">
      <w:pPr>
        <w:pStyle w:val="BodyText"/>
      </w:pPr>
      <w:r w:rsidRPr="00EB6C97">
        <w:t>Not applicable.</w:t>
      </w:r>
    </w:p>
    <w:p w:rsidR="00000000" w:rsidRPr="00EB6C97" w:rsidP="00EB6C97">
      <w:pPr>
        <w:pStyle w:val="AllowPageBreak"/>
      </w:pPr>
    </w:p>
    <w:p w:rsidR="00000000" w:rsidRPr="00EB6C97" w:rsidP="00EB6C97">
      <w:pPr>
        <w:pStyle w:val="Heading1"/>
      </w:pPr>
      <w:bookmarkStart w:id="6" w:name="O_400648"/>
      <w:bookmarkEnd w:id="6"/>
      <w:r w:rsidRPr="00EB6C97">
        <w:t>Employability Skills Information</w:t>
      </w:r>
    </w:p>
    <w:p w:rsidR="00000000" w:rsidRPr="00EB6C97" w:rsidP="00EB6C97">
      <w:pPr>
        <w:pStyle w:val="BodyText"/>
      </w:pPr>
      <w:r w:rsidRPr="00EB6C97">
        <w:t>This unit cont</w:t>
      </w:r>
      <w:r w:rsidRPr="00EB6C97">
        <w:t>ains employability skills.</w:t>
      </w:r>
    </w:p>
    <w:p w:rsidR="00000000" w:rsidRPr="00EB6C97" w:rsidP="00EB6C97">
      <w:pPr>
        <w:pStyle w:val="AllowPageBreak"/>
      </w:pPr>
    </w:p>
    <w:p w:rsidR="00000000" w:rsidRPr="00EB6C97" w:rsidP="00EB6C97">
      <w:pPr>
        <w:pStyle w:val="Heading1"/>
      </w:pPr>
      <w:bookmarkStart w:id="7" w:name="O_400649"/>
      <w:bookmarkEnd w:id="7"/>
      <w:r w:rsidRPr="00EB6C97">
        <w:t>Elements and Performance Criteria Pre-Content</w:t>
      </w:r>
    </w:p>
    <w:tbl>
      <w:tblPr>
        <w:tblW w:w="0" w:type="auto"/>
        <w:tblLayout w:type="fixed"/>
        <w:tblCellMar>
          <w:left w:w="62" w:type="dxa"/>
          <w:right w:w="62" w:type="dxa"/>
        </w:tblCellMar>
        <w:tblLook w:val="0000"/>
      </w:tblPr>
      <w:tblGrid>
        <w:gridCol w:w="2640"/>
        <w:gridCol w:w="6380"/>
      </w:tblGrid>
      <w:tr w:rsidTr="00EB6C9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B6C97" w:rsidP="00EB6C97">
            <w:pPr>
              <w:pStyle w:val="BodyText"/>
            </w:pPr>
            <w:r w:rsidRPr="00EB6C97">
              <w:t>Performance criteria describe the performance needed to demonstrate achievement of the element. Wher</w:t>
            </w:r>
            <w:r w:rsidRPr="00EB6C97">
              <w:t>e bold italicised text is used, further information is detailed in the required skills and knowledge section and the range statement. Assessment of performance is to be consistent with the evidence guide.</w:t>
            </w:r>
          </w:p>
        </w:tc>
      </w:tr>
    </w:tbl>
    <w:p w:rsidR="00000000" w:rsidRPr="00EB6C97" w:rsidP="00EB6C97">
      <w:pPr>
        <w:pStyle w:val="BodyText"/>
      </w:pPr>
    </w:p>
    <w:p w:rsidR="00000000" w:rsidRPr="00EB6C97" w:rsidP="00EB6C97">
      <w:pPr>
        <w:pStyle w:val="AllowPageBreak"/>
      </w:pPr>
    </w:p>
    <w:p w:rsidR="00000000" w:rsidRPr="00EB6C97" w:rsidP="00EB6C97">
      <w:pPr>
        <w:pStyle w:val="Heading1"/>
      </w:pPr>
      <w:bookmarkStart w:id="8" w:name="O_400650"/>
      <w:bookmarkEnd w:id="8"/>
      <w:r w:rsidRPr="00EB6C97">
        <w:t>Elements and Performance Criteri</w:t>
      </w:r>
      <w:r w:rsidRPr="00EB6C97">
        <w:t>a</w:t>
      </w:r>
    </w:p>
    <w:tbl>
      <w:tblPr>
        <w:tblW w:w="0" w:type="auto"/>
        <w:tblLayout w:type="fixed"/>
        <w:tblCellMar>
          <w:left w:w="62" w:type="dxa"/>
          <w:right w:w="62" w:type="dxa"/>
        </w:tblCellMar>
        <w:tblLook w:val="0000"/>
      </w:tblPr>
      <w:tblGrid>
        <w:gridCol w:w="678"/>
        <w:gridCol w:w="1962"/>
        <w:gridCol w:w="770"/>
        <w:gridCol w:w="5610"/>
      </w:tblGrid>
      <w:tr w:rsidTr="00EB6C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1</w:t>
            </w:r>
          </w:p>
        </w:tc>
        <w:tc>
          <w:tcPr>
            <w:tcW w:w="1962" w:type="dxa"/>
            <w:vMerge w:val="restart"/>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Research requirements of applicable legislation</w:t>
            </w:r>
          </w:p>
        </w:tc>
        <w:tc>
          <w:tcPr>
            <w:tcW w:w="770" w:type="dxa"/>
            <w:tcBorders>
              <w:top w:val="nil"/>
              <w:left w:val="nil"/>
              <w:bottom w:val="nil"/>
              <w:right w:val="nil"/>
            </w:tcBorders>
            <w:tcMar>
              <w:top w:w="0" w:type="dxa"/>
              <w:left w:w="62" w:type="dxa"/>
              <w:bottom w:w="0" w:type="dxa"/>
              <w:right w:w="62" w:type="dxa"/>
            </w:tcMar>
          </w:tcPr>
          <w:p w:rsidR="00000000" w:rsidRPr="00EB6C97" w:rsidP="00EB6C97">
            <w:pPr>
              <w:pStyle w:val="BodyText"/>
            </w:pPr>
            <w:r w:rsidRPr="00EB6C97">
              <w:t>1.1</w:t>
            </w:r>
          </w:p>
        </w:tc>
        <w:tc>
          <w:tcPr>
            <w:tcW w:w="561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rPr>
                <w:rStyle w:val="BoldandItalics"/>
              </w:rPr>
              <w:t>Legislation</w:t>
            </w:r>
            <w:r w:rsidRPr="00EB6C97">
              <w:t xml:space="preserve"> affecting compliance of designs for different types of </w:t>
            </w:r>
            <w:r w:rsidRPr="00EB6C97">
              <w:rPr>
                <w:rStyle w:val="BoldandItalics"/>
              </w:rPr>
              <w:t xml:space="preserve">large and complex building projects </w:t>
            </w:r>
            <w:r w:rsidRPr="00EB6C97">
              <w:t>is researched and variations in requirements are interpreted and noted.</w:t>
            </w:r>
          </w:p>
        </w:tc>
      </w:tr>
      <w:tr w:rsidTr="00EB6C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1.2</w:t>
            </w:r>
          </w:p>
        </w:tc>
        <w:tc>
          <w:tcPr>
            <w:tcW w:w="561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 xml:space="preserve">Legislation affecting compliance of designs for different </w:t>
            </w:r>
            <w:r w:rsidRPr="00EB6C97">
              <w:rPr>
                <w:rStyle w:val="BoldandItalics"/>
              </w:rPr>
              <w:t>project locations</w:t>
            </w:r>
            <w:r w:rsidRPr="00EB6C97">
              <w:t xml:space="preserve"> and </w:t>
            </w:r>
            <w:r w:rsidRPr="00EB6C97">
              <w:rPr>
                <w:rStyle w:val="BoldandItalics"/>
              </w:rPr>
              <w:t>conditions</w:t>
            </w:r>
            <w:r w:rsidRPr="00EB6C97">
              <w:t xml:space="preserve"> is researched and variations in requirements are interpreted and noted.</w:t>
            </w:r>
          </w:p>
        </w:tc>
      </w:tr>
      <w:tr w:rsidTr="00EB6C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1.3</w:t>
            </w:r>
          </w:p>
        </w:tc>
        <w:tc>
          <w:tcPr>
            <w:tcW w:w="5610" w:type="dxa"/>
            <w:tcBorders>
              <w:top w:val="nil"/>
              <w:left w:val="nil"/>
              <w:bottom w:val="nil"/>
              <w:right w:val="nil"/>
            </w:tcBorders>
            <w:tcMar>
              <w:top w:w="0" w:type="dxa"/>
              <w:left w:w="62" w:type="dxa"/>
              <w:bottom w:w="0" w:type="dxa"/>
              <w:right w:w="62" w:type="dxa"/>
            </w:tcMar>
          </w:tcPr>
          <w:p w:rsidR="00000000" w:rsidRPr="00EB6C97" w:rsidP="00EB6C97">
            <w:pPr>
              <w:pStyle w:val="BodyText"/>
            </w:pPr>
            <w:r w:rsidRPr="00EB6C97">
              <w:t>Research is recorded, filed and regularly updated according to workplace procedures</w:t>
            </w:r>
          </w:p>
        </w:tc>
      </w:tr>
    </w:tbl>
    <w:p w:rsidR="00000000" w:rsidRPr="00EB6C97" w:rsidP="00EB6C97">
      <w:pPr>
        <w:pStyle w:val="BodyText"/>
      </w:pPr>
    </w:p>
    <w:tbl>
      <w:tblPr>
        <w:tblW w:w="0" w:type="auto"/>
        <w:tblLayout w:type="fixed"/>
        <w:tblCellMar>
          <w:left w:w="62" w:type="dxa"/>
          <w:right w:w="62" w:type="dxa"/>
        </w:tblCellMar>
        <w:tblLook w:val="0000"/>
      </w:tblPr>
      <w:tblGrid>
        <w:gridCol w:w="678"/>
        <w:gridCol w:w="1962"/>
        <w:gridCol w:w="770"/>
        <w:gridCol w:w="5610"/>
      </w:tblGrid>
      <w:tr w:rsidTr="00EB6C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2</w:t>
            </w:r>
          </w:p>
        </w:tc>
        <w:tc>
          <w:tcPr>
            <w:tcW w:w="1962" w:type="dxa"/>
            <w:vMerge w:val="restart"/>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Research requirements of applicable codes and standards</w:t>
            </w:r>
          </w:p>
        </w:tc>
        <w:tc>
          <w:tcPr>
            <w:tcW w:w="770" w:type="dxa"/>
            <w:tcBorders>
              <w:top w:val="nil"/>
              <w:left w:val="nil"/>
              <w:bottom w:val="nil"/>
              <w:right w:val="nil"/>
            </w:tcBorders>
            <w:tcMar>
              <w:top w:w="0" w:type="dxa"/>
              <w:left w:w="62" w:type="dxa"/>
              <w:bottom w:w="0" w:type="dxa"/>
              <w:right w:w="62" w:type="dxa"/>
            </w:tcMar>
          </w:tcPr>
          <w:p w:rsidR="00000000" w:rsidRPr="00EB6C97" w:rsidP="00EB6C97">
            <w:pPr>
              <w:pStyle w:val="BodyText"/>
            </w:pPr>
            <w:r w:rsidRPr="00EB6C97">
              <w:t>2.1</w:t>
            </w:r>
          </w:p>
        </w:tc>
        <w:tc>
          <w:tcPr>
            <w:tcW w:w="561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rPr>
                <w:rStyle w:val="BoldandItalics"/>
              </w:rPr>
              <w:t>Codes and standards</w:t>
            </w:r>
            <w:r w:rsidRPr="00EB6C97">
              <w:t xml:space="preserve"> relating to different types of building design projects are researched and variations in requirements are interpreted and noted.</w:t>
            </w:r>
          </w:p>
        </w:tc>
      </w:tr>
      <w:tr w:rsidTr="00EB6C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2.2</w:t>
            </w:r>
          </w:p>
        </w:tc>
        <w:tc>
          <w:tcPr>
            <w:tcW w:w="561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Codes and standards relating to different project locations and conditions are researched and variations in requirements are interpreted and noted.</w:t>
            </w:r>
          </w:p>
        </w:tc>
      </w:tr>
      <w:tr w:rsidTr="00EB6C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2.3</w:t>
            </w:r>
          </w:p>
        </w:tc>
        <w:tc>
          <w:tcPr>
            <w:tcW w:w="5610" w:type="dxa"/>
            <w:tcBorders>
              <w:top w:val="nil"/>
              <w:left w:val="nil"/>
              <w:bottom w:val="nil"/>
              <w:right w:val="nil"/>
            </w:tcBorders>
            <w:tcMar>
              <w:top w:w="0" w:type="dxa"/>
              <w:left w:w="62" w:type="dxa"/>
              <w:bottom w:w="0" w:type="dxa"/>
              <w:right w:w="62" w:type="dxa"/>
            </w:tcMar>
          </w:tcPr>
          <w:p w:rsidR="00000000" w:rsidRPr="00EB6C97" w:rsidP="00EB6C97">
            <w:pPr>
              <w:pStyle w:val="BodyText"/>
            </w:pPr>
            <w:r w:rsidRPr="00EB6C97">
              <w:t>Research is recorded, filed and regularly updated according to workplace procedures.</w:t>
            </w:r>
          </w:p>
        </w:tc>
      </w:tr>
    </w:tbl>
    <w:p w:rsidR="00000000" w:rsidRPr="00EB6C97" w:rsidP="00EB6C97">
      <w:pPr>
        <w:pStyle w:val="BodyText"/>
      </w:pPr>
    </w:p>
    <w:tbl>
      <w:tblPr>
        <w:tblW w:w="0" w:type="auto"/>
        <w:tblLayout w:type="fixed"/>
        <w:tblCellMar>
          <w:left w:w="62" w:type="dxa"/>
          <w:right w:w="62" w:type="dxa"/>
        </w:tblCellMar>
        <w:tblLook w:val="0000"/>
      </w:tblPr>
      <w:tblGrid>
        <w:gridCol w:w="678"/>
        <w:gridCol w:w="1962"/>
        <w:gridCol w:w="770"/>
        <w:gridCol w:w="5610"/>
      </w:tblGrid>
      <w:tr w:rsidTr="00EB6C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3</w:t>
            </w:r>
          </w:p>
        </w:tc>
        <w:tc>
          <w:tcPr>
            <w:tcW w:w="1962" w:type="dxa"/>
            <w:vMerge w:val="restart"/>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Analyse impa</w:t>
            </w:r>
            <w:r w:rsidRPr="00EB6C97">
              <w:t>ct of alternative solutions on project development</w:t>
            </w:r>
          </w:p>
        </w:tc>
        <w:tc>
          <w:tcPr>
            <w:tcW w:w="77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3.1</w:t>
            </w:r>
          </w:p>
        </w:tc>
        <w:tc>
          <w:tcPr>
            <w:tcW w:w="561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Deemed-to-satisfy and alternative solutions are compared and evaluated to assess relative strengths and weaknesses.</w:t>
            </w:r>
          </w:p>
        </w:tc>
      </w:tr>
      <w:tr w:rsidTr="00EB6C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B6C97" w:rsidP="00EB6C97">
            <w:pPr>
              <w:pStyle w:val="BodyText"/>
            </w:pPr>
            <w:r w:rsidRPr="00EB6C97">
              <w:t>3.2</w:t>
            </w:r>
          </w:p>
        </w:tc>
        <w:tc>
          <w:tcPr>
            <w:tcW w:w="5610" w:type="dxa"/>
            <w:tcBorders>
              <w:top w:val="nil"/>
              <w:left w:val="nil"/>
              <w:bottom w:val="nil"/>
              <w:right w:val="nil"/>
            </w:tcBorders>
            <w:tcMar>
              <w:top w:w="0" w:type="dxa"/>
              <w:left w:w="62" w:type="dxa"/>
              <w:bottom w:w="0" w:type="dxa"/>
              <w:right w:w="62" w:type="dxa"/>
            </w:tcMar>
          </w:tcPr>
          <w:p w:rsidR="00000000" w:rsidRPr="00EB6C97" w:rsidP="00EB6C97">
            <w:pPr>
              <w:pStyle w:val="BodyText"/>
            </w:pPr>
            <w:r w:rsidRPr="00EB6C97">
              <w:rPr>
                <w:rStyle w:val="BoldandItalics"/>
              </w:rPr>
              <w:t>Expert opinion</w:t>
            </w:r>
            <w:r w:rsidRPr="00EB6C97">
              <w:t xml:space="preserve"> regarding the compliance requirements of alternative solutions is sought to inform decision making.</w:t>
            </w:r>
          </w:p>
        </w:tc>
      </w:tr>
    </w:tbl>
    <w:p w:rsidR="00000000" w:rsidRPr="00EB6C97" w:rsidP="00EB6C97">
      <w:pPr>
        <w:pStyle w:val="BodyText"/>
      </w:pPr>
    </w:p>
    <w:tbl>
      <w:tblPr>
        <w:tblW w:w="0" w:type="auto"/>
        <w:tblLayout w:type="fixed"/>
        <w:tblCellMar>
          <w:left w:w="62" w:type="dxa"/>
          <w:right w:w="62" w:type="dxa"/>
        </w:tblCellMar>
        <w:tblLook w:val="0000"/>
      </w:tblPr>
      <w:tblGrid>
        <w:gridCol w:w="678"/>
        <w:gridCol w:w="1962"/>
        <w:gridCol w:w="770"/>
        <w:gridCol w:w="5610"/>
      </w:tblGrid>
      <w:tr w:rsidTr="00EB6C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4</w:t>
            </w:r>
          </w:p>
        </w:tc>
        <w:tc>
          <w:tcPr>
            <w:tcW w:w="1962" w:type="dxa"/>
            <w:vMerge w:val="restart"/>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Analyse compliance requirements</w:t>
            </w:r>
          </w:p>
        </w:tc>
        <w:tc>
          <w:tcPr>
            <w:tcW w:w="77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4.1</w:t>
            </w:r>
          </w:p>
        </w:tc>
        <w:tc>
          <w:tcPr>
            <w:tcW w:w="561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Ambiguous or conflicting compliance requirements are clarified with relevant professionals.</w:t>
            </w:r>
          </w:p>
        </w:tc>
      </w:tr>
      <w:tr w:rsidTr="00EB6C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4.2</w:t>
            </w:r>
          </w:p>
        </w:tc>
        <w:tc>
          <w:tcPr>
            <w:tcW w:w="561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Compliance requirements that affect client preferences are identified and communicated to client.</w:t>
            </w:r>
          </w:p>
        </w:tc>
      </w:tr>
      <w:tr w:rsidTr="00EB6C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4.3</w:t>
            </w:r>
          </w:p>
        </w:tc>
        <w:tc>
          <w:tcPr>
            <w:tcW w:w="5610" w:type="dxa"/>
            <w:tcBorders>
              <w:top w:val="nil"/>
              <w:left w:val="nil"/>
              <w:bottom w:val="nil"/>
              <w:right w:val="nil"/>
            </w:tcBorders>
            <w:tcMar>
              <w:top w:w="0" w:type="dxa"/>
              <w:left w:w="62" w:type="dxa"/>
              <w:bottom w:w="0" w:type="dxa"/>
              <w:right w:w="62" w:type="dxa"/>
            </w:tcMar>
          </w:tcPr>
          <w:p w:rsidR="00000000" w:rsidRPr="00EB6C97" w:rsidP="00EB6C97">
            <w:pPr>
              <w:pStyle w:val="BodyText"/>
            </w:pPr>
            <w:r w:rsidRPr="00EB6C97">
              <w:t>Constraints placed on design options by compliance requirements are identified and innovative solutions proposed.</w:t>
            </w:r>
          </w:p>
        </w:tc>
      </w:tr>
    </w:tbl>
    <w:p w:rsidR="001F5DD9" w:rsidP="00EB6C97">
      <w:pPr>
        <w:pStyle w:val="BodyText"/>
      </w:pPr>
    </w:p>
    <w:p w:rsidR="001F5DD9" w:rsidP="00EB6C97">
      <w:pPr>
        <w:pStyle w:val="BodyText"/>
      </w:pPr>
    </w:p>
    <w:p w:rsidR="00000000" w:rsidRPr="00EB6C97" w:rsidP="00EB6C97">
      <w:pPr>
        <w:pStyle w:val="Heading1"/>
      </w:pPr>
      <w:bookmarkStart w:id="9" w:name="O_400651"/>
      <w:bookmarkEnd w:id="9"/>
      <w:r w:rsidRPr="00EB6C97">
        <w:t>Required Skills a</w:t>
      </w:r>
      <w:r w:rsidRPr="00EB6C97">
        <w:t>nd Knowledge</w:t>
      </w:r>
    </w:p>
    <w:tbl>
      <w:tblPr>
        <w:tblW w:w="0" w:type="auto"/>
        <w:tblLayout w:type="fixed"/>
        <w:tblCellMar>
          <w:left w:w="62" w:type="dxa"/>
          <w:right w:w="62" w:type="dxa"/>
        </w:tblCellMar>
        <w:tblLook w:val="0000"/>
      </w:tblPr>
      <w:tblGrid>
        <w:gridCol w:w="9179"/>
      </w:tblGrid>
      <w:tr w:rsidTr="00EB6C9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t>This section describes the skills and knowledge required for this unit.</w:t>
            </w:r>
          </w:p>
        </w:tc>
      </w:tr>
      <w:tr w:rsidTr="00EB6C9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rPr>
                <w:rStyle w:val="SpecialBold"/>
              </w:rPr>
              <w:t>Required skills</w:t>
            </w:r>
          </w:p>
        </w:tc>
      </w:tr>
      <w:tr w:rsidTr="00EB6C9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EB6C97" w:rsidP="00EB6C97">
            <w:pPr>
              <w:pStyle w:val="ListBullet"/>
            </w:pPr>
            <w:r w:rsidRPr="00EB6C97">
              <w:t>administration and management skills to:</w:t>
            </w:r>
          </w:p>
          <w:p w:rsidR="00000000" w:rsidRPr="00EB6C97" w:rsidP="00EB6C97">
            <w:pPr>
              <w:pStyle w:val="ListBullet2"/>
            </w:pPr>
            <w:r w:rsidRPr="00EB6C97">
              <w:t>manage documents</w:t>
            </w:r>
          </w:p>
          <w:p w:rsidR="00000000" w:rsidRPr="00EB6C97" w:rsidP="00EB6C97">
            <w:pPr>
              <w:pStyle w:val="ListBullet2"/>
            </w:pPr>
            <w:r w:rsidRPr="00EB6C97">
              <w:t>manage time, including planning and prioritising work</w:t>
            </w:r>
          </w:p>
          <w:p w:rsidR="00000000" w:rsidRPr="00EB6C97" w:rsidP="00EB6C97">
            <w:pPr>
              <w:pStyle w:val="ListBullet2"/>
            </w:pPr>
            <w:r w:rsidRPr="00EB6C97">
              <w:t>plan and arrange professional development activities</w:t>
            </w:r>
          </w:p>
          <w:p w:rsidR="00000000" w:rsidRPr="00EB6C97" w:rsidP="00EB6C97">
            <w:pPr>
              <w:pStyle w:val="ListBullet"/>
            </w:pPr>
            <w:r w:rsidRPr="00EB6C97">
              <w:t>analytical and problem-solving skills to:</w:t>
            </w:r>
          </w:p>
          <w:p w:rsidR="00000000" w:rsidRPr="00EB6C97" w:rsidP="00EB6C97">
            <w:pPr>
              <w:pStyle w:val="ListBullet2"/>
            </w:pPr>
            <w:r w:rsidRPr="00EB6C97">
              <w:t>develop innovative design solutions</w:t>
            </w:r>
          </w:p>
          <w:p w:rsidR="00000000" w:rsidRPr="00EB6C97" w:rsidP="00EB6C97">
            <w:pPr>
              <w:pStyle w:val="ListBullet2"/>
            </w:pPr>
            <w:r w:rsidRPr="00EB6C97">
              <w:t>research compliance requirements</w:t>
            </w:r>
          </w:p>
          <w:p w:rsidR="00000000" w:rsidRPr="00EB6C97" w:rsidP="00EB6C97">
            <w:pPr>
              <w:pStyle w:val="ListBullet"/>
            </w:pPr>
            <w:r w:rsidRPr="00EB6C97">
              <w:t>interpersonal skills to interact with clients and relevant professionals</w:t>
            </w:r>
          </w:p>
          <w:p w:rsidR="00000000" w:rsidRPr="00EB6C97" w:rsidP="00EB6C97">
            <w:pPr>
              <w:pStyle w:val="ListBullet"/>
            </w:pPr>
            <w:r w:rsidRPr="00EB6C97">
              <w:t>language, literacy</w:t>
            </w:r>
            <w:r w:rsidRPr="00EB6C97">
              <w:t xml:space="preserve"> and numeracy skills to:</w:t>
            </w:r>
          </w:p>
          <w:p w:rsidR="00000000" w:rsidRPr="00EB6C97" w:rsidP="00EB6C97">
            <w:pPr>
              <w:pStyle w:val="ListBullet2"/>
            </w:pPr>
            <w:r w:rsidRPr="00EB6C97">
              <w:t>communicate with clients, colleagues and contacts, including writing reports</w:t>
            </w:r>
          </w:p>
          <w:p w:rsidR="00000000" w:rsidRPr="00EB6C97" w:rsidP="00EB6C97">
            <w:pPr>
              <w:pStyle w:val="ListBullet2"/>
            </w:pPr>
            <w:r w:rsidRPr="00EB6C97">
              <w:t>interpret and apply complex information, including legislation, regulations and codes and standards</w:t>
            </w:r>
          </w:p>
          <w:p w:rsidR="00000000" w:rsidP="00EB6C97">
            <w:pPr>
              <w:pStyle w:val="ListBullet"/>
              <w:rPr>
                <w:lang w:val="en-NZ"/>
              </w:rPr>
            </w:pPr>
            <w:r w:rsidRPr="00EB6C97">
              <w:t xml:space="preserve">technology skills to use information technology and relevant software </w:t>
            </w:r>
          </w:p>
        </w:tc>
      </w:tr>
      <w:tr w:rsidTr="00EB6C9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p>
        </w:tc>
      </w:tr>
      <w:tr w:rsidTr="00EB6C9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B6C97">
            <w:pPr>
              <w:pStyle w:val="BodyText"/>
              <w:rPr>
                <w:lang w:val="en-NZ"/>
              </w:rPr>
            </w:pPr>
            <w:r w:rsidRPr="00EB6C97">
              <w:rPr>
                <w:rStyle w:val="SpecialBold"/>
              </w:rPr>
              <w:t>Required knowledge</w:t>
            </w:r>
          </w:p>
        </w:tc>
      </w:tr>
      <w:tr w:rsidTr="00EB6C9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EB6C97" w:rsidP="00EB6C97">
            <w:pPr>
              <w:pStyle w:val="ListBullet"/>
            </w:pPr>
            <w:r w:rsidRPr="00EB6C97">
              <w:t>compliance requirements relating to construction Type A building design projects, including:</w:t>
            </w:r>
          </w:p>
          <w:p w:rsidR="00000000" w:rsidRPr="00EB6C97" w:rsidP="00EB6C97">
            <w:pPr>
              <w:pStyle w:val="ListBullet2"/>
            </w:pPr>
            <w:r w:rsidRPr="00EB6C97">
              <w:t>Australian standards</w:t>
            </w:r>
          </w:p>
          <w:p w:rsidR="00000000" w:rsidRPr="00EB6C97" w:rsidP="00EB6C97">
            <w:pPr>
              <w:pStyle w:val="ListBullet2"/>
            </w:pPr>
            <w:r w:rsidRPr="00EB6C97">
              <w:t xml:space="preserve">BCA deemed-to-satisfy requirements </w:t>
            </w:r>
          </w:p>
          <w:p w:rsidR="00000000" w:rsidRPr="00EB6C97" w:rsidP="00EB6C97">
            <w:pPr>
              <w:pStyle w:val="ListBullet2"/>
            </w:pPr>
            <w:r w:rsidRPr="00EB6C97">
              <w:t>BCA alterna</w:t>
            </w:r>
            <w:r w:rsidRPr="00EB6C97">
              <w:t>tive solutions requirements, including:</w:t>
            </w:r>
          </w:p>
          <w:p w:rsidR="00000000" w:rsidRPr="00EB6C97" w:rsidP="00EB6C97">
            <w:pPr>
              <w:pStyle w:val="ListBullet3"/>
            </w:pPr>
            <w:r w:rsidRPr="00EB6C97">
              <w:t>Australian standards</w:t>
            </w:r>
          </w:p>
          <w:p w:rsidR="00000000" w:rsidRPr="00EB6C97" w:rsidP="00EB6C97">
            <w:pPr>
              <w:pStyle w:val="ListBullet3"/>
            </w:pPr>
            <w:r w:rsidRPr="00EB6C97">
              <w:t>techniques for carbon dioxide reduction, including specification of materials, glue and paint</w:t>
            </w:r>
          </w:p>
          <w:p w:rsidR="00000000" w:rsidRPr="00EB6C97" w:rsidP="00EB6C97">
            <w:pPr>
              <w:pStyle w:val="ListBullet3"/>
            </w:pPr>
            <w:r w:rsidRPr="00EB6C97">
              <w:t>energy efficiency</w:t>
            </w:r>
          </w:p>
          <w:p w:rsidR="00000000" w:rsidRPr="00EB6C97" w:rsidP="00EB6C97">
            <w:pPr>
              <w:pStyle w:val="ListBullet3"/>
            </w:pPr>
            <w:r w:rsidRPr="00EB6C97">
              <w:t>fire resistance levels</w:t>
            </w:r>
          </w:p>
          <w:p w:rsidR="00000000" w:rsidRPr="00EB6C97" w:rsidP="00EB6C97">
            <w:pPr>
              <w:pStyle w:val="ListBullet2"/>
            </w:pPr>
            <w:r w:rsidRPr="00EB6C97">
              <w:t>Building Acts</w:t>
            </w:r>
          </w:p>
          <w:p w:rsidR="00000000" w:rsidRPr="00EB6C97" w:rsidP="00EB6C97">
            <w:pPr>
              <w:pStyle w:val="ListBullet2"/>
            </w:pPr>
            <w:r w:rsidRPr="00EB6C97">
              <w:t>town planning and other planning body requirements</w:t>
            </w:r>
          </w:p>
          <w:p w:rsidR="00000000" w:rsidRPr="00EB6C97" w:rsidP="00EB6C97">
            <w:pPr>
              <w:pStyle w:val="ListBullet2"/>
            </w:pPr>
            <w:r w:rsidRPr="00EB6C97">
              <w:t>legislation</w:t>
            </w:r>
          </w:p>
          <w:p w:rsidR="00000000" w:rsidRPr="00EB6C97" w:rsidP="00EB6C97">
            <w:pPr>
              <w:pStyle w:val="ListBullet2"/>
            </w:pPr>
            <w:r w:rsidRPr="00EB6C97">
              <w:t>regulatory limitations</w:t>
            </w:r>
          </w:p>
          <w:p w:rsidR="00000000" w:rsidRPr="00EB6C97" w:rsidP="00EB6C97">
            <w:pPr>
              <w:pStyle w:val="ListBullet"/>
            </w:pPr>
            <w:r w:rsidRPr="00EB6C97">
              <w:t>organisational scope of business and client demographics, including:</w:t>
            </w:r>
          </w:p>
          <w:p w:rsidR="00000000" w:rsidRPr="00EB6C97" w:rsidP="00EB6C97">
            <w:pPr>
              <w:pStyle w:val="ListBullet2"/>
            </w:pPr>
            <w:r w:rsidRPr="00EB6C97">
              <w:t>geographic areas of operation</w:t>
            </w:r>
          </w:p>
          <w:p w:rsidR="00000000" w:rsidRPr="00EB6C97" w:rsidP="00EB6C97">
            <w:pPr>
              <w:pStyle w:val="ListBullet2"/>
            </w:pPr>
            <w:r w:rsidRPr="00EB6C97">
              <w:t>trends in client design preferences</w:t>
            </w:r>
          </w:p>
          <w:p w:rsidR="00000000" w:rsidRPr="00EB6C97" w:rsidP="00EB6C97">
            <w:pPr>
              <w:pStyle w:val="ListBullet2"/>
            </w:pPr>
            <w:r w:rsidRPr="00EB6C97">
              <w:t>types of building design projects that form the core business of the organisation</w:t>
            </w:r>
          </w:p>
          <w:p w:rsidR="00000000" w:rsidRPr="00EB6C97" w:rsidP="00EB6C97">
            <w:pPr>
              <w:pStyle w:val="ListBullet"/>
            </w:pPr>
            <w:r w:rsidRPr="00EB6C97">
              <w:t>sources of reliable information on interpretation of compliance requirements</w:t>
            </w:r>
          </w:p>
        </w:tc>
      </w:tr>
    </w:tbl>
    <w:p w:rsidR="001F5DD9" w:rsidP="00EB6C97">
      <w:pPr>
        <w:pStyle w:val="BodyText"/>
      </w:pPr>
    </w:p>
    <w:p w:rsidR="001F5DD9" w:rsidP="00EB6C97">
      <w:pPr>
        <w:pStyle w:val="BodyText"/>
      </w:pPr>
    </w:p>
    <w:p w:rsidR="00000000" w:rsidRPr="00EB6C97" w:rsidP="00EB6C97">
      <w:pPr>
        <w:pStyle w:val="Heading1"/>
      </w:pPr>
      <w:bookmarkStart w:id="10" w:name="O_400652"/>
      <w:bookmarkEnd w:id="10"/>
      <w:r w:rsidRPr="00EB6C97">
        <w:t>Evidence Guide</w:t>
      </w:r>
    </w:p>
    <w:tbl>
      <w:tblPr>
        <w:tblW w:w="0" w:type="auto"/>
        <w:tblLayout w:type="fixed"/>
        <w:tblCellMar>
          <w:left w:w="62" w:type="dxa"/>
          <w:right w:w="62" w:type="dxa"/>
        </w:tblCellMar>
        <w:tblLook w:val="0000"/>
      </w:tblPr>
      <w:tblGrid>
        <w:gridCol w:w="2638"/>
        <w:gridCol w:w="6541"/>
      </w:tblGrid>
      <w:tr w:rsidTr="00EB6C97">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EB6C97">
            <w:pPr>
              <w:pStyle w:val="BodyText"/>
              <w:rPr>
                <w:lang w:val="en-NZ"/>
              </w:rPr>
            </w:pPr>
            <w:r w:rsidRPr="00EB6C97">
              <w:t>The evidence guide provides advice on assessment and must be r</w:t>
            </w:r>
            <w:r w:rsidRPr="00EB6C97">
              <w:t>ead in conjunction with the performance criteria, required skills and knowledge, range statement and the Assessment Guidelines for the Training Package.</w:t>
            </w:r>
          </w:p>
        </w:tc>
      </w:tr>
      <w:tr w:rsidTr="00EB6C9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C97">
            <w:pPr>
              <w:pStyle w:val="BodyText"/>
              <w:rPr>
                <w:lang w:val="en-NZ"/>
              </w:rPr>
            </w:pPr>
            <w:r w:rsidRPr="00EB6C97">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C97" w:rsidP="00EB6C97">
            <w:pPr>
              <w:pStyle w:val="BodyText"/>
            </w:pPr>
            <w:r w:rsidRPr="00EB6C97">
              <w:t>A person should demonstrate the ability to:</w:t>
            </w:r>
          </w:p>
          <w:p w:rsidR="00000000" w:rsidRPr="00EB6C97" w:rsidP="00EB6C97">
            <w:pPr>
              <w:pStyle w:val="ListBullet"/>
            </w:pPr>
            <w:r w:rsidRPr="00EB6C97">
              <w:t>develop a body of current research findings suitable for compliance with codes, standards and planning requirements for construction Type A building design projects</w:t>
            </w:r>
          </w:p>
          <w:p w:rsidR="00000000" w:rsidRPr="00EB6C97" w:rsidP="00EB6C97">
            <w:pPr>
              <w:pStyle w:val="ListBullet"/>
            </w:pPr>
            <w:r w:rsidRPr="00EB6C97">
              <w:t>provide evidence of construction Type A buildin</w:t>
            </w:r>
            <w:r w:rsidRPr="00EB6C97">
              <w:t>g compliance requirements being documented and met for at least two specific projects covering different types of buildings</w:t>
            </w:r>
          </w:p>
          <w:p w:rsidR="00000000" w:rsidP="00EB6C97">
            <w:pPr>
              <w:pStyle w:val="ListBullet"/>
              <w:rPr>
                <w:lang w:val="en-NZ"/>
              </w:rPr>
            </w:pPr>
            <w:r w:rsidRPr="00EB6C97">
              <w:t xml:space="preserve">systematically document and store research findings. </w:t>
            </w:r>
          </w:p>
        </w:tc>
      </w:tr>
      <w:tr w:rsidTr="00EB6C9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C97">
            <w:pPr>
              <w:pStyle w:val="BodyText"/>
              <w:rPr>
                <w:lang w:val="en-NZ"/>
              </w:rPr>
            </w:pPr>
            <w:r w:rsidRPr="00EB6C97">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C97" w:rsidP="00EB6C97">
            <w:pPr>
              <w:pStyle w:val="BodyText"/>
            </w:pPr>
            <w:r w:rsidRPr="00EB6C97">
              <w:t>Assessment of this unit:</w:t>
            </w:r>
          </w:p>
          <w:p w:rsidR="00000000" w:rsidRPr="00EB6C97" w:rsidP="00EB6C97">
            <w:pPr>
              <w:pStyle w:val="ListBullet"/>
            </w:pPr>
            <w:r w:rsidRPr="00EB6C97">
              <w:t>mus</w:t>
            </w:r>
            <w:r w:rsidRPr="00EB6C97">
              <w:t>t be in the context of the work environment</w:t>
            </w:r>
          </w:p>
          <w:p w:rsidR="00000000" w:rsidRPr="00EB6C97" w:rsidP="00EB6C97">
            <w:pPr>
              <w:pStyle w:val="ListBullet"/>
            </w:pPr>
            <w:r w:rsidRPr="00EB6C97">
              <w:t>may be conducted in an off-site context, provided it is realistic and sufficiently rigorous to cover all aspects of workplace performance, including task skills, task management skills, contingency management ski</w:t>
            </w:r>
            <w:r w:rsidRPr="00EB6C97">
              <w:t>lls and job role environment skills</w:t>
            </w:r>
          </w:p>
          <w:p w:rsidR="00000000" w:rsidRPr="00EB6C97" w:rsidP="00EB6C97">
            <w:pPr>
              <w:pStyle w:val="ListBullet"/>
            </w:pPr>
            <w:r w:rsidRPr="00EB6C97">
              <w:t>must meet relevant compliance requirements.</w:t>
            </w:r>
          </w:p>
          <w:p w:rsidR="00000000" w:rsidRPr="00EB6C97" w:rsidP="00EB6C97">
            <w:pPr>
              <w:pStyle w:val="BodyText"/>
            </w:pPr>
            <w:r w:rsidRPr="00EB6C97">
              <w:t>Resource implications for assessment include:</w:t>
            </w:r>
          </w:p>
          <w:p w:rsidR="00000000" w:rsidRPr="00EB6C97" w:rsidP="00EB6C97">
            <w:pPr>
              <w:pStyle w:val="ListBullet"/>
            </w:pPr>
            <w:r w:rsidRPr="00EB6C97">
              <w:t>access to:</w:t>
            </w:r>
          </w:p>
          <w:p w:rsidR="00000000" w:rsidRPr="00EB6C97" w:rsidP="00EB6C97">
            <w:pPr>
              <w:pStyle w:val="ListBullet2"/>
            </w:pPr>
            <w:r w:rsidRPr="00EB6C97">
              <w:t>suitable assessment venue and equipment</w:t>
            </w:r>
          </w:p>
          <w:p w:rsidR="00000000" w:rsidRPr="00EB6C97" w:rsidP="00EB6C97">
            <w:pPr>
              <w:pStyle w:val="ListBullet2"/>
            </w:pPr>
            <w:r w:rsidRPr="00EB6C97">
              <w:t>suitable simulated or real opportunities and resources to demonstrate competence</w:t>
            </w:r>
          </w:p>
          <w:p w:rsidR="00000000" w:rsidP="00EB6C97">
            <w:pPr>
              <w:pStyle w:val="ListBullet"/>
              <w:rPr>
                <w:lang w:val="en-NZ"/>
              </w:rPr>
            </w:pPr>
            <w:r w:rsidRPr="00EB6C97">
              <w:t>assessment instruments.</w:t>
            </w:r>
          </w:p>
        </w:tc>
      </w:tr>
      <w:tr w:rsidTr="00EB6C9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C97">
            <w:pPr>
              <w:pStyle w:val="BodyText"/>
              <w:rPr>
                <w:lang w:val="en-NZ"/>
              </w:rPr>
            </w:pPr>
            <w:r w:rsidRPr="00EB6C97">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C97" w:rsidP="00EB6C97">
            <w:pPr>
              <w:pStyle w:val="BodyText"/>
            </w:pPr>
            <w:r w:rsidRPr="00EB6C97">
              <w:t>Assessment for this unit must verify the practical application of the required skills and knowledge, using one or more of the fo</w:t>
            </w:r>
            <w:r w:rsidRPr="00EB6C97">
              <w:t>llowing methods:</w:t>
            </w:r>
          </w:p>
          <w:p w:rsidR="00000000" w:rsidRPr="00EB6C97" w:rsidP="00EB6C97">
            <w:pPr>
              <w:pStyle w:val="ListBullet"/>
            </w:pPr>
            <w:r w:rsidRPr="00EB6C97">
              <w:t>written and/or oral assessment of the candidates required knowledge for the unit</w:t>
            </w:r>
          </w:p>
          <w:p w:rsidR="00000000" w:rsidRPr="00EB6C97" w:rsidP="00EB6C97">
            <w:pPr>
              <w:pStyle w:val="ListBullet"/>
            </w:pPr>
            <w:r w:rsidRPr="00EB6C97">
              <w:t xml:space="preserve">observed, documented and/or firsthand testimonial evidence of the candidates </w:t>
            </w:r>
          </w:p>
          <w:p w:rsidR="00000000" w:rsidRPr="00EB6C97" w:rsidP="00EB6C97">
            <w:pPr>
              <w:pStyle w:val="ListBullet"/>
            </w:pPr>
            <w:r w:rsidRPr="00EB6C97">
              <w:t xml:space="preserve">implementation of appropriate procedures and techniques for the safe, effective </w:t>
            </w:r>
            <w:r w:rsidRPr="00EB6C97">
              <w:t>and efficient achievement of the required outcomes</w:t>
            </w:r>
          </w:p>
          <w:p w:rsidR="00000000" w:rsidRPr="00EB6C97" w:rsidP="00EB6C97">
            <w:pPr>
              <w:pStyle w:val="ListBullet"/>
            </w:pPr>
            <w:r w:rsidRPr="00EB6C97">
              <w:t>identification of the relevant information and scope of the work required to meet the required outcomes</w:t>
            </w:r>
          </w:p>
          <w:p w:rsidR="00000000" w:rsidRPr="00EB6C97" w:rsidP="00EB6C97">
            <w:pPr>
              <w:pStyle w:val="ListBullet"/>
            </w:pPr>
            <w:r w:rsidRPr="00EB6C97">
              <w:t>identification of viable options and the selection of options that best meet the required outcomes</w:t>
            </w:r>
          </w:p>
          <w:p w:rsidR="00000000" w:rsidP="00EB6C97">
            <w:pPr>
              <w:pStyle w:val="ListBullet"/>
              <w:rPr>
                <w:lang w:val="en-NZ"/>
              </w:rPr>
            </w:pPr>
            <w:r w:rsidRPr="00EB6C97">
              <w:t>consistently achieving the required outcomes.</w:t>
            </w:r>
          </w:p>
        </w:tc>
      </w:tr>
      <w:tr w:rsidTr="00EB6C9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C97">
            <w:pPr>
              <w:pStyle w:val="BodyText"/>
              <w:rPr>
                <w:lang w:val="en-NZ"/>
              </w:rPr>
            </w:pPr>
            <w:r w:rsidRPr="00EB6C97">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C97" w:rsidP="00EB6C97">
            <w:pPr>
              <w:pStyle w:val="BodyText"/>
            </w:pPr>
            <w:r w:rsidRPr="00EB6C97">
              <w:t>This unit could be assessed on its own or in combination with other units relevant to the job function.</w:t>
            </w:r>
          </w:p>
          <w:p w:rsidR="00000000" w:rsidRPr="00EB6C97" w:rsidP="00EB6C97">
            <w:pPr>
              <w:pStyle w:val="BodyText"/>
            </w:pPr>
            <w:r w:rsidRPr="00EB6C97">
              <w:t>Where applicable, physical resources should include equipment modifie</w:t>
            </w:r>
            <w:r w:rsidRPr="00EB6C97">
              <w:t>d for people with disabilities.</w:t>
            </w:r>
          </w:p>
          <w:p w:rsidR="00000000" w:rsidRPr="00EB6C97" w:rsidP="00EB6C97">
            <w:pPr>
              <w:pStyle w:val="BodyText"/>
            </w:pPr>
            <w:r w:rsidRPr="00EB6C97">
              <w:t>Access must be provided to appropriate learning and/or assessment support when required.</w:t>
            </w:r>
          </w:p>
          <w:p w:rsidR="00000000" w:rsidRPr="00EB6C97" w:rsidP="00EB6C97">
            <w:pPr>
              <w:pStyle w:val="BodyText"/>
            </w:pPr>
            <w:r w:rsidRPr="00EB6C97">
              <w:t>Assessment processes and techniques must be culturally appropriate, and appropriate to the language and literacy capacity of the candid</w:t>
            </w:r>
            <w:r w:rsidRPr="00EB6C97">
              <w:t>ate and the work being performed.</w:t>
            </w:r>
          </w:p>
        </w:tc>
      </w:tr>
    </w:tbl>
    <w:p w:rsidR="001F5DD9" w:rsidP="00EB6C97">
      <w:pPr>
        <w:pStyle w:val="BodyText"/>
      </w:pPr>
    </w:p>
    <w:p w:rsidR="001F5DD9" w:rsidP="00EB6C97">
      <w:pPr>
        <w:pStyle w:val="BodyText"/>
      </w:pPr>
    </w:p>
    <w:p w:rsidR="00000000" w:rsidRPr="00EB6C97" w:rsidP="00EB6C97">
      <w:pPr>
        <w:pStyle w:val="Heading1"/>
      </w:pPr>
      <w:bookmarkStart w:id="11" w:name="O_400653"/>
      <w:bookmarkEnd w:id="11"/>
      <w:r w:rsidRPr="00EB6C97">
        <w:t>Range Statement</w:t>
      </w:r>
    </w:p>
    <w:tbl>
      <w:tblPr>
        <w:tblW w:w="0" w:type="auto"/>
        <w:tblLayout w:type="fixed"/>
        <w:tblCellMar>
          <w:left w:w="62" w:type="dxa"/>
          <w:right w:w="62" w:type="dxa"/>
        </w:tblCellMar>
        <w:tblLook w:val="0000"/>
      </w:tblPr>
      <w:tblGrid>
        <w:gridCol w:w="2634"/>
        <w:gridCol w:w="6545"/>
      </w:tblGrid>
      <w:tr w:rsidTr="00EB6C97">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EB6C97">
            <w:pPr>
              <w:pStyle w:val="BodyText"/>
              <w:rPr>
                <w:lang w:val="en-NZ"/>
              </w:rPr>
            </w:pPr>
            <w:r w:rsidRPr="00EB6C97">
              <w:t>The range statement relates to the unit of competency as a whole. It allows for different work environments and situations that may affect performance. Bold italicised wording, if used i</w:t>
            </w:r>
            <w:r w:rsidRPr="00EB6C97">
              <w:t>n the performance criteria, is detailed below. Essential operating conditions that may be present with training and assessment (depending on the work situation, needs of the candidate, accessibility of the item, and local industry and regional contexts) ma</w:t>
            </w:r>
            <w:r w:rsidRPr="00EB6C97">
              <w:t>y also be included.</w:t>
            </w:r>
          </w:p>
        </w:tc>
      </w:tr>
      <w:tr w:rsidTr="00EB6C97">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C97">
            <w:pPr>
              <w:pStyle w:val="BodyText"/>
              <w:rPr>
                <w:lang w:val="en-NZ"/>
              </w:rPr>
            </w:pPr>
            <w:r w:rsidRPr="00EB6C97">
              <w:rPr>
                <w:rStyle w:val="BoldandItalics"/>
              </w:rPr>
              <w:t>Legislation</w:t>
            </w:r>
            <w:r w:rsidRPr="00EB6C97">
              <w:t xml:space="preserve"> may include:</w:t>
            </w:r>
          </w:p>
        </w:tc>
        <w:tc>
          <w:tcPr>
            <w:tcW w:w="6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C97" w:rsidP="00EB6C97">
            <w:pPr>
              <w:pStyle w:val="ListBullet"/>
            </w:pPr>
            <w:r w:rsidRPr="00EB6C97">
              <w:t>legislation, regulations and local by-laws relating to:</w:t>
            </w:r>
          </w:p>
          <w:p w:rsidR="00000000" w:rsidRPr="00EB6C97" w:rsidP="00EB6C97">
            <w:pPr>
              <w:pStyle w:val="ListBullet2"/>
            </w:pPr>
            <w:r w:rsidRPr="00EB6C97">
              <w:t>conservation</w:t>
            </w:r>
          </w:p>
          <w:p w:rsidR="00000000" w:rsidRPr="00EB6C97" w:rsidP="00EB6C97">
            <w:pPr>
              <w:pStyle w:val="ListBullet2"/>
            </w:pPr>
            <w:r w:rsidRPr="00EB6C97">
              <w:t>construction materials and methods</w:t>
            </w:r>
          </w:p>
          <w:p w:rsidR="00000000" w:rsidRPr="00EB6C97" w:rsidP="00EB6C97">
            <w:pPr>
              <w:pStyle w:val="ListBullet2"/>
            </w:pPr>
            <w:r w:rsidRPr="00EB6C97">
              <w:t>energy</w:t>
            </w:r>
          </w:p>
          <w:p w:rsidR="00000000" w:rsidRPr="00EB6C97" w:rsidP="00EB6C97">
            <w:pPr>
              <w:pStyle w:val="ListBullet2"/>
            </w:pPr>
            <w:r w:rsidRPr="00EB6C97">
              <w:t>environment</w:t>
            </w:r>
          </w:p>
          <w:p w:rsidR="00000000" w:rsidRPr="00EB6C97" w:rsidP="00EB6C97">
            <w:pPr>
              <w:pStyle w:val="ListBullet2"/>
            </w:pPr>
            <w:r w:rsidRPr="00EB6C97">
              <w:t>heritage</w:t>
            </w:r>
          </w:p>
          <w:p w:rsidR="00000000" w:rsidRPr="00EB6C97" w:rsidP="00EB6C97">
            <w:pPr>
              <w:pStyle w:val="ListBullet2"/>
            </w:pPr>
            <w:r w:rsidRPr="00EB6C97">
              <w:t>OHS</w:t>
            </w:r>
          </w:p>
          <w:p w:rsidR="00000000" w:rsidRPr="00EB6C97" w:rsidP="00EB6C97">
            <w:pPr>
              <w:pStyle w:val="ListBullet2"/>
            </w:pPr>
            <w:r w:rsidRPr="00EB6C97">
              <w:t>planning</w:t>
            </w:r>
          </w:p>
          <w:p w:rsidR="00000000" w:rsidRPr="00EB6C97" w:rsidP="00EB6C97">
            <w:pPr>
              <w:pStyle w:val="ListBullet2"/>
            </w:pPr>
            <w:r w:rsidRPr="00EB6C97">
              <w:t>water</w:t>
            </w:r>
          </w:p>
          <w:p w:rsidR="00000000" w:rsidP="00EB6C97">
            <w:pPr>
              <w:pStyle w:val="ListBullet"/>
              <w:rPr>
                <w:lang w:val="en-NZ"/>
              </w:rPr>
            </w:pPr>
            <w:r w:rsidRPr="00EB6C97">
              <w:t>local authority planning schemes.</w:t>
            </w:r>
          </w:p>
        </w:tc>
      </w:tr>
      <w:tr w:rsidTr="00EB6C97">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C97" w:rsidP="00EB6C97">
            <w:pPr>
              <w:pStyle w:val="BodyText"/>
            </w:pPr>
            <w:r w:rsidRPr="00EB6C97">
              <w:rPr>
                <w:rStyle w:val="BoldandItalics"/>
              </w:rPr>
              <w:t xml:space="preserve">Large and complex building projects </w:t>
            </w:r>
            <w:r w:rsidRPr="00EB6C97">
              <w:t>include:</w:t>
            </w:r>
          </w:p>
        </w:tc>
        <w:tc>
          <w:tcPr>
            <w:tcW w:w="6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C97" w:rsidP="00EB6C97">
            <w:pPr>
              <w:pStyle w:val="ListBullet"/>
            </w:pPr>
            <w:r w:rsidRPr="00EB6C97">
              <w:rPr>
                <w:rStyle w:val="SpecialBold"/>
              </w:rPr>
              <w:t>construc</w:t>
            </w:r>
            <w:r w:rsidRPr="00EB6C97">
              <w:t>tion Type A buildings defined by the BCA, which are projects that are:</w:t>
            </w:r>
          </w:p>
          <w:p w:rsidR="00000000" w:rsidRPr="00EB6C97" w:rsidP="00EB6C97">
            <w:pPr>
              <w:pStyle w:val="ListBullet2"/>
            </w:pPr>
            <w:r w:rsidRPr="00EB6C97">
              <w:t>of 3 storeys for Class 2, 3 and 9 buildings</w:t>
            </w:r>
          </w:p>
          <w:p w:rsidR="00000000" w:rsidRPr="00EB6C97" w:rsidP="00EB6C97">
            <w:pPr>
              <w:pStyle w:val="ListBullet2"/>
            </w:pPr>
            <w:r w:rsidRPr="00EB6C97">
              <w:t>of 4 or more storeys for Class 5, 6, 7 and 8 buildings</w:t>
            </w:r>
          </w:p>
          <w:p w:rsidR="00000000" w:rsidRPr="00EB6C97" w:rsidP="00EB6C97">
            <w:pPr>
              <w:pStyle w:val="ListBullet"/>
            </w:pPr>
            <w:r w:rsidRPr="00EB6C97">
              <w:t>construction projects, which may</w:t>
            </w:r>
            <w:r w:rsidRPr="00EB6C97">
              <w:t xml:space="preserve"> be:</w:t>
            </w:r>
          </w:p>
          <w:p w:rsidR="00000000" w:rsidRPr="00EB6C97" w:rsidP="00EB6C97">
            <w:pPr>
              <w:pStyle w:val="ListBullet2"/>
            </w:pPr>
            <w:r w:rsidRPr="00EB6C97">
              <w:t>new buildings</w:t>
            </w:r>
          </w:p>
          <w:p w:rsidR="00000000" w:rsidRPr="00EB6C97" w:rsidP="00EB6C97">
            <w:pPr>
              <w:pStyle w:val="ListBullet2"/>
            </w:pPr>
            <w:r w:rsidRPr="00EB6C97">
              <w:t xml:space="preserve">renovations </w:t>
            </w:r>
          </w:p>
          <w:p w:rsidR="00000000" w:rsidRPr="00EB6C97" w:rsidP="00EB6C97">
            <w:pPr>
              <w:pStyle w:val="ListBullet2"/>
            </w:pPr>
            <w:r w:rsidRPr="00EB6C97">
              <w:t>conversions</w:t>
            </w:r>
          </w:p>
          <w:p w:rsidR="00000000" w:rsidRPr="00EB6C97" w:rsidP="00EB6C97">
            <w:pPr>
              <w:pStyle w:val="ListBullet2"/>
            </w:pPr>
            <w:r w:rsidRPr="00EB6C97">
              <w:t>residential</w:t>
            </w:r>
          </w:p>
          <w:p w:rsidR="00000000" w:rsidRPr="00EB6C97" w:rsidP="00EB6C97">
            <w:pPr>
              <w:pStyle w:val="ListBullet2"/>
            </w:pPr>
            <w:r w:rsidRPr="00EB6C97">
              <w:t>commercial</w:t>
            </w:r>
          </w:p>
          <w:p w:rsidR="00000000" w:rsidRPr="00EB6C97" w:rsidP="00EB6C97">
            <w:pPr>
              <w:pStyle w:val="ListBullet2"/>
            </w:pPr>
            <w:r w:rsidRPr="00EB6C97">
              <w:t>industrial</w:t>
            </w:r>
          </w:p>
          <w:p w:rsidR="00000000" w:rsidRPr="00EB6C97" w:rsidP="00EB6C97">
            <w:pPr>
              <w:pStyle w:val="ListBullet2"/>
            </w:pPr>
            <w:r w:rsidRPr="00EB6C97">
              <w:t>public buildings.</w:t>
            </w:r>
          </w:p>
          <w:p w:rsidR="00000000" w:rsidRPr="00EB6C97" w:rsidP="00EB6C97">
            <w:pPr>
              <w:pStyle w:val="BodyText"/>
            </w:pPr>
          </w:p>
          <w:p w:rsidR="00000000" w:rsidP="00EB6C97">
            <w:pPr>
              <w:pStyle w:val="BodyText"/>
              <w:rPr>
                <w:lang w:val="en-NZ"/>
              </w:rPr>
            </w:pPr>
            <w:r w:rsidRPr="00EB6C97">
              <w:t xml:space="preserve">Note: It is essential to refer to current BCA documentation to ensure accuracy of definitions and scopes. </w:t>
            </w:r>
          </w:p>
        </w:tc>
      </w:tr>
      <w:tr w:rsidTr="00EB6C97">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C97">
            <w:pPr>
              <w:pStyle w:val="BodyText"/>
              <w:rPr>
                <w:lang w:val="en-NZ"/>
              </w:rPr>
            </w:pPr>
            <w:r w:rsidRPr="00EB6C97">
              <w:rPr>
                <w:rStyle w:val="BoldandItalics"/>
              </w:rPr>
              <w:t>Project locations</w:t>
            </w:r>
            <w:r w:rsidRPr="00EB6C97">
              <w:t xml:space="preserve"> may include:</w:t>
            </w:r>
          </w:p>
        </w:tc>
        <w:tc>
          <w:tcPr>
            <w:tcW w:w="6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C97" w:rsidP="00EB6C97">
            <w:pPr>
              <w:pStyle w:val="ListBullet"/>
            </w:pPr>
            <w:r w:rsidRPr="00EB6C97">
              <w:t>locations within the jurisdictions of different:</w:t>
            </w:r>
          </w:p>
          <w:p w:rsidR="00000000" w:rsidRPr="00EB6C97" w:rsidP="00EB6C97">
            <w:pPr>
              <w:pStyle w:val="ListBullet2"/>
            </w:pPr>
            <w:r w:rsidRPr="00EB6C97">
              <w:t>countries</w:t>
            </w:r>
          </w:p>
          <w:p w:rsidR="00000000" w:rsidRPr="00EB6C97" w:rsidP="00EB6C97">
            <w:pPr>
              <w:pStyle w:val="ListBullet2"/>
            </w:pPr>
            <w:r w:rsidRPr="00EB6C97">
              <w:t>local authorities</w:t>
            </w:r>
          </w:p>
          <w:p w:rsidR="00000000" w:rsidRPr="00EB6C97" w:rsidP="00EB6C97">
            <w:pPr>
              <w:pStyle w:val="ListBullet2"/>
            </w:pPr>
            <w:r w:rsidRPr="00EB6C97">
              <w:t>states and territories</w:t>
            </w:r>
          </w:p>
          <w:p w:rsidR="00000000" w:rsidRPr="00EB6C97" w:rsidP="00EB6C97">
            <w:pPr>
              <w:pStyle w:val="ListBullet"/>
            </w:pPr>
            <w:r w:rsidRPr="00EB6C97">
              <w:t>locations with specific conditions, such as:</w:t>
            </w:r>
          </w:p>
          <w:p w:rsidR="00000000" w:rsidRPr="00EB6C97" w:rsidP="00EB6C97">
            <w:pPr>
              <w:pStyle w:val="ListBullet2"/>
            </w:pPr>
            <w:r w:rsidRPr="00EB6C97">
              <w:t>bushfire threat zones</w:t>
            </w:r>
          </w:p>
          <w:p w:rsidR="00000000" w:rsidRPr="00EB6C97" w:rsidP="00EB6C97">
            <w:pPr>
              <w:pStyle w:val="ListBullet2"/>
            </w:pPr>
            <w:r w:rsidRPr="00EB6C97">
              <w:t>coastal areas</w:t>
            </w:r>
          </w:p>
          <w:p w:rsidR="00000000" w:rsidRPr="00EB6C97" w:rsidP="00EB6C97">
            <w:pPr>
              <w:pStyle w:val="ListBullet2"/>
            </w:pPr>
            <w:r w:rsidRPr="00EB6C97">
              <w:t>cyclone zones</w:t>
            </w:r>
          </w:p>
          <w:p w:rsidR="00000000" w:rsidRPr="00EB6C97" w:rsidP="00EB6C97">
            <w:pPr>
              <w:pStyle w:val="ListBullet2"/>
            </w:pPr>
            <w:r w:rsidRPr="00EB6C97">
              <w:t>flood zones</w:t>
            </w:r>
          </w:p>
          <w:p w:rsidR="00000000" w:rsidRPr="00EB6C97" w:rsidP="00EB6C97">
            <w:pPr>
              <w:pStyle w:val="ListBullet2"/>
            </w:pPr>
            <w:r w:rsidRPr="00EB6C97">
              <w:t>mountainous areas</w:t>
            </w:r>
          </w:p>
          <w:p w:rsidR="00000000" w:rsidRPr="00EB6C97" w:rsidP="00EB6C97">
            <w:pPr>
              <w:pStyle w:val="ListBullet2"/>
            </w:pPr>
            <w:r w:rsidRPr="00EB6C97">
              <w:t>rural areas</w:t>
            </w:r>
          </w:p>
          <w:p w:rsidR="00000000" w:rsidP="00EB6C97">
            <w:pPr>
              <w:pStyle w:val="ListBullet2"/>
              <w:rPr>
                <w:lang w:val="en-NZ"/>
              </w:rPr>
            </w:pPr>
            <w:r w:rsidRPr="00EB6C97">
              <w:t>snow zones.</w:t>
            </w:r>
          </w:p>
        </w:tc>
      </w:tr>
      <w:tr w:rsidTr="00EB6C97">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C97">
            <w:pPr>
              <w:pStyle w:val="BodyText"/>
              <w:rPr>
                <w:lang w:val="en-NZ"/>
              </w:rPr>
            </w:pPr>
            <w:r w:rsidRPr="00EB6C97">
              <w:rPr>
                <w:rStyle w:val="BoldandItalics"/>
              </w:rPr>
              <w:t>Conditions</w:t>
            </w:r>
            <w:r w:rsidRPr="00EB6C97">
              <w:t xml:space="preserve"> may include:</w:t>
            </w:r>
          </w:p>
        </w:tc>
        <w:tc>
          <w:tcPr>
            <w:tcW w:w="6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C97" w:rsidP="00EB6C97">
            <w:pPr>
              <w:pStyle w:val="ListBullet"/>
            </w:pPr>
            <w:r w:rsidRPr="00EB6C97">
              <w:t>environmental, including:</w:t>
            </w:r>
          </w:p>
          <w:p w:rsidR="00000000" w:rsidRPr="00EB6C97" w:rsidP="00EB6C97">
            <w:pPr>
              <w:pStyle w:val="ListBullet2"/>
            </w:pPr>
            <w:r w:rsidRPr="00EB6C97">
              <w:t>natural waterways</w:t>
            </w:r>
          </w:p>
          <w:p w:rsidR="00000000" w:rsidRPr="00EB6C97" w:rsidP="00EB6C97">
            <w:pPr>
              <w:pStyle w:val="ListBullet2"/>
            </w:pPr>
            <w:r w:rsidRPr="00EB6C97">
              <w:t>protected flora and fauna</w:t>
            </w:r>
          </w:p>
          <w:p w:rsidR="00000000" w:rsidRPr="00EB6C97" w:rsidP="00EB6C97">
            <w:pPr>
              <w:pStyle w:val="ListBullet"/>
            </w:pPr>
            <w:r w:rsidRPr="00EB6C97">
              <w:t>weather, including:</w:t>
            </w:r>
          </w:p>
          <w:p w:rsidR="00000000" w:rsidRPr="00EB6C97" w:rsidP="00EB6C97">
            <w:pPr>
              <w:pStyle w:val="ListBullet2"/>
            </w:pPr>
            <w:r w:rsidRPr="00EB6C97">
              <w:t>bushfires</w:t>
            </w:r>
          </w:p>
          <w:p w:rsidR="00000000" w:rsidRPr="00EB6C97" w:rsidP="00EB6C97">
            <w:pPr>
              <w:pStyle w:val="ListBullet2"/>
            </w:pPr>
            <w:r w:rsidRPr="00EB6C97">
              <w:t>cyclones</w:t>
            </w:r>
          </w:p>
          <w:p w:rsidR="00000000" w:rsidRPr="00EB6C97" w:rsidP="00EB6C97">
            <w:pPr>
              <w:pStyle w:val="ListBullet2"/>
            </w:pPr>
            <w:r w:rsidRPr="00EB6C97">
              <w:t>floods</w:t>
            </w:r>
          </w:p>
          <w:p w:rsidR="00000000" w:rsidP="00EB6C97">
            <w:pPr>
              <w:pStyle w:val="ListBullet2"/>
              <w:rPr>
                <w:lang w:val="en-NZ"/>
              </w:rPr>
            </w:pPr>
            <w:r w:rsidRPr="00EB6C97">
              <w:t>snow.</w:t>
            </w:r>
          </w:p>
        </w:tc>
      </w:tr>
      <w:tr w:rsidTr="00EB6C97">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C97">
            <w:pPr>
              <w:pStyle w:val="BodyText"/>
              <w:rPr>
                <w:lang w:val="en-NZ"/>
              </w:rPr>
            </w:pPr>
            <w:r w:rsidRPr="00EB6C97">
              <w:rPr>
                <w:rStyle w:val="BoldandItalics"/>
              </w:rPr>
              <w:t>Codes and standards</w:t>
            </w:r>
            <w:r w:rsidRPr="00EB6C97">
              <w:t xml:space="preserve"> may include:</w:t>
            </w:r>
          </w:p>
        </w:tc>
        <w:tc>
          <w:tcPr>
            <w:tcW w:w="6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C97" w:rsidP="00EB6C97">
            <w:pPr>
              <w:pStyle w:val="ListBullet"/>
            </w:pPr>
            <w:r w:rsidRPr="00EB6C97">
              <w:t>Australian standards</w:t>
            </w:r>
          </w:p>
          <w:p w:rsidR="00000000" w:rsidRPr="00EB6C97" w:rsidP="00EB6C97">
            <w:pPr>
              <w:pStyle w:val="ListBullet"/>
            </w:pPr>
            <w:r w:rsidRPr="00EB6C97">
              <w:t>BCA</w:t>
            </w:r>
          </w:p>
          <w:p w:rsidR="00000000" w:rsidRPr="00EB6C97" w:rsidP="00EB6C97">
            <w:pPr>
              <w:pStyle w:val="ListBullet"/>
            </w:pPr>
            <w:r w:rsidRPr="00EB6C97">
              <w:t>Building Acts</w:t>
            </w:r>
          </w:p>
          <w:p w:rsidR="00000000" w:rsidRPr="00EB6C97" w:rsidP="00EB6C97">
            <w:pPr>
              <w:pStyle w:val="ListBullet"/>
            </w:pPr>
            <w:r w:rsidRPr="00EB6C97">
              <w:t>codes and standards applicable:</w:t>
            </w:r>
          </w:p>
          <w:p w:rsidR="00000000" w:rsidRPr="00EB6C97" w:rsidP="00EB6C97">
            <w:pPr>
              <w:pStyle w:val="ListBullet2"/>
            </w:pPr>
            <w:r w:rsidRPr="00EB6C97">
              <w:t>at project locations</w:t>
            </w:r>
          </w:p>
          <w:p w:rsidR="00000000" w:rsidP="00EB6C97">
            <w:pPr>
              <w:pStyle w:val="ListBullet2"/>
              <w:rPr>
                <w:lang w:val="en-NZ"/>
              </w:rPr>
            </w:pPr>
            <w:r w:rsidRPr="00EB6C97">
              <w:t>in particular conditions.</w:t>
            </w:r>
          </w:p>
        </w:tc>
      </w:tr>
      <w:tr w:rsidTr="00EB6C97">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C97">
            <w:pPr>
              <w:pStyle w:val="BodyText"/>
              <w:rPr>
                <w:lang w:val="en-NZ"/>
              </w:rPr>
            </w:pPr>
            <w:r w:rsidRPr="00EB6C97">
              <w:rPr>
                <w:rStyle w:val="BoldandItalics"/>
              </w:rPr>
              <w:t xml:space="preserve">Expert opinion </w:t>
            </w:r>
            <w:r w:rsidRPr="00EB6C97">
              <w:t>may be sought from professionals, such as:</w:t>
            </w:r>
          </w:p>
        </w:tc>
        <w:tc>
          <w:tcPr>
            <w:tcW w:w="6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C97" w:rsidP="00EB6C97">
            <w:pPr>
              <w:pStyle w:val="ListBullet"/>
            </w:pPr>
            <w:r w:rsidRPr="00EB6C97">
              <w:t>access consultants</w:t>
            </w:r>
          </w:p>
          <w:p w:rsidR="00000000" w:rsidRPr="00EB6C97" w:rsidP="00EB6C97">
            <w:pPr>
              <w:pStyle w:val="ListBullet"/>
            </w:pPr>
            <w:r w:rsidRPr="00EB6C97">
              <w:t>acoustics engineers and professionals</w:t>
            </w:r>
          </w:p>
          <w:p w:rsidR="00000000" w:rsidRPr="00EB6C97" w:rsidP="00EB6C97">
            <w:pPr>
              <w:pStyle w:val="ListBullet"/>
            </w:pPr>
            <w:r w:rsidRPr="00EB6C97">
              <w:t>bushfire management professionals</w:t>
            </w:r>
          </w:p>
          <w:p w:rsidR="00000000" w:rsidRPr="00EB6C97" w:rsidP="00EB6C97">
            <w:pPr>
              <w:pStyle w:val="ListBullet"/>
            </w:pPr>
            <w:r w:rsidRPr="00EB6C97">
              <w:t>construction contractors</w:t>
            </w:r>
          </w:p>
          <w:p w:rsidR="00000000" w:rsidRPr="00EB6C97" w:rsidP="00EB6C97">
            <w:pPr>
              <w:pStyle w:val="ListBullet"/>
            </w:pPr>
            <w:r w:rsidRPr="00EB6C97">
              <w:t>civil engineers</w:t>
            </w:r>
          </w:p>
          <w:p w:rsidR="00000000" w:rsidRPr="00EB6C97" w:rsidP="00EB6C97">
            <w:pPr>
              <w:pStyle w:val="ListBullet"/>
            </w:pPr>
            <w:r w:rsidRPr="00EB6C97">
              <w:t>energy efficiency experts</w:t>
            </w:r>
          </w:p>
          <w:p w:rsidR="00000000" w:rsidRPr="00EB6C97" w:rsidP="00EB6C97">
            <w:pPr>
              <w:pStyle w:val="ListBullet"/>
            </w:pPr>
            <w:r w:rsidRPr="00EB6C97">
              <w:t>fire systems designers and engineers</w:t>
            </w:r>
          </w:p>
          <w:p w:rsidR="00000000" w:rsidRPr="00EB6C97" w:rsidP="00EB6C97">
            <w:pPr>
              <w:pStyle w:val="ListBullet"/>
            </w:pPr>
            <w:r w:rsidRPr="00EB6C97">
              <w:t>hydraulic engineers</w:t>
            </w:r>
          </w:p>
          <w:p w:rsidR="00000000" w:rsidRPr="00EB6C97" w:rsidP="00EB6C97">
            <w:pPr>
              <w:pStyle w:val="ListBullet"/>
            </w:pPr>
            <w:r w:rsidRPr="00EB6C97">
              <w:t>landscape designers</w:t>
            </w:r>
          </w:p>
          <w:p w:rsidR="00000000" w:rsidRPr="00EB6C97" w:rsidP="00EB6C97">
            <w:pPr>
              <w:pStyle w:val="ListBullet"/>
            </w:pPr>
            <w:r w:rsidRPr="00EB6C97">
              <w:t>lighting specialists</w:t>
            </w:r>
          </w:p>
          <w:p w:rsidR="00000000" w:rsidRPr="00EB6C97" w:rsidP="00EB6C97">
            <w:pPr>
              <w:pStyle w:val="ListBullet"/>
            </w:pPr>
            <w:r w:rsidRPr="00EB6C97">
              <w:t>mechanical services engineers</w:t>
            </w:r>
          </w:p>
          <w:p w:rsidR="00000000" w:rsidRPr="00EB6C97" w:rsidP="00EB6C97">
            <w:pPr>
              <w:pStyle w:val="ListBullet"/>
            </w:pPr>
            <w:r w:rsidRPr="00EB6C97">
              <w:t>OHS experts</w:t>
            </w:r>
          </w:p>
          <w:p w:rsidR="00000000" w:rsidRPr="00EB6C97" w:rsidP="00EB6C97">
            <w:pPr>
              <w:pStyle w:val="ListBullet"/>
            </w:pPr>
            <w:r w:rsidRPr="00EB6C97">
              <w:t>plumbing and drainage professionals</w:t>
            </w:r>
          </w:p>
          <w:p w:rsidR="00000000" w:rsidRPr="00EB6C97" w:rsidP="00EB6C97">
            <w:pPr>
              <w:pStyle w:val="ListBullet"/>
            </w:pPr>
            <w:r w:rsidRPr="00EB6C97">
              <w:t>quantity surveyors</w:t>
            </w:r>
          </w:p>
          <w:p w:rsidR="00000000" w:rsidRPr="00EB6C97" w:rsidP="00EB6C97">
            <w:pPr>
              <w:pStyle w:val="ListBullet"/>
            </w:pPr>
            <w:r w:rsidRPr="00EB6C97">
              <w:t>service contractors</w:t>
            </w:r>
          </w:p>
          <w:p w:rsidR="00000000" w:rsidRPr="00EB6C97" w:rsidP="00EB6C97">
            <w:pPr>
              <w:pStyle w:val="ListBullet"/>
            </w:pPr>
            <w:r w:rsidRPr="00EB6C97">
              <w:t>soil testing or</w:t>
            </w:r>
            <w:r w:rsidRPr="00EB6C97">
              <w:t xml:space="preserve"> geo-technical engineers and experts</w:t>
            </w:r>
          </w:p>
          <w:p w:rsidR="00000000" w:rsidRPr="00EB6C97" w:rsidP="00EB6C97">
            <w:pPr>
              <w:pStyle w:val="ListBullet"/>
            </w:pPr>
            <w:r w:rsidRPr="00EB6C97">
              <w:t>structural engineers</w:t>
            </w:r>
          </w:p>
          <w:p w:rsidR="00000000" w:rsidRPr="00EB6C97" w:rsidP="00EB6C97">
            <w:pPr>
              <w:pStyle w:val="ListBullet"/>
            </w:pPr>
            <w:r w:rsidRPr="00EB6C97">
              <w:t>surveyors.</w:t>
            </w:r>
          </w:p>
        </w:tc>
      </w:tr>
    </w:tbl>
    <w:p w:rsidR="001F5DD9" w:rsidP="00EB6C97">
      <w:pPr>
        <w:pStyle w:val="BodyText"/>
      </w:pPr>
    </w:p>
    <w:p w:rsidR="001F5DD9" w:rsidP="00EB6C97">
      <w:pPr>
        <w:pStyle w:val="BodyText"/>
      </w:pPr>
    </w:p>
    <w:p w:rsidR="00000000" w:rsidRPr="00EB6C97" w:rsidP="00EB6C97">
      <w:pPr>
        <w:pStyle w:val="Heading1"/>
      </w:pPr>
      <w:bookmarkStart w:id="12" w:name="O_400654"/>
      <w:bookmarkEnd w:id="12"/>
      <w:r w:rsidRPr="00EB6C97">
        <w:t>Unit Sector(s)</w:t>
      </w:r>
    </w:p>
    <w:p w:rsidR="00000000" w:rsidRPr="00EB6C97" w:rsidP="00EB6C97">
      <w:pPr>
        <w:pStyle w:val="BodyText"/>
      </w:pPr>
      <w:r w:rsidRPr="00EB6C97">
        <w:t>Building design</w:t>
      </w:r>
    </w:p>
    <w:p w:rsidR="00000000" w:rsidRPr="00EB6C97" w:rsidP="00EB6C97">
      <w:pPr>
        <w:pStyle w:val="AllowPageBreak"/>
      </w:pPr>
    </w:p>
    <w:p w:rsidR="00000000" w:rsidRPr="00EB6C97" w:rsidP="00EB6C97">
      <w:pPr>
        <w:pStyle w:val="Heading1"/>
      </w:pPr>
      <w:bookmarkStart w:id="13" w:name="O_400655"/>
      <w:bookmarkEnd w:id="13"/>
      <w:r w:rsidRPr="00EB6C97">
        <w:t>Custom Content Section</w:t>
      </w:r>
    </w:p>
    <w:p w:rsidR="00000000" w:rsidRPr="00EB6C97" w:rsidP="00EB6C97">
      <w:pPr>
        <w:pStyle w:val="BodyText"/>
      </w:pPr>
      <w:r w:rsidRPr="00EB6C97">
        <w:t>Not applicable.</w:t>
      </w:r>
    </w:p>
    <w:p w:rsidR="00000000" w:rsidRPr="00EB6C97" w:rsidP="00EB6C97"/>
    <w:sectPr w:rsidSect="00EB6C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DD9" w:rsidP="001F5D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DD9" w:rsidP="00EB6C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F5DD9" w:rsidP="00EB6C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F5DD9" w:rsidP="00EB6C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97" w:rsidRPr="001F5DD9" w:rsidP="001F5D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DD9" w:rsidRPr="002D2AF8" w:rsidP="00EB6C97">
    <w:pPr>
      <w:pStyle w:val="Header"/>
      <w:framePr w:wrap="around"/>
    </w:pPr>
    <w:r>
      <w:fldChar w:fldCharType="begin"/>
    </w:r>
    <w:r>
      <w:instrText xml:space="preserve"> TITLE   \* MERGEFORMAT </w:instrText>
    </w:r>
    <w:r>
      <w:fldChar w:fldCharType="separate"/>
    </w:r>
    <w:r>
      <w:t>CPPBDN8002A Research compliance requirements for complex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F5DD9" w:rsidP="00EB6C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CED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D01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384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C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C97"/>
    <w:pPr>
      <w:spacing w:before="360" w:after="60"/>
      <w:outlineLvl w:val="0"/>
    </w:pPr>
    <w:rPr>
      <w:sz w:val="32"/>
    </w:rPr>
  </w:style>
  <w:style w:type="paragraph" w:styleId="Heading2">
    <w:name w:val="heading 2"/>
    <w:basedOn w:val="HeadingBase"/>
    <w:next w:val="BodyText"/>
    <w:link w:val="Heading2Char"/>
    <w:qFormat/>
    <w:rsid w:val="00EB6C97"/>
    <w:pPr>
      <w:keepLines/>
      <w:spacing w:before="240" w:after="120"/>
      <w:outlineLvl w:val="1"/>
    </w:pPr>
    <w:rPr>
      <w:sz w:val="28"/>
      <w:szCs w:val="40"/>
    </w:rPr>
  </w:style>
  <w:style w:type="paragraph" w:styleId="Heading3">
    <w:name w:val="heading 3"/>
    <w:basedOn w:val="HeadingBase"/>
    <w:next w:val="BodyText"/>
    <w:link w:val="Heading3Char"/>
    <w:qFormat/>
    <w:rsid w:val="00EB6C97"/>
    <w:pPr>
      <w:spacing w:before="180" w:after="120"/>
      <w:outlineLvl w:val="2"/>
    </w:pPr>
    <w:rPr>
      <w:spacing w:val="-10"/>
      <w:kern w:val="32"/>
    </w:rPr>
  </w:style>
  <w:style w:type="paragraph" w:styleId="Heading4">
    <w:name w:val="heading 4"/>
    <w:basedOn w:val="HeadingBase"/>
    <w:next w:val="BodyText"/>
    <w:link w:val="Heading4Char"/>
    <w:qFormat/>
    <w:rsid w:val="00EB6C97"/>
    <w:pPr>
      <w:spacing w:before="160" w:after="120"/>
      <w:outlineLvl w:val="3"/>
    </w:pPr>
    <w:rPr>
      <w:sz w:val="22"/>
    </w:rPr>
  </w:style>
  <w:style w:type="paragraph" w:styleId="Heading5">
    <w:name w:val="heading 5"/>
    <w:basedOn w:val="HeadingBase"/>
    <w:next w:val="Normal"/>
    <w:link w:val="Heading5Char"/>
    <w:qFormat/>
    <w:rsid w:val="00EB6C97"/>
    <w:pPr>
      <w:spacing w:before="80"/>
      <w:outlineLvl w:val="4"/>
    </w:pPr>
    <w:rPr>
      <w:color w:val="918585"/>
      <w:sz w:val="20"/>
    </w:rPr>
  </w:style>
  <w:style w:type="paragraph" w:styleId="Heading6">
    <w:name w:val="heading 6"/>
    <w:basedOn w:val="HeadingBase"/>
    <w:next w:val="Normal"/>
    <w:link w:val="Heading6Char"/>
    <w:qFormat/>
    <w:rsid w:val="00EB6C97"/>
    <w:pPr>
      <w:spacing w:before="60"/>
      <w:outlineLvl w:val="5"/>
    </w:pPr>
    <w:rPr>
      <w:color w:val="918585"/>
      <w:sz w:val="20"/>
    </w:rPr>
  </w:style>
  <w:style w:type="paragraph" w:styleId="Heading7">
    <w:name w:val="heading 7"/>
    <w:basedOn w:val="Normal"/>
    <w:next w:val="Normal"/>
    <w:link w:val="Heading7Char"/>
    <w:qFormat/>
    <w:rsid w:val="00EB6C97"/>
    <w:pPr>
      <w:ind w:left="720"/>
      <w:outlineLvl w:val="6"/>
    </w:pPr>
    <w:rPr>
      <w:i/>
    </w:rPr>
  </w:style>
  <w:style w:type="paragraph" w:styleId="Heading8">
    <w:name w:val="heading 8"/>
    <w:basedOn w:val="Normal"/>
    <w:next w:val="Normal"/>
    <w:link w:val="Heading8Char"/>
    <w:qFormat/>
    <w:rsid w:val="00EB6C97"/>
    <w:pPr>
      <w:ind w:left="720"/>
      <w:outlineLvl w:val="7"/>
    </w:pPr>
    <w:rPr>
      <w:i/>
    </w:rPr>
  </w:style>
  <w:style w:type="paragraph" w:styleId="Heading9">
    <w:name w:val="heading 9"/>
    <w:basedOn w:val="Normal"/>
    <w:next w:val="Normal"/>
    <w:link w:val="Heading9Char"/>
    <w:qFormat/>
    <w:rsid w:val="00EB6C97"/>
    <w:pPr>
      <w:ind w:left="720"/>
      <w:outlineLvl w:val="8"/>
    </w:pPr>
    <w:rPr>
      <w:i/>
    </w:rPr>
  </w:style>
  <w:style w:type="character" w:default="1" w:styleId="DefaultParagraphFont">
    <w:name w:val="Default Paragraph Font"/>
    <w:uiPriority w:val="1"/>
    <w:unhideWhenUsed/>
    <w:rsid w:val="00EB6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C97"/>
  </w:style>
  <w:style w:type="character" w:customStyle="1" w:styleId="Heading1Char">
    <w:name w:val="Heading 1 Char"/>
    <w:basedOn w:val="DefaultParagraphFont"/>
    <w:link w:val="Heading1"/>
    <w:rsid w:val="00EB6C97"/>
    <w:rPr>
      <w:rFonts w:ascii="Times New Roman" w:eastAsia="Times New Roman" w:hAnsi="Times New Roman" w:cs="Times New Roman"/>
      <w:b/>
      <w:sz w:val="32"/>
      <w:szCs w:val="20"/>
      <w:lang w:eastAsia="en-US"/>
    </w:rPr>
  </w:style>
  <w:style w:type="paragraph" w:styleId="BodyText">
    <w:name w:val="Body Text"/>
    <w:basedOn w:val="Normal"/>
    <w:link w:val="BodyTextChar"/>
    <w:rsid w:val="00EB6C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C97"/>
    <w:rPr>
      <w:rFonts w:ascii="Times New Roman" w:eastAsia="Times New Roman" w:hAnsi="Times New Roman" w:cs="Times New Roman"/>
      <w:sz w:val="24"/>
      <w:lang w:eastAsia="en-US"/>
    </w:rPr>
  </w:style>
  <w:style w:type="paragraph" w:styleId="Footer">
    <w:name w:val="footer"/>
    <w:basedOn w:val="Normal"/>
    <w:link w:val="FooterChar"/>
    <w:rsid w:val="00EB6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C97"/>
    <w:rPr>
      <w:rFonts w:ascii="Times New Roman" w:eastAsia="Times New Roman" w:hAnsi="Times New Roman" w:cs="Times New Roman"/>
      <w:sz w:val="16"/>
      <w:lang w:eastAsia="en-US"/>
    </w:rPr>
  </w:style>
  <w:style w:type="paragraph" w:styleId="ListBullet">
    <w:name w:val="List Bullet"/>
    <w:basedOn w:val="List"/>
    <w:rsid w:val="00EB6C97"/>
    <w:pPr>
      <w:numPr>
        <w:numId w:val="14"/>
      </w:numPr>
      <w:tabs>
        <w:tab w:val="clear" w:pos="340"/>
      </w:tabs>
      <w:spacing w:before="40" w:after="40"/>
    </w:pPr>
  </w:style>
  <w:style w:type="character" w:customStyle="1" w:styleId="SpecialBold">
    <w:name w:val="Special Bold"/>
    <w:basedOn w:val="DefaultParagraphFont"/>
    <w:rsid w:val="00EB6C97"/>
    <w:rPr>
      <w:b/>
      <w:spacing w:val="0"/>
    </w:rPr>
  </w:style>
  <w:style w:type="paragraph" w:styleId="ListBullet2">
    <w:name w:val="List Bullet 2"/>
    <w:basedOn w:val="List2"/>
    <w:rsid w:val="00EB6C97"/>
    <w:pPr>
      <w:numPr>
        <w:numId w:val="15"/>
      </w:numPr>
      <w:tabs>
        <w:tab w:val="clear" w:pos="680"/>
      </w:tabs>
    </w:pPr>
  </w:style>
  <w:style w:type="paragraph" w:customStyle="1" w:styleId="SuperHeading">
    <w:name w:val="SuperHeading"/>
    <w:basedOn w:val="Normal"/>
    <w:rsid w:val="00EB6C97"/>
    <w:pPr>
      <w:spacing w:before="240" w:after="120"/>
      <w:outlineLvl w:val="0"/>
    </w:pPr>
    <w:rPr>
      <w:rFonts w:ascii="Times New Roman" w:hAnsi="Times New Roman"/>
      <w:b/>
      <w:sz w:val="28"/>
    </w:rPr>
  </w:style>
  <w:style w:type="paragraph" w:customStyle="1" w:styleId="AllowPageBreak">
    <w:name w:val="AllowPageBreak"/>
    <w:rsid w:val="00EB6C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6C97"/>
    <w:pPr>
      <w:numPr>
        <w:numId w:val="3"/>
      </w:numPr>
      <w:tabs>
        <w:tab w:val="clear" w:pos="1021"/>
      </w:tabs>
      <w:ind w:left="1037" w:hanging="357"/>
    </w:pPr>
  </w:style>
  <w:style w:type="character" w:customStyle="1" w:styleId="BoldandItalics">
    <w:name w:val="Bold and Italics"/>
    <w:qFormat/>
    <w:rsid w:val="00EB6C97"/>
    <w:rPr>
      <w:b/>
      <w:i/>
      <w:u w:val="none"/>
    </w:rPr>
  </w:style>
  <w:style w:type="character" w:customStyle="1" w:styleId="Heading2Char">
    <w:name w:val="Heading 2 Char"/>
    <w:basedOn w:val="DefaultParagraphFont"/>
    <w:link w:val="Heading2"/>
    <w:rsid w:val="00EB6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C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C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C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C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C97"/>
    <w:rPr>
      <w:rFonts w:ascii="Courier New" w:eastAsia="Times New Roman" w:hAnsi="Courier New" w:cs="Times New Roman"/>
      <w:i/>
      <w:szCs w:val="20"/>
      <w:lang w:eastAsia="en-US"/>
    </w:rPr>
  </w:style>
  <w:style w:type="paragraph" w:customStyle="1" w:styleId="HeadingBase">
    <w:name w:val="Heading Base"/>
    <w:rsid w:val="00EB6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C97"/>
    <w:pPr>
      <w:tabs>
        <w:tab w:val="right" w:leader="dot" w:pos="9072"/>
      </w:tabs>
      <w:ind w:left="567"/>
    </w:pPr>
    <w:rPr>
      <w:szCs w:val="22"/>
    </w:rPr>
  </w:style>
  <w:style w:type="paragraph" w:customStyle="1" w:styleId="TOCBase">
    <w:name w:val="TOC Base"/>
    <w:rsid w:val="00EB6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C97"/>
    <w:pPr>
      <w:tabs>
        <w:tab w:val="right" w:leader="dot" w:pos="9072"/>
      </w:tabs>
      <w:spacing w:before="40" w:after="40"/>
      <w:ind w:left="284"/>
    </w:pPr>
    <w:rPr>
      <w:rFonts w:ascii="Times New Roman" w:hAnsi="Times New Roman"/>
    </w:rPr>
  </w:style>
  <w:style w:type="paragraph" w:styleId="TOC1">
    <w:name w:val="toc 1"/>
    <w:basedOn w:val="TOCBase"/>
    <w:next w:val="Normal"/>
    <w:rsid w:val="00EB6C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C97"/>
    <w:pPr>
      <w:spacing w:before="5040"/>
      <w:jc w:val="center"/>
    </w:pPr>
    <w:rPr>
      <w:sz w:val="48"/>
      <w:szCs w:val="72"/>
      <w:lang w:val="en-US"/>
    </w:rPr>
  </w:style>
  <w:style w:type="character" w:customStyle="1" w:styleId="TitleChar">
    <w:name w:val="Title Char"/>
    <w:basedOn w:val="DefaultParagraphFont"/>
    <w:link w:val="Title"/>
    <w:rsid w:val="00EB6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C97"/>
    <w:pPr>
      <w:tabs>
        <w:tab w:val="left" w:pos="3600"/>
        <w:tab w:val="left" w:pos="3958"/>
      </w:tabs>
    </w:pPr>
  </w:style>
  <w:style w:type="paragraph" w:styleId="List">
    <w:name w:val="List"/>
    <w:basedOn w:val="BodyText"/>
    <w:next w:val="BodyText"/>
    <w:rsid w:val="00EB6C97"/>
    <w:pPr>
      <w:tabs>
        <w:tab w:val="left" w:pos="340"/>
      </w:tabs>
      <w:spacing w:before="60" w:after="60"/>
      <w:ind w:left="340" w:hanging="340"/>
    </w:pPr>
  </w:style>
  <w:style w:type="paragraph" w:customStyle="1" w:styleId="Note">
    <w:name w:val="Note"/>
    <w:basedOn w:val="BodyText"/>
    <w:rsid w:val="00EB6C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C97"/>
    <w:pPr>
      <w:framePr w:wrap="auto" w:hAnchor="text" w:y="6049"/>
    </w:pPr>
    <w:rPr>
      <w:color w:val="000000"/>
      <w:sz w:val="40"/>
    </w:rPr>
  </w:style>
  <w:style w:type="paragraph" w:customStyle="1" w:styleId="TOCTitle">
    <w:name w:val="TOCTitle"/>
    <w:basedOn w:val="Heading1"/>
    <w:rsid w:val="00EB6C97"/>
    <w:pPr>
      <w:spacing w:after="240"/>
      <w:jc w:val="center"/>
      <w:outlineLvl w:val="9"/>
    </w:pPr>
    <w:rPr>
      <w:caps/>
    </w:rPr>
  </w:style>
  <w:style w:type="paragraph" w:customStyle="1" w:styleId="Version">
    <w:name w:val="Version"/>
    <w:rsid w:val="00EB6C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C97"/>
    <w:pPr>
      <w:keepNext w:val="0"/>
      <w:tabs>
        <w:tab w:val="right" w:pos="4176"/>
      </w:tabs>
      <w:ind w:left="198" w:hanging="198"/>
    </w:pPr>
    <w:rPr>
      <w:rFonts w:ascii="Garamond" w:hAnsi="Garamond"/>
    </w:rPr>
  </w:style>
  <w:style w:type="paragraph" w:styleId="IndexHeading">
    <w:name w:val="index heading"/>
    <w:basedOn w:val="Normal"/>
    <w:next w:val="Index1"/>
    <w:semiHidden/>
    <w:rsid w:val="00EB6C97"/>
    <w:pPr>
      <w:spacing w:before="120" w:after="120"/>
    </w:pPr>
    <w:rPr>
      <w:rFonts w:ascii="Arial" w:hAnsi="Arial"/>
      <w:b/>
      <w:color w:val="918585"/>
      <w:sz w:val="24"/>
    </w:rPr>
  </w:style>
  <w:style w:type="paragraph" w:styleId="Header">
    <w:name w:val="header"/>
    <w:basedOn w:val="Normal"/>
    <w:link w:val="HeaderChar"/>
    <w:rsid w:val="00EB6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C97"/>
    <w:rPr>
      <w:rFonts w:ascii="Times New Roman" w:eastAsia="Times New Roman" w:hAnsi="Times New Roman" w:cs="Times New Roman"/>
      <w:sz w:val="16"/>
      <w:szCs w:val="20"/>
      <w:lang w:val="en-GB" w:eastAsia="en-US"/>
    </w:rPr>
  </w:style>
  <w:style w:type="paragraph" w:customStyle="1" w:styleId="Chapter">
    <w:name w:val="Chapter"/>
    <w:basedOn w:val="Normal"/>
    <w:rsid w:val="00EB6C97"/>
    <w:pPr>
      <w:spacing w:before="240"/>
    </w:pPr>
    <w:rPr>
      <w:rFonts w:ascii="Times New Roman" w:hAnsi="Times New Roman"/>
      <w:smallCaps/>
      <w:spacing w:val="80"/>
      <w:sz w:val="28"/>
    </w:rPr>
  </w:style>
  <w:style w:type="paragraph" w:customStyle="1" w:styleId="InChapter">
    <w:name w:val="InChapter"/>
    <w:basedOn w:val="Heading3"/>
    <w:rsid w:val="00EB6C97"/>
    <w:pPr>
      <w:spacing w:after="240"/>
      <w:outlineLvl w:val="9"/>
    </w:pPr>
    <w:rPr>
      <w:noProof/>
    </w:rPr>
  </w:style>
  <w:style w:type="paragraph" w:styleId="Index2">
    <w:name w:val="index 2"/>
    <w:basedOn w:val="Normal"/>
    <w:next w:val="Normal"/>
    <w:semiHidden/>
    <w:rsid w:val="00EB6C97"/>
    <w:pPr>
      <w:tabs>
        <w:tab w:val="right" w:pos="4176"/>
      </w:tabs>
      <w:ind w:left="568" w:hanging="284"/>
    </w:pPr>
    <w:rPr>
      <w:rFonts w:ascii="Garamond" w:hAnsi="Garamond"/>
    </w:rPr>
  </w:style>
  <w:style w:type="paragraph" w:customStyle="1" w:styleId="Byline">
    <w:name w:val="Byline"/>
    <w:rsid w:val="00EB6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C97"/>
    <w:pPr>
      <w:tabs>
        <w:tab w:val="clear" w:pos="3600"/>
        <w:tab w:val="clear" w:pos="3958"/>
      </w:tabs>
      <w:jc w:val="right"/>
    </w:pPr>
  </w:style>
  <w:style w:type="character" w:styleId="Emphasis">
    <w:name w:val="Emphasis"/>
    <w:basedOn w:val="DefaultParagraphFont"/>
    <w:qFormat/>
    <w:rsid w:val="00EB6C97"/>
    <w:rPr>
      <w:i/>
    </w:rPr>
  </w:style>
  <w:style w:type="paragraph" w:styleId="Caption">
    <w:name w:val="caption"/>
    <w:basedOn w:val="BodyText"/>
    <w:next w:val="Normal"/>
    <w:qFormat/>
    <w:rsid w:val="00EB6C97"/>
    <w:pPr>
      <w:framePr w:w="2268" w:hSpace="181" w:vSpace="181" w:wrap="around" w:vAnchor="text" w:hAnchor="page" w:x="1135" w:y="285" w:anchorLock="1"/>
    </w:pPr>
    <w:rPr>
      <w:i/>
    </w:rPr>
  </w:style>
  <w:style w:type="paragraph" w:customStyle="1" w:styleId="MiniTOCTitle">
    <w:name w:val="MiniTOCTitle"/>
    <w:basedOn w:val="Heading4"/>
    <w:rsid w:val="00EB6C97"/>
    <w:pPr>
      <w:spacing w:before="240"/>
      <w:outlineLvl w:val="9"/>
    </w:pPr>
    <w:rPr>
      <w:noProof/>
      <w:sz w:val="24"/>
    </w:rPr>
  </w:style>
  <w:style w:type="paragraph" w:customStyle="1" w:styleId="MiniTOCItem">
    <w:name w:val="MiniTOCItem"/>
    <w:basedOn w:val="ListBullet"/>
    <w:rsid w:val="00EB6C97"/>
    <w:pPr>
      <w:numPr>
        <w:numId w:val="0"/>
      </w:numPr>
      <w:tabs>
        <w:tab w:val="right" w:leader="dot" w:pos="6521"/>
      </w:tabs>
      <w:spacing w:before="0" w:after="0"/>
    </w:pPr>
  </w:style>
  <w:style w:type="paragraph" w:customStyle="1" w:styleId="TOFTitle">
    <w:name w:val="TOFTitle"/>
    <w:basedOn w:val="TOCTitle"/>
    <w:rsid w:val="00EB6C97"/>
  </w:style>
  <w:style w:type="paragraph" w:styleId="TableofFigures">
    <w:name w:val="table of figures"/>
    <w:basedOn w:val="Normal"/>
    <w:next w:val="Normal"/>
    <w:semiHidden/>
    <w:rsid w:val="00EB6C97"/>
    <w:pPr>
      <w:tabs>
        <w:tab w:val="right" w:leader="dot" w:pos="9072"/>
      </w:tabs>
      <w:ind w:left="970" w:hanging="403"/>
    </w:pPr>
    <w:rPr>
      <w:rFonts w:ascii="Times New Roman" w:hAnsi="Times New Roman"/>
      <w:b/>
    </w:rPr>
  </w:style>
  <w:style w:type="paragraph" w:styleId="ListNumber">
    <w:name w:val="List Number"/>
    <w:basedOn w:val="List"/>
    <w:rsid w:val="00EB6C97"/>
    <w:pPr>
      <w:numPr>
        <w:numId w:val="12"/>
      </w:numPr>
    </w:pPr>
  </w:style>
  <w:style w:type="character" w:customStyle="1" w:styleId="WingdingSymbols">
    <w:name w:val="Wingding Symbols"/>
    <w:rsid w:val="00EB6C97"/>
    <w:rPr>
      <w:rFonts w:ascii="Wingdings" w:hAnsi="Wingdings"/>
    </w:rPr>
  </w:style>
  <w:style w:type="paragraph" w:customStyle="1" w:styleId="TableHeading">
    <w:name w:val="Table Heading"/>
    <w:basedOn w:val="HeadingBase"/>
    <w:rsid w:val="00EB6C97"/>
    <w:pPr>
      <w:keepLines/>
      <w:pBdr>
        <w:bottom w:val="single" w:sz="6" w:space="1" w:color="918585"/>
      </w:pBdr>
      <w:spacing w:before="240"/>
    </w:pPr>
  </w:style>
  <w:style w:type="character" w:customStyle="1" w:styleId="HotSpot">
    <w:name w:val="HotSpot"/>
    <w:rsid w:val="00EB6C97"/>
    <w:rPr>
      <w:color w:val="0033CC"/>
      <w:u w:val="none"/>
    </w:rPr>
  </w:style>
  <w:style w:type="paragraph" w:customStyle="1" w:styleId="BodyTextRight">
    <w:name w:val="Body Text Right"/>
    <w:basedOn w:val="BodyText"/>
    <w:rsid w:val="00EB6C97"/>
    <w:pPr>
      <w:spacing w:before="0" w:after="0"/>
      <w:jc w:val="right"/>
    </w:pPr>
  </w:style>
  <w:style w:type="paragraph" w:styleId="Index3">
    <w:name w:val="index 3"/>
    <w:basedOn w:val="ListNumber2"/>
    <w:next w:val="Normal"/>
    <w:semiHidden/>
    <w:rsid w:val="00EB6C97"/>
    <w:pPr>
      <w:numPr>
        <w:numId w:val="0"/>
      </w:numPr>
      <w:tabs>
        <w:tab w:val="right" w:leader="dot" w:pos="4176"/>
      </w:tabs>
    </w:pPr>
  </w:style>
  <w:style w:type="paragraph" w:styleId="ListNumber2">
    <w:name w:val="List Number 2"/>
    <w:basedOn w:val="List2"/>
    <w:rsid w:val="00EB6C97"/>
    <w:pPr>
      <w:numPr>
        <w:numId w:val="11"/>
      </w:numPr>
      <w:tabs>
        <w:tab w:val="clear" w:pos="1060"/>
      </w:tabs>
    </w:pPr>
  </w:style>
  <w:style w:type="paragraph" w:customStyle="1" w:styleId="MarginNote">
    <w:name w:val="Margin Note"/>
    <w:basedOn w:val="BodyText"/>
    <w:rsid w:val="00EB6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C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C97"/>
    <w:rPr>
      <w:sz w:val="32"/>
    </w:rPr>
  </w:style>
  <w:style w:type="paragraph" w:customStyle="1" w:styleId="HeadingProcedure">
    <w:name w:val="Heading Procedure"/>
    <w:basedOn w:val="HeadingBase"/>
    <w:next w:val="Normal"/>
    <w:rsid w:val="00EB6C97"/>
    <w:pPr>
      <w:tabs>
        <w:tab w:val="left" w:pos="0"/>
      </w:tabs>
      <w:spacing w:before="120" w:after="60"/>
    </w:pPr>
    <w:rPr>
      <w:i/>
      <w:color w:val="918585"/>
      <w:sz w:val="22"/>
    </w:rPr>
  </w:style>
  <w:style w:type="paragraph" w:customStyle="1" w:styleId="TableBodyText">
    <w:name w:val="Table Body Text"/>
    <w:basedOn w:val="BodyText"/>
    <w:rsid w:val="00EB6C97"/>
    <w:pPr>
      <w:spacing w:before="60" w:after="60"/>
    </w:pPr>
  </w:style>
  <w:style w:type="paragraph" w:styleId="ListContinue">
    <w:name w:val="List Continue"/>
    <w:basedOn w:val="List"/>
    <w:rsid w:val="00EB6C97"/>
    <w:pPr>
      <w:ind w:firstLine="0"/>
    </w:pPr>
  </w:style>
  <w:style w:type="paragraph" w:customStyle="1" w:styleId="ListNote">
    <w:name w:val="List Note"/>
    <w:basedOn w:val="List"/>
    <w:rsid w:val="00EB6C97"/>
    <w:pPr>
      <w:pBdr>
        <w:top w:val="single" w:sz="6" w:space="2" w:color="918585"/>
        <w:bottom w:val="single" w:sz="6" w:space="2" w:color="918585"/>
      </w:pBdr>
      <w:tabs>
        <w:tab w:val="left" w:pos="1021"/>
      </w:tabs>
      <w:ind w:firstLine="0"/>
    </w:pPr>
  </w:style>
  <w:style w:type="paragraph" w:customStyle="1" w:styleId="Warning">
    <w:name w:val="Warning"/>
    <w:basedOn w:val="BodyText"/>
    <w:rsid w:val="00EB6C97"/>
    <w:pPr>
      <w:shd w:val="clear" w:color="auto" w:fill="D9D9D9"/>
      <w:tabs>
        <w:tab w:val="left" w:pos="992"/>
      </w:tabs>
      <w:ind w:left="119" w:right="119"/>
    </w:pPr>
    <w:rPr>
      <w:sz w:val="20"/>
    </w:rPr>
  </w:style>
  <w:style w:type="paragraph" w:customStyle="1" w:styleId="MarginIcons">
    <w:name w:val="Margin Icons"/>
    <w:basedOn w:val="BodyText"/>
    <w:rsid w:val="00EB6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C97"/>
    <w:rPr>
      <w:rFonts w:ascii="Courier New" w:hAnsi="Courier New"/>
    </w:rPr>
  </w:style>
  <w:style w:type="paragraph" w:customStyle="1" w:styleId="NoteBullet">
    <w:name w:val="Note Bullet"/>
    <w:basedOn w:val="Note"/>
    <w:rsid w:val="00EB6C97"/>
    <w:pPr>
      <w:tabs>
        <w:tab w:val="clear" w:pos="680"/>
      </w:tabs>
      <w:spacing w:before="60" w:after="60"/>
    </w:pPr>
  </w:style>
  <w:style w:type="paragraph" w:customStyle="1" w:styleId="SubHeading2">
    <w:name w:val="SubHeading2"/>
    <w:basedOn w:val="HeadingBase"/>
    <w:rsid w:val="00EB6C97"/>
    <w:pPr>
      <w:spacing w:before="240" w:after="60"/>
    </w:pPr>
    <w:rPr>
      <w:sz w:val="20"/>
    </w:rPr>
  </w:style>
  <w:style w:type="paragraph" w:customStyle="1" w:styleId="SubHeading1">
    <w:name w:val="SubHeading1"/>
    <w:basedOn w:val="HeadingBase"/>
    <w:rsid w:val="00EB6C97"/>
    <w:pPr>
      <w:spacing w:before="240" w:after="60"/>
    </w:pPr>
    <w:rPr>
      <w:color w:val="918585"/>
      <w:sz w:val="22"/>
    </w:rPr>
  </w:style>
  <w:style w:type="paragraph" w:customStyle="1" w:styleId="SideHeading">
    <w:name w:val="Side Heading"/>
    <w:basedOn w:val="HeadingBase"/>
    <w:rsid w:val="00EB6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C97"/>
    <w:pPr>
      <w:numPr>
        <w:numId w:val="13"/>
      </w:numPr>
    </w:pPr>
  </w:style>
  <w:style w:type="paragraph" w:styleId="PlainText">
    <w:name w:val="Plain Text"/>
    <w:basedOn w:val="Normal"/>
    <w:link w:val="PlainTextChar"/>
    <w:rsid w:val="00EB6C97"/>
    <w:rPr>
      <w:sz w:val="20"/>
    </w:rPr>
  </w:style>
  <w:style w:type="character" w:customStyle="1" w:styleId="PlainTextChar">
    <w:name w:val="Plain Text Char"/>
    <w:basedOn w:val="DefaultParagraphFont"/>
    <w:link w:val="PlainText"/>
    <w:rsid w:val="00EB6C97"/>
    <w:rPr>
      <w:rFonts w:ascii="Courier New" w:eastAsia="Times New Roman" w:hAnsi="Courier New" w:cs="Times New Roman"/>
      <w:sz w:val="20"/>
      <w:szCs w:val="20"/>
      <w:lang w:eastAsia="en-US"/>
    </w:rPr>
  </w:style>
  <w:style w:type="character" w:customStyle="1" w:styleId="MenuOption">
    <w:name w:val="Menu Option"/>
    <w:basedOn w:val="DefaultParagraphFont"/>
    <w:rsid w:val="00EB6C97"/>
    <w:rPr>
      <w:b/>
      <w:smallCaps/>
    </w:rPr>
  </w:style>
  <w:style w:type="paragraph" w:customStyle="1" w:styleId="TableListNumber">
    <w:name w:val="Table List Number"/>
    <w:basedOn w:val="ListNumber"/>
    <w:rsid w:val="00EB6C97"/>
    <w:pPr>
      <w:numPr>
        <w:numId w:val="0"/>
      </w:numPr>
    </w:pPr>
  </w:style>
  <w:style w:type="paragraph" w:styleId="TOC4">
    <w:name w:val="toc 4"/>
    <w:basedOn w:val="TOCBase"/>
    <w:next w:val="Normal"/>
    <w:semiHidden/>
    <w:rsid w:val="00EB6C97"/>
    <w:pPr>
      <w:tabs>
        <w:tab w:val="right" w:leader="dot" w:pos="9071"/>
      </w:tabs>
      <w:ind w:left="1701"/>
    </w:pPr>
  </w:style>
  <w:style w:type="paragraph" w:customStyle="1" w:styleId="ListAlpha">
    <w:name w:val="List Alpha"/>
    <w:basedOn w:val="List"/>
    <w:rsid w:val="00EB6C97"/>
    <w:pPr>
      <w:numPr>
        <w:numId w:val="10"/>
      </w:numPr>
    </w:pPr>
  </w:style>
  <w:style w:type="paragraph" w:customStyle="1" w:styleId="ListAlpha2">
    <w:name w:val="List Alpha 2"/>
    <w:basedOn w:val="List2"/>
    <w:rsid w:val="00EB6C97"/>
    <w:pPr>
      <w:numPr>
        <w:numId w:val="9"/>
      </w:numPr>
    </w:pPr>
  </w:style>
  <w:style w:type="paragraph" w:styleId="List2">
    <w:name w:val="List 2"/>
    <w:basedOn w:val="BodyText"/>
    <w:rsid w:val="00EB6C97"/>
    <w:pPr>
      <w:tabs>
        <w:tab w:val="left" w:pos="680"/>
      </w:tabs>
      <w:spacing w:before="60" w:after="60"/>
      <w:ind w:left="680" w:hanging="340"/>
    </w:pPr>
  </w:style>
  <w:style w:type="paragraph" w:styleId="List3">
    <w:name w:val="List 3"/>
    <w:basedOn w:val="BodyText"/>
    <w:rsid w:val="00EB6C97"/>
    <w:pPr>
      <w:tabs>
        <w:tab w:val="left" w:pos="1021"/>
      </w:tabs>
      <w:spacing w:before="60" w:after="60"/>
      <w:ind w:left="1020" w:hanging="340"/>
    </w:pPr>
  </w:style>
  <w:style w:type="paragraph" w:styleId="List4">
    <w:name w:val="List 4"/>
    <w:basedOn w:val="BodyText"/>
    <w:rsid w:val="00EB6C97"/>
    <w:pPr>
      <w:tabs>
        <w:tab w:val="left" w:pos="1361"/>
      </w:tabs>
      <w:spacing w:before="60" w:after="60"/>
      <w:ind w:left="1361" w:hanging="340"/>
    </w:pPr>
  </w:style>
  <w:style w:type="paragraph" w:styleId="List5">
    <w:name w:val="List 5"/>
    <w:basedOn w:val="BodyText"/>
    <w:rsid w:val="00EB6C97"/>
    <w:pPr>
      <w:tabs>
        <w:tab w:val="left" w:pos="1701"/>
      </w:tabs>
      <w:spacing w:before="60" w:after="60"/>
      <w:ind w:left="1701" w:hanging="340"/>
    </w:pPr>
  </w:style>
  <w:style w:type="paragraph" w:styleId="ListBullet4">
    <w:name w:val="List Bullet 4"/>
    <w:basedOn w:val="List4"/>
    <w:rsid w:val="00EB6C97"/>
    <w:pPr>
      <w:numPr>
        <w:numId w:val="4"/>
      </w:numPr>
    </w:pPr>
  </w:style>
  <w:style w:type="paragraph" w:styleId="ListBullet5">
    <w:name w:val="List Bullet 5"/>
    <w:basedOn w:val="List5"/>
    <w:rsid w:val="00EB6C97"/>
    <w:pPr>
      <w:numPr>
        <w:numId w:val="5"/>
      </w:numPr>
    </w:pPr>
  </w:style>
  <w:style w:type="paragraph" w:styleId="ListContinue2">
    <w:name w:val="List Continue 2"/>
    <w:basedOn w:val="List2"/>
    <w:rsid w:val="00EB6C97"/>
    <w:pPr>
      <w:ind w:firstLine="0"/>
    </w:pPr>
  </w:style>
  <w:style w:type="paragraph" w:styleId="ListContinue3">
    <w:name w:val="List Continue 3"/>
    <w:basedOn w:val="List3"/>
    <w:rsid w:val="00EB6C97"/>
    <w:pPr>
      <w:ind w:left="1021" w:firstLine="0"/>
    </w:pPr>
  </w:style>
  <w:style w:type="paragraph" w:styleId="ListContinue4">
    <w:name w:val="List Continue 4"/>
    <w:basedOn w:val="List4"/>
    <w:rsid w:val="00EB6C97"/>
    <w:pPr>
      <w:ind w:firstLine="0"/>
    </w:pPr>
  </w:style>
  <w:style w:type="paragraph" w:styleId="ListContinue5">
    <w:name w:val="List Continue 5"/>
    <w:basedOn w:val="List5"/>
    <w:rsid w:val="00EB6C97"/>
    <w:pPr>
      <w:ind w:firstLine="0"/>
    </w:pPr>
  </w:style>
  <w:style w:type="paragraph" w:styleId="ListNumber3">
    <w:name w:val="List Number 3"/>
    <w:basedOn w:val="List3"/>
    <w:rsid w:val="00EB6C97"/>
    <w:pPr>
      <w:numPr>
        <w:numId w:val="6"/>
      </w:numPr>
    </w:pPr>
  </w:style>
  <w:style w:type="paragraph" w:styleId="ListNumber4">
    <w:name w:val="List Number 4"/>
    <w:basedOn w:val="List4"/>
    <w:rsid w:val="00EB6C97"/>
    <w:pPr>
      <w:numPr>
        <w:numId w:val="7"/>
      </w:numPr>
    </w:pPr>
  </w:style>
  <w:style w:type="paragraph" w:styleId="ListNumber5">
    <w:name w:val="List Number 5"/>
    <w:basedOn w:val="List5"/>
    <w:rsid w:val="00EB6C97"/>
    <w:pPr>
      <w:numPr>
        <w:numId w:val="8"/>
      </w:numPr>
    </w:pPr>
  </w:style>
  <w:style w:type="paragraph" w:styleId="BlockText">
    <w:name w:val="Block Text"/>
    <w:basedOn w:val="Normal"/>
    <w:rsid w:val="00EB6C97"/>
    <w:pPr>
      <w:spacing w:after="120"/>
      <w:ind w:left="1440" w:right="1440"/>
    </w:pPr>
  </w:style>
  <w:style w:type="character" w:customStyle="1" w:styleId="Subscript">
    <w:name w:val="Subscript"/>
    <w:basedOn w:val="DefaultParagraphFont"/>
    <w:rsid w:val="00EB6C97"/>
    <w:rPr>
      <w:sz w:val="16"/>
      <w:vertAlign w:val="subscript"/>
    </w:rPr>
  </w:style>
  <w:style w:type="character" w:customStyle="1" w:styleId="Superscript">
    <w:name w:val="Superscript"/>
    <w:basedOn w:val="DefaultParagraphFont"/>
    <w:rsid w:val="00EB6C97"/>
    <w:rPr>
      <w:sz w:val="16"/>
      <w:vertAlign w:val="superscript"/>
    </w:rPr>
  </w:style>
  <w:style w:type="character" w:customStyle="1" w:styleId="Symbols">
    <w:name w:val="Symbols"/>
    <w:basedOn w:val="DefaultParagraphFont"/>
    <w:rsid w:val="00EB6C97"/>
    <w:rPr>
      <w:rFonts w:ascii="Symbol" w:hAnsi="Symbol"/>
    </w:rPr>
  </w:style>
  <w:style w:type="character" w:customStyle="1" w:styleId="MenuOptions">
    <w:name w:val="Menu Options"/>
    <w:basedOn w:val="DefaultParagraphFont"/>
    <w:rsid w:val="00EB6C97"/>
    <w:rPr>
      <w:rFonts w:ascii="Arial Narrow" w:hAnsi="Arial Narrow"/>
      <w:smallCaps/>
    </w:rPr>
  </w:style>
  <w:style w:type="character" w:customStyle="1" w:styleId="Buttons">
    <w:name w:val="Buttons"/>
    <w:basedOn w:val="DefaultParagraphFont"/>
    <w:rsid w:val="00EB6C97"/>
    <w:rPr>
      <w:b/>
    </w:rPr>
  </w:style>
  <w:style w:type="character" w:customStyle="1" w:styleId="Underlined">
    <w:name w:val="Underlined"/>
    <w:basedOn w:val="DefaultParagraphFont"/>
    <w:rsid w:val="00EB6C97"/>
    <w:rPr>
      <w:u w:val="single"/>
    </w:rPr>
  </w:style>
  <w:style w:type="paragraph" w:customStyle="1" w:styleId="TableBodyTextRight">
    <w:name w:val="Table Body Text Right"/>
    <w:basedOn w:val="TableBodyText"/>
    <w:rsid w:val="00EB6C97"/>
    <w:pPr>
      <w:widowControl w:val="0"/>
      <w:autoSpaceDE w:val="0"/>
      <w:autoSpaceDN w:val="0"/>
      <w:adjustRightInd w:val="0"/>
      <w:jc w:val="right"/>
    </w:pPr>
    <w:rPr>
      <w:rFonts w:cs="Arial"/>
      <w:szCs w:val="18"/>
    </w:rPr>
  </w:style>
  <w:style w:type="paragraph" w:customStyle="1" w:styleId="CopyrightText">
    <w:name w:val="Copyright Text"/>
    <w:basedOn w:val="BodyText"/>
    <w:rsid w:val="00EB6C97"/>
    <w:rPr>
      <w:sz w:val="18"/>
    </w:rPr>
  </w:style>
  <w:style w:type="paragraph" w:customStyle="1" w:styleId="BodySmallRight">
    <w:name w:val="Body Small Right"/>
    <w:basedOn w:val="BodyTextRight"/>
    <w:rsid w:val="00EB6C97"/>
    <w:rPr>
      <w:sz w:val="18"/>
      <w:szCs w:val="18"/>
    </w:rPr>
  </w:style>
  <w:style w:type="paragraph" w:customStyle="1" w:styleId="MarginEdition">
    <w:name w:val="Margin Edition"/>
    <w:basedOn w:val="MarginNote"/>
    <w:rsid w:val="00EB6C97"/>
    <w:pPr>
      <w:spacing w:before="0" w:after="0"/>
    </w:pPr>
    <w:rPr>
      <w:rFonts w:ascii="Times New Roman" w:hAnsi="Times New Roman"/>
      <w:color w:val="999999"/>
    </w:rPr>
  </w:style>
  <w:style w:type="paragraph" w:customStyle="1" w:styleId="Spacer">
    <w:name w:val="Spacer"/>
    <w:basedOn w:val="Normal"/>
    <w:rsid w:val="00EB6C97"/>
    <w:rPr>
      <w:sz w:val="2"/>
      <w:szCs w:val="2"/>
    </w:rPr>
  </w:style>
  <w:style w:type="character" w:customStyle="1" w:styleId="Small">
    <w:name w:val="Small"/>
    <w:basedOn w:val="DefaultParagraphFont"/>
    <w:rsid w:val="00EB6C97"/>
    <w:rPr>
      <w:sz w:val="16"/>
    </w:rPr>
  </w:style>
  <w:style w:type="paragraph" w:customStyle="1" w:styleId="WideTable">
    <w:name w:val="Wide Table"/>
    <w:basedOn w:val="Normal"/>
    <w:rsid w:val="00EB6C97"/>
    <w:pPr>
      <w:ind w:left="-1418"/>
    </w:pPr>
    <w:rPr>
      <w:sz w:val="2"/>
      <w:szCs w:val="2"/>
    </w:rPr>
  </w:style>
  <w:style w:type="character" w:styleId="PageNumber">
    <w:name w:val="page number"/>
    <w:basedOn w:val="DefaultParagraphFont"/>
    <w:rsid w:val="00EB6C97"/>
  </w:style>
  <w:style w:type="paragraph" w:styleId="Quote">
    <w:name w:val="Quote"/>
    <w:basedOn w:val="Heading1"/>
    <w:link w:val="QuoteChar"/>
    <w:qFormat/>
    <w:rsid w:val="00EB6C97"/>
    <w:rPr>
      <w:b w:val="0"/>
      <w:sz w:val="72"/>
      <w:szCs w:val="72"/>
      <w:lang w:val="en-NZ"/>
    </w:rPr>
  </w:style>
  <w:style w:type="character" w:customStyle="1" w:styleId="QuoteChar">
    <w:name w:val="Quote Char"/>
    <w:basedOn w:val="DefaultParagraphFont"/>
    <w:link w:val="Quote"/>
    <w:rsid w:val="00EB6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C97"/>
    <w:pPr>
      <w:pageBreakBefore/>
    </w:pPr>
  </w:style>
  <w:style w:type="paragraph" w:customStyle="1" w:styleId="Border">
    <w:name w:val="Border"/>
    <w:basedOn w:val="Normal"/>
    <w:qFormat/>
    <w:rsid w:val="00EB6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C97"/>
    <w:rPr>
      <w:b/>
      <w:bCs/>
      <w:i/>
      <w:iCs/>
      <w:color w:val="auto"/>
    </w:rPr>
  </w:style>
  <w:style w:type="paragraph" w:styleId="IntenseQuote">
    <w:name w:val="Intense Quote"/>
    <w:basedOn w:val="Normal"/>
    <w:next w:val="Normal"/>
    <w:link w:val="IntenseQuoteChar"/>
    <w:uiPriority w:val="30"/>
    <w:qFormat/>
    <w:rsid w:val="00EB6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C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C97"/>
    <w:rPr>
      <w:smallCaps/>
      <w:color w:val="auto"/>
      <w:u w:val="single"/>
    </w:rPr>
  </w:style>
  <w:style w:type="character" w:styleId="IntenseReference">
    <w:name w:val="Intense Reference"/>
    <w:basedOn w:val="DefaultParagraphFont"/>
    <w:uiPriority w:val="32"/>
    <w:qFormat/>
    <w:rsid w:val="00EB6C97"/>
    <w:rPr>
      <w:b/>
      <w:bCs/>
      <w:smallCaps/>
      <w:color w:val="auto"/>
      <w:spacing w:val="5"/>
      <w:u w:val="single"/>
    </w:rPr>
  </w:style>
  <w:style w:type="paragraph" w:customStyle="1" w:styleId="2ColumnHeading">
    <w:name w:val="2Column Heading"/>
    <w:basedOn w:val="BodyText"/>
    <w:qFormat/>
    <w:rsid w:val="00EB6C97"/>
    <w:pPr>
      <w:spacing w:after="60"/>
      <w:ind w:left="-2268"/>
    </w:pPr>
    <w:rPr>
      <w:b/>
    </w:rPr>
  </w:style>
  <w:style w:type="paragraph" w:customStyle="1" w:styleId="Heading1TOC">
    <w:name w:val="Heading1 TOC"/>
    <w:basedOn w:val="Normal"/>
    <w:qFormat/>
    <w:rsid w:val="00EB6C97"/>
    <w:pPr>
      <w:spacing w:before="240" w:after="120"/>
    </w:pPr>
    <w:rPr>
      <w:rFonts w:ascii="Times New Roman" w:hAnsi="Times New Roman"/>
      <w:b/>
      <w:sz w:val="32"/>
    </w:rPr>
  </w:style>
  <w:style w:type="paragraph" w:customStyle="1" w:styleId="Heading2TOC">
    <w:name w:val="Heading2 TOC"/>
    <w:basedOn w:val="Normal"/>
    <w:qFormat/>
    <w:rsid w:val="00EB6C97"/>
    <w:pPr>
      <w:spacing w:before="240" w:after="60"/>
    </w:pPr>
    <w:rPr>
      <w:rFonts w:ascii="Times New Roman" w:hAnsi="Times New Roman"/>
      <w:b/>
      <w:sz w:val="28"/>
    </w:rPr>
  </w:style>
  <w:style w:type="character" w:customStyle="1" w:styleId="Underline">
    <w:name w:val="Underline"/>
    <w:basedOn w:val="DefaultParagraphFont"/>
    <w:qFormat/>
    <w:rsid w:val="00EB6C97"/>
    <w:rPr>
      <w:u w:val="single"/>
    </w:rPr>
  </w:style>
  <w:style w:type="paragraph" w:styleId="BalloonText">
    <w:name w:val="Balloon Text"/>
    <w:basedOn w:val="Normal"/>
    <w:link w:val="BalloonTextChar"/>
    <w:rsid w:val="00EB6C97"/>
    <w:rPr>
      <w:rFonts w:ascii="Tahoma" w:hAnsi="Tahoma" w:cs="Tahoma"/>
      <w:sz w:val="16"/>
      <w:szCs w:val="16"/>
    </w:rPr>
  </w:style>
  <w:style w:type="character" w:customStyle="1" w:styleId="BalloonTextChar">
    <w:name w:val="Balloon Text Char"/>
    <w:basedOn w:val="DefaultParagraphFont"/>
    <w:link w:val="BalloonText"/>
    <w:rsid w:val="00EB6C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C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C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C97"/>
    <w:rPr>
      <w:b/>
      <w:color w:val="660033"/>
      <w:spacing w:val="0"/>
    </w:rPr>
  </w:style>
  <w:style w:type="paragraph" w:customStyle="1" w:styleId="Nameditemlist">
    <w:name w:val="Named item list"/>
    <w:basedOn w:val="BodyText"/>
    <w:qFormat/>
    <w:rsid w:val="00EB6C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1310</Words>
  <Characters>8582</Characters>
  <Application>Microsoft Office Word</Application>
  <DocSecurity>0</DocSecurity>
  <Lines>322</Lines>
  <Paragraphs>192</Paragraphs>
  <ScaleCrop>false</ScaleCrop>
  <Company>Author-it Software Corporation Ltd.</Company>
  <LinksUpToDate>false</LinksUpToDate>
  <CharactersWithSpaces>9817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CPPBDN8002A Research compliance requirements for complex building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2012-10-05T05:56:00Z</dcterms:created>
  <dcterms:modified xsi:type="dcterms:W3CDTF">2012-10-05T05:56:00Z</dcterms:modified>
</cp:coreProperties>
</file>