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6F7A" w:rsidP="00A56F7A">
      <w:pPr>
        <w:pStyle w:val="Title"/>
      </w:pPr>
      <w:bookmarkStart w:id="0" w:name="_GoBack"/>
      <w:bookmarkEnd w:id="0"/>
      <w:r>
        <w:fldChar w:fldCharType="begin"/>
      </w:r>
      <w:r>
        <w:instrText xml:space="preserve"> TITLE   \* MERGEFORMAT </w:instrText>
      </w:r>
      <w:r>
        <w:fldChar w:fldCharType="separate"/>
      </w:r>
      <w:r>
        <w:t>CPPACC8008A Contribute to design of accessible built environment and infrastructure</w:t>
      </w:r>
      <w:r>
        <w:fldChar w:fldCharType="end"/>
      </w:r>
    </w:p>
    <w:p w:rsidR="00A56F7A" w:rsidP="00A56F7A">
      <w:pPr>
        <w:pStyle w:val="Version"/>
        <w:sectPr w:rsidSect="00EA6E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6E15" w:rsidP="00EA6E15">
      <w:pPr>
        <w:pStyle w:val="SuperHeading"/>
      </w:pPr>
      <w:r w:rsidRPr="00EA6E15">
        <w:t>CPPACC8008A Contribute to design of accessible built environment and infrastructure</w:t>
      </w:r>
    </w:p>
    <w:p w:rsidR="00000000" w:rsidRPr="00EA6E15" w:rsidP="00EA6E15">
      <w:pPr>
        <w:pStyle w:val="Heading1"/>
      </w:pPr>
      <w:bookmarkStart w:id="1" w:name="O_453185"/>
      <w:bookmarkEnd w:id="1"/>
      <w:r w:rsidRPr="00EA6E15">
        <w:t>Modification History</w:t>
      </w:r>
    </w:p>
    <w:p w:rsidR="00000000" w:rsidRPr="00EA6E15" w:rsidP="00EA6E15">
      <w:pPr>
        <w:pStyle w:val="BodyText"/>
      </w:pPr>
      <w:r w:rsidRPr="00EA6E15">
        <w:t>New unit</w:t>
      </w:r>
    </w:p>
    <w:p w:rsidR="00000000" w:rsidRPr="00EA6E15" w:rsidP="00EA6E15">
      <w:pPr>
        <w:pStyle w:val="AllowPageBreak"/>
      </w:pPr>
    </w:p>
    <w:p w:rsidR="00000000" w:rsidRPr="00EA6E15" w:rsidP="00EA6E15">
      <w:pPr>
        <w:pStyle w:val="Heading1"/>
      </w:pPr>
      <w:bookmarkStart w:id="2" w:name="O_453186"/>
      <w:bookmarkEnd w:id="2"/>
      <w:r w:rsidRPr="00EA6E15">
        <w:t>Unit Descriptor</w:t>
      </w:r>
    </w:p>
    <w:p w:rsidR="00000000" w:rsidRPr="00EA6E15" w:rsidP="00EA6E15">
      <w:pPr>
        <w:pStyle w:val="BodyText"/>
      </w:pPr>
      <w:r w:rsidRPr="00EA6E15">
        <w:t>Thi</w:t>
      </w:r>
      <w:r w:rsidRPr="00EA6E15">
        <w:t>s unit of competency specifies the outcomes required to provide creative consultation services and develop optimal access and use solutions for incorporation into the design and construction of a range of projects.</w:t>
      </w:r>
    </w:p>
    <w:p w:rsidR="00000000" w:rsidRPr="00EA6E15" w:rsidP="00EA6E15">
      <w:pPr>
        <w:pStyle w:val="BodyText"/>
      </w:pPr>
      <w:r w:rsidRPr="00EA6E15">
        <w:t>The work involves the ability to read and</w:t>
      </w:r>
      <w:r w:rsidRPr="00EA6E15">
        <w:t xml:space="preserve"> understand plans and specifications and to communicate with building owners or operators, building and planning regulators, project managers, engineers, architects, designers, builders and building surveyors and certifiers.</w:t>
      </w:r>
    </w:p>
    <w:p w:rsidR="00A56F7A" w:rsidP="00EA6E15">
      <w:pPr>
        <w:pStyle w:val="BodyText"/>
      </w:pPr>
      <w:r w:rsidRPr="00EA6E15">
        <w:t>The unit covers the application</w:t>
      </w:r>
      <w:r w:rsidRPr="00EA6E15">
        <w:t xml:space="preserve"> of ergonomics and the human geometry of people with disabilities to access provision, and the analysis of built environment and infrastructure issues with positive and negative impacts on access and use. It involves an in-depth understanding of the range </w:t>
      </w:r>
      <w:r w:rsidRPr="00EA6E15">
        <w:t>of available design solutions and how they may be applied to the provision of access.</w:t>
      </w:r>
    </w:p>
    <w:p w:rsidR="00A56F7A" w:rsidP="00EA6E15">
      <w:pPr>
        <w:pStyle w:val="BodyText"/>
      </w:pPr>
    </w:p>
    <w:p w:rsidR="00000000" w:rsidRPr="00EA6E15" w:rsidP="00EA6E15">
      <w:pPr>
        <w:pStyle w:val="Heading1"/>
      </w:pPr>
      <w:bookmarkStart w:id="3" w:name="O_453187"/>
      <w:bookmarkEnd w:id="3"/>
      <w:r w:rsidRPr="00EA6E15">
        <w:t>Application of the Unit</w:t>
      </w:r>
    </w:p>
    <w:p w:rsidR="00000000" w:rsidRPr="00EA6E15" w:rsidP="00EA6E15">
      <w:pPr>
        <w:pStyle w:val="BodyText"/>
      </w:pPr>
      <w:r w:rsidRPr="00EA6E15">
        <w:t>This unit of competency supports access consultants who offer design review services to clients and design teams undertaking bui</w:t>
      </w:r>
      <w:r w:rsidRPr="00EA6E15">
        <w:t>lding and construction, transport services, infrastructure and facilities, and urban space development projects.</w:t>
      </w:r>
    </w:p>
    <w:p w:rsidR="00000000" w:rsidRPr="00EA6E15" w:rsidP="00EA6E15">
      <w:pPr>
        <w:pStyle w:val="BodyText"/>
      </w:pPr>
      <w:r w:rsidRPr="00EA6E15">
        <w:t>It applies to:</w:t>
      </w:r>
    </w:p>
    <w:p w:rsidR="00000000" w:rsidRPr="00EA6E15" w:rsidP="00EA6E15">
      <w:pPr>
        <w:pStyle w:val="ListBullet"/>
      </w:pPr>
      <w:r w:rsidRPr="00EA6E15">
        <w:t>domestic, residential, commercial, retail, industrial and public buildings</w:t>
      </w:r>
    </w:p>
    <w:p w:rsidR="00000000" w:rsidRPr="00EA6E15" w:rsidP="00EA6E15">
      <w:pPr>
        <w:pStyle w:val="ListBullet"/>
      </w:pPr>
      <w:r w:rsidRPr="00EA6E15">
        <w:t>outdoor spaces</w:t>
      </w:r>
    </w:p>
    <w:p w:rsidR="00000000" w:rsidRPr="00EA6E15" w:rsidP="00EA6E15">
      <w:pPr>
        <w:pStyle w:val="ListBullet"/>
      </w:pPr>
      <w:r w:rsidRPr="00EA6E15">
        <w:t>transport infrastructure, conveyances, facilities and systems.</w:t>
      </w:r>
    </w:p>
    <w:p w:rsidR="00000000" w:rsidRPr="00EA6E15" w:rsidP="00EA6E15">
      <w:pPr>
        <w:pStyle w:val="AllowPageBreak"/>
      </w:pPr>
    </w:p>
    <w:p w:rsidR="00000000" w:rsidRPr="00EA6E15" w:rsidP="00EA6E15">
      <w:pPr>
        <w:pStyle w:val="Heading1"/>
      </w:pPr>
      <w:bookmarkStart w:id="4" w:name="O_453188"/>
      <w:bookmarkEnd w:id="4"/>
      <w:r w:rsidRPr="00EA6E15">
        <w:t>Licensing/Regulatory Information</w:t>
      </w:r>
    </w:p>
    <w:p w:rsidR="00000000" w:rsidRPr="00EA6E15" w:rsidP="00EA6E15">
      <w:pPr>
        <w:pStyle w:val="BodyText"/>
      </w:pPr>
      <w:r w:rsidRPr="00EA6E15">
        <w:t>No licensing, legislative, regulatory or certification requirements apply to this unit at the time of publication.</w:t>
      </w:r>
    </w:p>
    <w:p w:rsidR="00000000" w:rsidRPr="00EA6E15" w:rsidP="00EA6E15">
      <w:pPr>
        <w:pStyle w:val="AllowPageBreak"/>
      </w:pPr>
    </w:p>
    <w:p w:rsidR="00000000" w:rsidRPr="00EA6E15" w:rsidP="00EA6E15">
      <w:pPr>
        <w:pStyle w:val="Heading1"/>
      </w:pPr>
      <w:bookmarkStart w:id="5" w:name="O_453189"/>
      <w:bookmarkEnd w:id="5"/>
      <w:r w:rsidRPr="00EA6E15">
        <w:t>Pre-Requisi</w:t>
      </w:r>
      <w:r w:rsidRPr="00EA6E15">
        <w:t>tes</w:t>
      </w:r>
    </w:p>
    <w:p w:rsidR="00000000" w:rsidRPr="00EA6E15" w:rsidP="00EA6E15">
      <w:pPr>
        <w:pStyle w:val="BodyText"/>
      </w:pPr>
      <w:r w:rsidRPr="00EA6E15">
        <w:t>Not applicable.</w:t>
      </w:r>
    </w:p>
    <w:p w:rsidR="00000000" w:rsidRPr="00EA6E15" w:rsidP="00EA6E15">
      <w:pPr>
        <w:pStyle w:val="AllowPageBreak"/>
      </w:pPr>
    </w:p>
    <w:p w:rsidR="00000000" w:rsidRPr="00EA6E15" w:rsidP="00EA6E15">
      <w:pPr>
        <w:pStyle w:val="Heading1"/>
      </w:pPr>
      <w:bookmarkStart w:id="6" w:name="O_453190"/>
      <w:bookmarkEnd w:id="6"/>
      <w:r w:rsidRPr="00EA6E15">
        <w:t>Employability Skills Information</w:t>
      </w:r>
    </w:p>
    <w:p w:rsidR="00000000" w:rsidRPr="00EA6E15" w:rsidP="00EA6E15">
      <w:pPr>
        <w:pStyle w:val="BodyText"/>
      </w:pPr>
      <w:r w:rsidRPr="00EA6E15">
        <w:t>This unit contains employability skills.</w:t>
      </w:r>
    </w:p>
    <w:p w:rsidR="00000000" w:rsidRPr="00EA6E15" w:rsidP="00EA6E15">
      <w:pPr>
        <w:pStyle w:val="AllowPageBreak"/>
      </w:pPr>
    </w:p>
    <w:p w:rsidR="00000000" w:rsidRPr="00EA6E15" w:rsidP="00EA6E15">
      <w:pPr>
        <w:pStyle w:val="Heading1"/>
      </w:pPr>
      <w:bookmarkStart w:id="7" w:name="O_453191"/>
      <w:bookmarkEnd w:id="7"/>
      <w:r w:rsidRPr="00EA6E15">
        <w:t>Elements and Performance Criteria Pre-Content</w:t>
      </w:r>
    </w:p>
    <w:tbl>
      <w:tblPr>
        <w:tblW w:w="0" w:type="auto"/>
        <w:tblLayout w:type="fixed"/>
        <w:tblCellMar>
          <w:left w:w="62" w:type="dxa"/>
          <w:right w:w="62" w:type="dxa"/>
        </w:tblCellMar>
        <w:tblLook w:val="0000"/>
      </w:tblPr>
      <w:tblGrid>
        <w:gridCol w:w="2640"/>
        <w:gridCol w:w="6380"/>
      </w:tblGrid>
      <w:tr w:rsidTr="00EA6E15">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EA6E15">
            <w:pPr>
              <w:pStyle w:val="BodyText"/>
              <w:rPr>
                <w:lang w:val="en-NZ"/>
              </w:rPr>
            </w:pPr>
            <w:r w:rsidRPr="00EA6E15">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EA6E15" w:rsidP="00EA6E15">
            <w:pPr>
              <w:pStyle w:val="BodyText"/>
            </w:pPr>
            <w:r w:rsidRPr="00EA6E15">
              <w:t>Performance crit</w:t>
            </w:r>
            <w:r w:rsidRPr="00EA6E15">
              <w:t>eria describe the performance needed to demonstrate achievement of the element. Where bold italicised text is used, further information is detailed in the required skills and knowledge section and the range statement. Assessment of performance is to be con</w:t>
            </w:r>
            <w:r w:rsidRPr="00EA6E15">
              <w:t>sistent with the evidence guide.</w:t>
            </w:r>
          </w:p>
        </w:tc>
      </w:tr>
    </w:tbl>
    <w:p w:rsidR="00000000" w:rsidRPr="00EA6E15" w:rsidP="00EA6E15">
      <w:pPr>
        <w:pStyle w:val="BodyText"/>
      </w:pPr>
    </w:p>
    <w:p w:rsidR="00000000" w:rsidRPr="00EA6E15" w:rsidP="00EA6E15">
      <w:pPr>
        <w:pStyle w:val="AllowPageBreak"/>
      </w:pPr>
    </w:p>
    <w:p w:rsidR="00000000" w:rsidRPr="00EA6E15" w:rsidP="00EA6E15">
      <w:pPr>
        <w:pStyle w:val="Heading1"/>
      </w:pPr>
      <w:bookmarkStart w:id="8" w:name="O_453192"/>
      <w:bookmarkEnd w:id="8"/>
      <w:r w:rsidRPr="00EA6E1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A6E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A6E15">
            <w:pPr>
              <w:pStyle w:val="BodyText"/>
              <w:rPr>
                <w:lang w:val="en-NZ"/>
              </w:rPr>
            </w:pPr>
            <w:r w:rsidRPr="00EA6E15">
              <w:t>1</w:t>
            </w:r>
          </w:p>
        </w:tc>
        <w:tc>
          <w:tcPr>
            <w:tcW w:w="1962" w:type="dxa"/>
            <w:vMerge w:val="restart"/>
            <w:tcBorders>
              <w:top w:val="nil"/>
              <w:left w:val="nil"/>
              <w:bottom w:val="nil"/>
              <w:right w:val="nil"/>
            </w:tcBorders>
            <w:tcMar>
              <w:top w:w="0" w:type="dxa"/>
              <w:left w:w="62" w:type="dxa"/>
              <w:bottom w:w="0" w:type="dxa"/>
              <w:right w:w="62" w:type="dxa"/>
            </w:tcMar>
          </w:tcPr>
          <w:p w:rsidR="00000000" w:rsidP="00EA6E15">
            <w:pPr>
              <w:pStyle w:val="BodyText"/>
              <w:rPr>
                <w:lang w:val="en-NZ"/>
              </w:rPr>
            </w:pPr>
            <w:r w:rsidRPr="00EA6E15">
              <w:t>Define and plan scope of own contribution to design project.</w:t>
            </w:r>
          </w:p>
        </w:tc>
        <w:tc>
          <w:tcPr>
            <w:tcW w:w="770" w:type="dxa"/>
            <w:tcBorders>
              <w:top w:val="nil"/>
              <w:left w:val="nil"/>
              <w:bottom w:val="nil"/>
              <w:right w:val="nil"/>
            </w:tcBorders>
            <w:tcMar>
              <w:top w:w="0" w:type="dxa"/>
              <w:left w:w="62" w:type="dxa"/>
              <w:bottom w:w="0" w:type="dxa"/>
              <w:right w:w="62" w:type="dxa"/>
            </w:tcMar>
          </w:tcPr>
          <w:p w:rsidR="00000000" w:rsidP="00EA6E15">
            <w:pPr>
              <w:pStyle w:val="BodyText"/>
              <w:rPr>
                <w:lang w:val="en-NZ"/>
              </w:rPr>
            </w:pPr>
            <w:r w:rsidRPr="00EA6E15">
              <w:t>1.1</w:t>
            </w:r>
          </w:p>
        </w:tc>
        <w:tc>
          <w:tcPr>
            <w:tcW w:w="5610" w:type="dxa"/>
            <w:tcBorders>
              <w:top w:val="nil"/>
              <w:left w:val="nil"/>
              <w:bottom w:val="nil"/>
              <w:right w:val="nil"/>
            </w:tcBorders>
            <w:tcMar>
              <w:top w:w="0" w:type="dxa"/>
              <w:left w:w="62" w:type="dxa"/>
              <w:bottom w:w="0" w:type="dxa"/>
              <w:right w:w="62" w:type="dxa"/>
            </w:tcMar>
          </w:tcPr>
          <w:p w:rsidR="00000000" w:rsidP="00EA6E15">
            <w:pPr>
              <w:pStyle w:val="BodyText"/>
              <w:rPr>
                <w:lang w:val="en-NZ"/>
              </w:rPr>
            </w:pPr>
            <w:r w:rsidRPr="00EA6E15">
              <w:t>Nature of project, location and demographics of occupants or users are researched and noted.</w:t>
            </w:r>
          </w:p>
        </w:tc>
      </w:tr>
      <w:tr w:rsidTr="00EA6E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6E15">
            <w:pPr>
              <w:pStyle w:val="BodyText"/>
              <w:rPr>
                <w:lang w:val="en-NZ"/>
              </w:rPr>
            </w:pPr>
            <w:r w:rsidRPr="00EA6E15">
              <w:t>1.2</w:t>
            </w:r>
          </w:p>
        </w:tc>
        <w:tc>
          <w:tcPr>
            <w:tcW w:w="5610" w:type="dxa"/>
            <w:tcBorders>
              <w:top w:val="nil"/>
              <w:left w:val="nil"/>
              <w:bottom w:val="nil"/>
              <w:right w:val="nil"/>
            </w:tcBorders>
            <w:tcMar>
              <w:top w:w="0" w:type="dxa"/>
              <w:left w:w="62" w:type="dxa"/>
              <w:bottom w:w="0" w:type="dxa"/>
              <w:right w:w="62" w:type="dxa"/>
            </w:tcMar>
          </w:tcPr>
          <w:p w:rsidR="00000000" w:rsidP="00EA6E15">
            <w:pPr>
              <w:pStyle w:val="BodyText"/>
              <w:rPr>
                <w:lang w:val="en-NZ"/>
              </w:rPr>
            </w:pPr>
            <w:r w:rsidRPr="00EA6E15">
              <w:t>Service levels, fees and timelines for reviews of design documentation at different stages of development projects are confirmed with clients.</w:t>
            </w:r>
          </w:p>
        </w:tc>
      </w:tr>
      <w:tr w:rsidTr="00EA6E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6E15">
            <w:pPr>
              <w:pStyle w:val="BodyText"/>
              <w:rPr>
                <w:lang w:val="en-NZ"/>
              </w:rPr>
            </w:pPr>
            <w:r w:rsidRPr="00EA6E15">
              <w:t>1.3</w:t>
            </w:r>
          </w:p>
        </w:tc>
        <w:tc>
          <w:tcPr>
            <w:tcW w:w="5610" w:type="dxa"/>
            <w:tcBorders>
              <w:top w:val="nil"/>
              <w:left w:val="nil"/>
              <w:bottom w:val="nil"/>
              <w:right w:val="nil"/>
            </w:tcBorders>
            <w:tcMar>
              <w:top w:w="0" w:type="dxa"/>
              <w:left w:w="62" w:type="dxa"/>
              <w:bottom w:w="0" w:type="dxa"/>
              <w:right w:w="62" w:type="dxa"/>
            </w:tcMar>
          </w:tcPr>
          <w:p w:rsidR="00000000" w:rsidP="00EA6E15">
            <w:pPr>
              <w:pStyle w:val="BodyText"/>
              <w:rPr>
                <w:lang w:val="en-NZ"/>
              </w:rPr>
            </w:pPr>
            <w:r w:rsidRPr="00EA6E15">
              <w:t>Access and use compliance requirements and project’s access and use design policy and brief are reviewed a</w:t>
            </w:r>
            <w:r w:rsidRPr="00EA6E15">
              <w:t>nd confirmed with client, design team and other relevant stakeholders.</w:t>
            </w:r>
          </w:p>
        </w:tc>
      </w:tr>
      <w:tr w:rsidTr="00EA6E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6E15">
            <w:pPr>
              <w:pStyle w:val="BodyText"/>
              <w:rPr>
                <w:lang w:val="en-NZ"/>
              </w:rPr>
            </w:pPr>
            <w:r w:rsidRPr="00EA6E15">
              <w:t>1.4</w:t>
            </w:r>
          </w:p>
        </w:tc>
        <w:tc>
          <w:tcPr>
            <w:tcW w:w="5610" w:type="dxa"/>
            <w:tcBorders>
              <w:top w:val="nil"/>
              <w:left w:val="nil"/>
              <w:bottom w:val="nil"/>
              <w:right w:val="nil"/>
            </w:tcBorders>
            <w:tcMar>
              <w:top w:w="0" w:type="dxa"/>
              <w:left w:w="62" w:type="dxa"/>
              <w:bottom w:w="0" w:type="dxa"/>
              <w:right w:w="62" w:type="dxa"/>
            </w:tcMar>
          </w:tcPr>
          <w:p w:rsidR="00000000" w:rsidP="00EA6E15">
            <w:pPr>
              <w:pStyle w:val="BodyText"/>
              <w:rPr>
                <w:lang w:val="en-NZ"/>
              </w:rPr>
            </w:pPr>
            <w:r w:rsidRPr="00EA6E15">
              <w:t xml:space="preserve">Systems for the exchange, naming and storage of relevant project design documentation and for communication with the design team, client and </w:t>
            </w:r>
            <w:r w:rsidRPr="00EA6E15">
              <w:t>relevant stakeholders are planned and implemented.</w:t>
            </w:r>
          </w:p>
        </w:tc>
      </w:tr>
      <w:tr w:rsidTr="00EA6E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EA6E15">
            <w:pPr>
              <w:pStyle w:val="BodyText"/>
              <w:rPr>
                <w:lang w:val="en-NZ"/>
              </w:rPr>
            </w:pPr>
          </w:p>
        </w:tc>
      </w:tr>
      <w:tr w:rsidTr="00EA6E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A6E15">
            <w:pPr>
              <w:pStyle w:val="BodyText"/>
              <w:rPr>
                <w:lang w:val="en-NZ"/>
              </w:rPr>
            </w:pPr>
            <w:r w:rsidRPr="00EA6E15">
              <w:t>2</w:t>
            </w:r>
          </w:p>
        </w:tc>
        <w:tc>
          <w:tcPr>
            <w:tcW w:w="1962" w:type="dxa"/>
            <w:vMerge w:val="restart"/>
            <w:tcBorders>
              <w:top w:val="nil"/>
              <w:left w:val="nil"/>
              <w:bottom w:val="nil"/>
              <w:right w:val="nil"/>
            </w:tcBorders>
            <w:tcMar>
              <w:top w:w="0" w:type="dxa"/>
              <w:left w:w="62" w:type="dxa"/>
              <w:bottom w:w="0" w:type="dxa"/>
              <w:right w:w="62" w:type="dxa"/>
            </w:tcMar>
          </w:tcPr>
          <w:p w:rsidR="00000000" w:rsidP="00EA6E15">
            <w:pPr>
              <w:pStyle w:val="BodyText"/>
              <w:rPr>
                <w:lang w:val="en-NZ"/>
              </w:rPr>
            </w:pPr>
            <w:r w:rsidRPr="00EA6E15">
              <w:t>Review design documentation at required stages of design process.</w:t>
            </w:r>
          </w:p>
        </w:tc>
        <w:tc>
          <w:tcPr>
            <w:tcW w:w="770" w:type="dxa"/>
            <w:tcBorders>
              <w:top w:val="nil"/>
              <w:left w:val="nil"/>
              <w:bottom w:val="nil"/>
              <w:right w:val="nil"/>
            </w:tcBorders>
            <w:tcMar>
              <w:top w:w="0" w:type="dxa"/>
              <w:left w:w="62" w:type="dxa"/>
              <w:bottom w:w="0" w:type="dxa"/>
              <w:right w:w="62" w:type="dxa"/>
            </w:tcMar>
          </w:tcPr>
          <w:p w:rsidR="00000000" w:rsidP="00EA6E15">
            <w:pPr>
              <w:pStyle w:val="BodyText"/>
              <w:rPr>
                <w:lang w:val="en-NZ"/>
              </w:rPr>
            </w:pPr>
            <w:r w:rsidRPr="00EA6E15">
              <w:t>2.1</w:t>
            </w:r>
          </w:p>
        </w:tc>
        <w:tc>
          <w:tcPr>
            <w:tcW w:w="5610" w:type="dxa"/>
            <w:tcBorders>
              <w:top w:val="nil"/>
              <w:left w:val="nil"/>
              <w:bottom w:val="nil"/>
              <w:right w:val="nil"/>
            </w:tcBorders>
            <w:tcMar>
              <w:top w:w="0" w:type="dxa"/>
              <w:left w:w="62" w:type="dxa"/>
              <w:bottom w:w="0" w:type="dxa"/>
              <w:right w:w="62" w:type="dxa"/>
            </w:tcMar>
          </w:tcPr>
          <w:p w:rsidR="00000000" w:rsidP="00EA6E15">
            <w:pPr>
              <w:pStyle w:val="BodyText"/>
              <w:rPr>
                <w:lang w:val="en-NZ"/>
              </w:rPr>
            </w:pPr>
            <w:r w:rsidRPr="00EA6E15">
              <w:t>Level of service for review of design documentation at different stages of design process is confirmed and applied.</w:t>
            </w:r>
          </w:p>
        </w:tc>
      </w:tr>
      <w:tr w:rsidTr="00EA6E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6E15">
            <w:pPr>
              <w:pStyle w:val="BodyText"/>
              <w:rPr>
                <w:lang w:val="en-NZ"/>
              </w:rPr>
            </w:pPr>
            <w:r w:rsidRPr="00EA6E15">
              <w:t>2.2</w:t>
            </w:r>
          </w:p>
        </w:tc>
        <w:tc>
          <w:tcPr>
            <w:tcW w:w="5610" w:type="dxa"/>
            <w:tcBorders>
              <w:top w:val="nil"/>
              <w:left w:val="nil"/>
              <w:bottom w:val="nil"/>
              <w:right w:val="nil"/>
            </w:tcBorders>
            <w:tcMar>
              <w:top w:w="0" w:type="dxa"/>
              <w:left w:w="62" w:type="dxa"/>
              <w:bottom w:w="0" w:type="dxa"/>
              <w:right w:w="62" w:type="dxa"/>
            </w:tcMar>
          </w:tcPr>
          <w:p w:rsidR="00000000" w:rsidP="00EA6E15">
            <w:pPr>
              <w:pStyle w:val="BodyText"/>
              <w:rPr>
                <w:lang w:val="en-NZ"/>
              </w:rPr>
            </w:pPr>
            <w:r w:rsidRPr="00EA6E15">
              <w:t xml:space="preserve">Design documentation is received, named and stored following agreed protocols, at different </w:t>
            </w:r>
            <w:r w:rsidRPr="00EA6E15">
              <w:rPr>
                <w:rStyle w:val="BoldandItalics"/>
              </w:rPr>
              <w:t>stages of design process</w:t>
            </w:r>
            <w:r w:rsidRPr="00EA6E15">
              <w:t xml:space="preserve"> according to service level agreement.</w:t>
            </w:r>
          </w:p>
        </w:tc>
      </w:tr>
      <w:tr w:rsidTr="00EA6E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6E15">
            <w:pPr>
              <w:pStyle w:val="BodyText"/>
              <w:rPr>
                <w:lang w:val="en-NZ"/>
              </w:rPr>
            </w:pPr>
            <w:r w:rsidRPr="00EA6E15">
              <w:t>2.3</w:t>
            </w:r>
          </w:p>
        </w:tc>
        <w:tc>
          <w:tcPr>
            <w:tcW w:w="5610" w:type="dxa"/>
            <w:tcBorders>
              <w:top w:val="nil"/>
              <w:left w:val="nil"/>
              <w:bottom w:val="nil"/>
              <w:right w:val="nil"/>
            </w:tcBorders>
            <w:tcMar>
              <w:top w:w="0" w:type="dxa"/>
              <w:left w:w="62" w:type="dxa"/>
              <w:bottom w:w="0" w:type="dxa"/>
              <w:right w:w="62" w:type="dxa"/>
            </w:tcMar>
          </w:tcPr>
          <w:p w:rsidR="00000000" w:rsidP="00EA6E15">
            <w:pPr>
              <w:pStyle w:val="BodyText"/>
              <w:rPr>
                <w:lang w:val="en-NZ"/>
              </w:rPr>
            </w:pPr>
            <w:r w:rsidRPr="00EA6E15">
              <w:t>Design documentation is examined in relation to access and use compliance requirements and the project’s access and use design policy and brief, and anomalies in access and use provisions are detected.</w:t>
            </w:r>
          </w:p>
        </w:tc>
      </w:tr>
      <w:tr w:rsidTr="00EA6E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A6E15" w:rsidP="00EA6E15">
            <w:pPr>
              <w:pStyle w:val="BodyText"/>
            </w:pPr>
            <w:r w:rsidRPr="00EA6E15">
              <w:t>2.4</w:t>
            </w:r>
          </w:p>
        </w:tc>
        <w:tc>
          <w:tcPr>
            <w:tcW w:w="5610" w:type="dxa"/>
            <w:tcBorders>
              <w:top w:val="nil"/>
              <w:left w:val="nil"/>
              <w:bottom w:val="nil"/>
              <w:right w:val="nil"/>
            </w:tcBorders>
            <w:tcMar>
              <w:top w:w="0" w:type="dxa"/>
              <w:left w:w="62" w:type="dxa"/>
              <w:bottom w:w="0" w:type="dxa"/>
              <w:right w:w="62" w:type="dxa"/>
            </w:tcMar>
          </w:tcPr>
          <w:p w:rsidR="00000000" w:rsidP="00EA6E15">
            <w:pPr>
              <w:pStyle w:val="BodyText"/>
              <w:rPr>
                <w:lang w:val="en-NZ"/>
              </w:rPr>
            </w:pPr>
            <w:r w:rsidRPr="00EA6E15">
              <w:rPr>
                <w:rStyle w:val="BoldandItalics"/>
              </w:rPr>
              <w:t>Details of access and use design issues</w:t>
            </w:r>
            <w:r w:rsidRPr="00EA6E15">
              <w:t xml:space="preserve"> are res</w:t>
            </w:r>
            <w:r w:rsidRPr="00EA6E15">
              <w:t>earched or deduced and noted.</w:t>
            </w:r>
          </w:p>
        </w:tc>
      </w:tr>
      <w:tr w:rsidTr="00EA6E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6E15">
            <w:pPr>
              <w:pStyle w:val="BodyText"/>
              <w:rPr>
                <w:lang w:val="en-NZ"/>
              </w:rPr>
            </w:pPr>
            <w:r w:rsidRPr="00EA6E15">
              <w:t>2.5</w:t>
            </w:r>
          </w:p>
        </w:tc>
        <w:tc>
          <w:tcPr>
            <w:tcW w:w="5610" w:type="dxa"/>
            <w:tcBorders>
              <w:top w:val="nil"/>
              <w:left w:val="nil"/>
              <w:bottom w:val="nil"/>
              <w:right w:val="nil"/>
            </w:tcBorders>
            <w:tcMar>
              <w:top w:w="0" w:type="dxa"/>
              <w:left w:w="62" w:type="dxa"/>
              <w:bottom w:w="0" w:type="dxa"/>
              <w:right w:w="62" w:type="dxa"/>
            </w:tcMar>
          </w:tcPr>
          <w:p w:rsidR="00000000" w:rsidRPr="00EA6E15" w:rsidP="00EA6E15">
            <w:pPr>
              <w:pStyle w:val="BodyText"/>
            </w:pPr>
            <w:r w:rsidRPr="00EA6E15">
              <w:t xml:space="preserve">Report on access and use issues is prepared, distributed and discussed according to service level agreement, and </w:t>
            </w:r>
            <w:r w:rsidRPr="00EA6E15">
              <w:t xml:space="preserve">further actions are agreed with client. </w:t>
            </w:r>
          </w:p>
        </w:tc>
      </w:tr>
    </w:tbl>
    <w:p w:rsidR="00000000" w:rsidRPr="00EA6E15" w:rsidP="00EA6E15">
      <w:pPr>
        <w:pStyle w:val="BodyText"/>
      </w:pPr>
    </w:p>
    <w:tbl>
      <w:tblPr>
        <w:tblW w:w="0" w:type="auto"/>
        <w:tblLayout w:type="fixed"/>
        <w:tblCellMar>
          <w:left w:w="62" w:type="dxa"/>
          <w:right w:w="62" w:type="dxa"/>
        </w:tblCellMar>
        <w:tblLook w:val="0000"/>
      </w:tblPr>
      <w:tblGrid>
        <w:gridCol w:w="678"/>
        <w:gridCol w:w="1962"/>
        <w:gridCol w:w="770"/>
        <w:gridCol w:w="5610"/>
      </w:tblGrid>
      <w:tr w:rsidTr="00EA6E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A6E15">
            <w:pPr>
              <w:pStyle w:val="BodyText"/>
              <w:rPr>
                <w:lang w:val="en-NZ"/>
              </w:rPr>
            </w:pPr>
            <w:r w:rsidRPr="00EA6E15">
              <w:t>3</w:t>
            </w:r>
          </w:p>
        </w:tc>
        <w:tc>
          <w:tcPr>
            <w:tcW w:w="1962" w:type="dxa"/>
            <w:vMerge w:val="restart"/>
            <w:tcBorders>
              <w:top w:val="nil"/>
              <w:left w:val="nil"/>
              <w:bottom w:val="nil"/>
              <w:right w:val="nil"/>
            </w:tcBorders>
            <w:tcMar>
              <w:top w:w="0" w:type="dxa"/>
              <w:left w:w="62" w:type="dxa"/>
              <w:bottom w:w="0" w:type="dxa"/>
              <w:right w:w="62" w:type="dxa"/>
            </w:tcMar>
          </w:tcPr>
          <w:p w:rsidR="00000000" w:rsidP="00EA6E15">
            <w:pPr>
              <w:pStyle w:val="BodyText"/>
              <w:rPr>
                <w:lang w:val="en-NZ"/>
              </w:rPr>
            </w:pPr>
            <w:r w:rsidRPr="00EA6E15">
              <w:t>Develop solutions to access and use design issues.</w:t>
            </w:r>
          </w:p>
        </w:tc>
        <w:tc>
          <w:tcPr>
            <w:tcW w:w="770" w:type="dxa"/>
            <w:tcBorders>
              <w:top w:val="nil"/>
              <w:left w:val="nil"/>
              <w:bottom w:val="nil"/>
              <w:right w:val="nil"/>
            </w:tcBorders>
            <w:tcMar>
              <w:top w:w="0" w:type="dxa"/>
              <w:left w:w="62" w:type="dxa"/>
              <w:bottom w:w="0" w:type="dxa"/>
              <w:right w:w="62" w:type="dxa"/>
            </w:tcMar>
          </w:tcPr>
          <w:p w:rsidR="00000000" w:rsidP="00EA6E15">
            <w:pPr>
              <w:pStyle w:val="BodyText"/>
              <w:rPr>
                <w:lang w:val="en-NZ"/>
              </w:rPr>
            </w:pPr>
            <w:r w:rsidRPr="00EA6E15">
              <w:t>3.1</w:t>
            </w:r>
          </w:p>
        </w:tc>
        <w:tc>
          <w:tcPr>
            <w:tcW w:w="5610" w:type="dxa"/>
            <w:tcBorders>
              <w:top w:val="nil"/>
              <w:left w:val="nil"/>
              <w:bottom w:val="nil"/>
              <w:right w:val="nil"/>
            </w:tcBorders>
            <w:tcMar>
              <w:top w:w="0" w:type="dxa"/>
              <w:left w:w="62" w:type="dxa"/>
              <w:bottom w:w="0" w:type="dxa"/>
              <w:right w:w="62" w:type="dxa"/>
            </w:tcMar>
          </w:tcPr>
          <w:p w:rsidR="00000000" w:rsidP="00EA6E15">
            <w:pPr>
              <w:pStyle w:val="BodyText"/>
              <w:rPr>
                <w:lang w:val="en-NZ"/>
              </w:rPr>
            </w:pPr>
            <w:r w:rsidRPr="00EA6E15">
              <w:t>Best practice solutions relevant to reported access and use issues are sourced and analysed in relation to project’s access and use design policy and brief.</w:t>
            </w:r>
          </w:p>
        </w:tc>
      </w:tr>
      <w:tr w:rsidTr="00EA6E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6E15">
            <w:pPr>
              <w:pStyle w:val="BodyText"/>
              <w:rPr>
                <w:lang w:val="en-NZ"/>
              </w:rPr>
            </w:pPr>
            <w:r w:rsidRPr="00EA6E15">
              <w:t>3.2</w:t>
            </w:r>
          </w:p>
        </w:tc>
        <w:tc>
          <w:tcPr>
            <w:tcW w:w="5610" w:type="dxa"/>
            <w:tcBorders>
              <w:top w:val="nil"/>
              <w:left w:val="nil"/>
              <w:bottom w:val="nil"/>
              <w:right w:val="nil"/>
            </w:tcBorders>
            <w:tcMar>
              <w:top w:w="0" w:type="dxa"/>
              <w:left w:w="62" w:type="dxa"/>
              <w:bottom w:w="0" w:type="dxa"/>
              <w:right w:w="62" w:type="dxa"/>
            </w:tcMar>
          </w:tcPr>
          <w:p w:rsidR="00000000" w:rsidP="00EA6E15">
            <w:pPr>
              <w:pStyle w:val="BodyText"/>
              <w:rPr>
                <w:lang w:val="en-NZ"/>
              </w:rPr>
            </w:pPr>
            <w:r w:rsidRPr="00EA6E15">
              <w:t xml:space="preserve">Practical and effective </w:t>
            </w:r>
            <w:r w:rsidRPr="00EA6E15">
              <w:rPr>
                <w:rStyle w:val="BoldandItalics"/>
              </w:rPr>
              <w:t>solutions to access and use issues</w:t>
            </w:r>
            <w:r w:rsidRPr="00EA6E15">
              <w:t xml:space="preserve"> are explored and sketches made or</w:t>
            </w:r>
            <w:r w:rsidRPr="00EA6E15">
              <w:t xml:space="preserve"> explanations noted.</w:t>
            </w:r>
          </w:p>
        </w:tc>
      </w:tr>
      <w:tr w:rsidTr="00EA6E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6E15">
            <w:pPr>
              <w:pStyle w:val="BodyText"/>
              <w:rPr>
                <w:lang w:val="en-NZ"/>
              </w:rPr>
            </w:pPr>
            <w:r w:rsidRPr="00EA6E15">
              <w:t>3.3</w:t>
            </w:r>
          </w:p>
        </w:tc>
        <w:tc>
          <w:tcPr>
            <w:tcW w:w="5610" w:type="dxa"/>
            <w:tcBorders>
              <w:top w:val="nil"/>
              <w:left w:val="nil"/>
              <w:bottom w:val="nil"/>
              <w:right w:val="nil"/>
            </w:tcBorders>
            <w:tcMar>
              <w:top w:w="0" w:type="dxa"/>
              <w:left w:w="62" w:type="dxa"/>
              <w:bottom w:w="0" w:type="dxa"/>
              <w:right w:w="62" w:type="dxa"/>
            </w:tcMar>
          </w:tcPr>
          <w:p w:rsidR="00000000" w:rsidP="00EA6E15">
            <w:pPr>
              <w:pStyle w:val="BodyText"/>
              <w:rPr>
                <w:lang w:val="en-NZ"/>
              </w:rPr>
            </w:pPr>
            <w:r w:rsidRPr="00EA6E15">
              <w:t>Solutions are presented and explained to client, design team and other relevant stakeholders, as required, to facilitate selection of best solution.</w:t>
            </w:r>
          </w:p>
        </w:tc>
      </w:tr>
      <w:tr w:rsidTr="00EA6E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6E15">
            <w:pPr>
              <w:pStyle w:val="BodyText"/>
              <w:rPr>
                <w:lang w:val="en-NZ"/>
              </w:rPr>
            </w:pPr>
            <w:r w:rsidRPr="00EA6E15">
              <w:t>3.4</w:t>
            </w:r>
          </w:p>
        </w:tc>
        <w:tc>
          <w:tcPr>
            <w:tcW w:w="5610" w:type="dxa"/>
            <w:tcBorders>
              <w:top w:val="nil"/>
              <w:left w:val="nil"/>
              <w:bottom w:val="nil"/>
              <w:right w:val="nil"/>
            </w:tcBorders>
            <w:tcMar>
              <w:top w:w="0" w:type="dxa"/>
              <w:left w:w="62" w:type="dxa"/>
              <w:bottom w:w="0" w:type="dxa"/>
              <w:right w:w="62" w:type="dxa"/>
            </w:tcMar>
          </w:tcPr>
          <w:p w:rsidR="00000000" w:rsidRPr="00EA6E15" w:rsidP="00EA6E15">
            <w:pPr>
              <w:pStyle w:val="BodyText"/>
            </w:pPr>
            <w:r w:rsidRPr="00EA6E15">
              <w:t>Selected solutions are developed and specifications detailed, including compliance references, exclusion report or management plan as required.</w:t>
            </w:r>
          </w:p>
        </w:tc>
      </w:tr>
    </w:tbl>
    <w:p w:rsidR="00000000" w:rsidRPr="00EA6E15" w:rsidP="00EA6E15">
      <w:pPr>
        <w:pStyle w:val="BodyText"/>
      </w:pPr>
    </w:p>
    <w:tbl>
      <w:tblPr>
        <w:tblW w:w="0" w:type="auto"/>
        <w:tblLayout w:type="fixed"/>
        <w:tblCellMar>
          <w:left w:w="62" w:type="dxa"/>
          <w:right w:w="62" w:type="dxa"/>
        </w:tblCellMar>
        <w:tblLook w:val="0000"/>
      </w:tblPr>
      <w:tblGrid>
        <w:gridCol w:w="678"/>
        <w:gridCol w:w="1962"/>
        <w:gridCol w:w="770"/>
        <w:gridCol w:w="5610"/>
      </w:tblGrid>
      <w:tr w:rsidTr="00EA6E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A6E15">
            <w:pPr>
              <w:pStyle w:val="BodyText"/>
              <w:rPr>
                <w:lang w:val="en-NZ"/>
              </w:rPr>
            </w:pPr>
            <w:r w:rsidRPr="00EA6E15">
              <w:t>4</w:t>
            </w:r>
          </w:p>
        </w:tc>
        <w:tc>
          <w:tcPr>
            <w:tcW w:w="1962" w:type="dxa"/>
            <w:vMerge w:val="restart"/>
            <w:tcBorders>
              <w:top w:val="nil"/>
              <w:left w:val="nil"/>
              <w:bottom w:val="nil"/>
              <w:right w:val="nil"/>
            </w:tcBorders>
            <w:tcMar>
              <w:top w:w="0" w:type="dxa"/>
              <w:left w:w="62" w:type="dxa"/>
              <w:bottom w:w="0" w:type="dxa"/>
              <w:right w:w="62" w:type="dxa"/>
            </w:tcMar>
          </w:tcPr>
          <w:p w:rsidR="00000000" w:rsidP="00EA6E15">
            <w:pPr>
              <w:pStyle w:val="BodyText"/>
              <w:rPr>
                <w:lang w:val="en-NZ"/>
              </w:rPr>
            </w:pPr>
            <w:r w:rsidRPr="00EA6E15">
              <w:t>Consult and report on project finalisation.</w:t>
            </w:r>
          </w:p>
        </w:tc>
        <w:tc>
          <w:tcPr>
            <w:tcW w:w="770" w:type="dxa"/>
            <w:tcBorders>
              <w:top w:val="nil"/>
              <w:left w:val="nil"/>
              <w:bottom w:val="nil"/>
              <w:right w:val="nil"/>
            </w:tcBorders>
            <w:tcMar>
              <w:top w:w="0" w:type="dxa"/>
              <w:left w:w="62" w:type="dxa"/>
              <w:bottom w:w="0" w:type="dxa"/>
              <w:right w:w="62" w:type="dxa"/>
            </w:tcMar>
          </w:tcPr>
          <w:p w:rsidR="00000000" w:rsidRPr="00EA6E15" w:rsidP="00EA6E15">
            <w:pPr>
              <w:pStyle w:val="BodyText"/>
            </w:pPr>
            <w:r w:rsidRPr="00EA6E15">
              <w:t>4.1</w:t>
            </w:r>
          </w:p>
        </w:tc>
        <w:tc>
          <w:tcPr>
            <w:tcW w:w="5610" w:type="dxa"/>
            <w:tcBorders>
              <w:top w:val="nil"/>
              <w:left w:val="nil"/>
              <w:bottom w:val="nil"/>
              <w:right w:val="nil"/>
            </w:tcBorders>
            <w:tcMar>
              <w:top w:w="0" w:type="dxa"/>
              <w:left w:w="62" w:type="dxa"/>
              <w:bottom w:w="0" w:type="dxa"/>
              <w:right w:w="62" w:type="dxa"/>
            </w:tcMar>
          </w:tcPr>
          <w:p w:rsidR="00000000" w:rsidP="00EA6E15">
            <w:pPr>
              <w:pStyle w:val="BodyText"/>
              <w:rPr>
                <w:lang w:val="en-NZ"/>
              </w:rPr>
            </w:pPr>
            <w:r w:rsidRPr="00EA6E15">
              <w:rPr>
                <w:rStyle w:val="BoldandItalics"/>
              </w:rPr>
              <w:t xml:space="preserve">Access and use issues arising during the construction phase </w:t>
            </w:r>
            <w:r w:rsidRPr="00EA6E15">
              <w:rPr>
                <w:rStyle w:val="BoldandItalics"/>
              </w:rPr>
              <w:t>of projects</w:t>
            </w:r>
            <w:r w:rsidRPr="00EA6E15">
              <w:t xml:space="preserve"> are analysed and solutions proposed to design team, client and relevant stakeholders.</w:t>
            </w:r>
          </w:p>
        </w:tc>
      </w:tr>
      <w:tr w:rsidTr="00EA6E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6E15">
            <w:pPr>
              <w:pStyle w:val="BodyText"/>
              <w:rPr>
                <w:lang w:val="en-NZ"/>
              </w:rPr>
            </w:pPr>
            <w:r w:rsidRPr="00EA6E15">
              <w:t>4.2</w:t>
            </w:r>
          </w:p>
        </w:tc>
        <w:tc>
          <w:tcPr>
            <w:tcW w:w="5610" w:type="dxa"/>
            <w:tcBorders>
              <w:top w:val="nil"/>
              <w:left w:val="nil"/>
              <w:bottom w:val="nil"/>
              <w:right w:val="nil"/>
            </w:tcBorders>
            <w:tcMar>
              <w:top w:w="0" w:type="dxa"/>
              <w:left w:w="62" w:type="dxa"/>
              <w:bottom w:w="0" w:type="dxa"/>
              <w:right w:w="62" w:type="dxa"/>
            </w:tcMar>
          </w:tcPr>
          <w:p w:rsidR="00000000" w:rsidP="00EA6E15">
            <w:pPr>
              <w:pStyle w:val="BodyText"/>
              <w:rPr>
                <w:lang w:val="en-NZ"/>
              </w:rPr>
            </w:pPr>
            <w:r w:rsidRPr="00EA6E15">
              <w:t>Accepted access and use design modifications are recorded with exclusion report or management plan as required.</w:t>
            </w:r>
          </w:p>
        </w:tc>
      </w:tr>
      <w:tr w:rsidTr="00EA6E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6E15">
            <w:pPr>
              <w:pStyle w:val="BodyText"/>
              <w:rPr>
                <w:lang w:val="en-NZ"/>
              </w:rPr>
            </w:pPr>
            <w:r w:rsidRPr="00EA6E15">
              <w:t>4.3</w:t>
            </w:r>
          </w:p>
        </w:tc>
        <w:tc>
          <w:tcPr>
            <w:tcW w:w="5610" w:type="dxa"/>
            <w:tcBorders>
              <w:top w:val="nil"/>
              <w:left w:val="nil"/>
              <w:bottom w:val="nil"/>
              <w:right w:val="nil"/>
            </w:tcBorders>
            <w:tcMar>
              <w:top w:w="0" w:type="dxa"/>
              <w:left w:w="62" w:type="dxa"/>
              <w:bottom w:w="0" w:type="dxa"/>
              <w:right w:w="62" w:type="dxa"/>
            </w:tcMar>
          </w:tcPr>
          <w:p w:rsidR="00000000" w:rsidP="00EA6E15">
            <w:pPr>
              <w:pStyle w:val="BodyText"/>
              <w:rPr>
                <w:lang w:val="en-NZ"/>
              </w:rPr>
            </w:pPr>
            <w:r w:rsidRPr="00EA6E15">
              <w:t>Access and use report is prepared for finalisation of project, detailing recommended and ‘as built’ access and use solutions with rationale for selected solutions and changes.</w:t>
            </w:r>
          </w:p>
        </w:tc>
      </w:tr>
      <w:tr w:rsidTr="00EA6E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6E15">
            <w:pPr>
              <w:pStyle w:val="BodyText"/>
              <w:rPr>
                <w:lang w:val="en-NZ"/>
              </w:rPr>
            </w:pPr>
            <w:r w:rsidRPr="00EA6E15">
              <w:t>4.4</w:t>
            </w:r>
          </w:p>
        </w:tc>
        <w:tc>
          <w:tcPr>
            <w:tcW w:w="5610" w:type="dxa"/>
            <w:tcBorders>
              <w:top w:val="nil"/>
              <w:left w:val="nil"/>
              <w:bottom w:val="nil"/>
              <w:right w:val="nil"/>
            </w:tcBorders>
            <w:tcMar>
              <w:top w:w="0" w:type="dxa"/>
              <w:left w:w="62" w:type="dxa"/>
              <w:bottom w:w="0" w:type="dxa"/>
              <w:right w:w="62" w:type="dxa"/>
            </w:tcMar>
          </w:tcPr>
          <w:p w:rsidR="00000000" w:rsidRPr="00EA6E15" w:rsidP="00EA6E15">
            <w:pPr>
              <w:pStyle w:val="BodyText"/>
            </w:pPr>
            <w:r w:rsidRPr="00EA6E15">
              <w:t xml:space="preserve">Information valuable to ongoing debate and development of access and use </w:t>
            </w:r>
            <w:r w:rsidRPr="00EA6E15">
              <w:t>principles, standards and solutions is documented and disseminated to relevant professional communities.</w:t>
            </w:r>
          </w:p>
        </w:tc>
      </w:tr>
    </w:tbl>
    <w:p w:rsidR="00A56F7A" w:rsidP="00EA6E15">
      <w:pPr>
        <w:pStyle w:val="BodyText"/>
      </w:pPr>
    </w:p>
    <w:p w:rsidR="00A56F7A" w:rsidP="00EA6E15">
      <w:pPr>
        <w:pStyle w:val="BodyText"/>
      </w:pPr>
    </w:p>
    <w:p w:rsidR="00000000" w:rsidRPr="00EA6E15" w:rsidP="00EA6E15">
      <w:pPr>
        <w:pStyle w:val="Heading1"/>
      </w:pPr>
      <w:bookmarkStart w:id="9" w:name="O_453193"/>
      <w:bookmarkEnd w:id="9"/>
      <w:r w:rsidRPr="00EA6E15">
        <w:t>Required Skills and Knowledge</w:t>
      </w:r>
    </w:p>
    <w:tbl>
      <w:tblPr>
        <w:tblW w:w="0" w:type="auto"/>
        <w:tblLayout w:type="fixed"/>
        <w:tblCellMar>
          <w:left w:w="62" w:type="dxa"/>
          <w:right w:w="62" w:type="dxa"/>
        </w:tblCellMar>
        <w:tblLook w:val="0000"/>
      </w:tblPr>
      <w:tblGrid>
        <w:gridCol w:w="9179"/>
      </w:tblGrid>
      <w:tr w:rsidTr="00EA6E15">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EA6E15">
            <w:pPr>
              <w:pStyle w:val="BodyText"/>
              <w:rPr>
                <w:lang w:val="en-NZ"/>
              </w:rPr>
            </w:pPr>
            <w:r w:rsidRPr="00EA6E15">
              <w:t>This section describes the skills and knowledge required for this unit.</w:t>
            </w:r>
          </w:p>
        </w:tc>
      </w:tr>
      <w:tr w:rsidTr="00EA6E15">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EA6E15">
            <w:pPr>
              <w:pStyle w:val="BodyText"/>
              <w:rPr>
                <w:lang w:val="en-NZ"/>
              </w:rPr>
            </w:pPr>
            <w:r w:rsidRPr="00EA6E15">
              <w:rPr>
                <w:rStyle w:val="SpecialBold"/>
              </w:rPr>
              <w:t>Required skills</w:t>
            </w:r>
          </w:p>
        </w:tc>
      </w:tr>
      <w:tr w:rsidTr="00EA6E15">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EA6E15" w:rsidP="00EA6E15">
            <w:pPr>
              <w:pStyle w:val="ListBullet"/>
            </w:pPr>
            <w:r w:rsidRPr="00EA6E15">
              <w:t>language and literacy skills to:</w:t>
            </w:r>
          </w:p>
          <w:p w:rsidR="00000000" w:rsidRPr="00EA6E15" w:rsidP="00EA6E15">
            <w:pPr>
              <w:pStyle w:val="ListBullet2"/>
            </w:pPr>
            <w:r w:rsidRPr="00EA6E15">
              <w:t>exchange complex information with people from diverse backgrounds using relevant language and format</w:t>
            </w:r>
          </w:p>
          <w:p w:rsidR="00000000" w:rsidRPr="00EA6E15" w:rsidP="00EA6E15">
            <w:pPr>
              <w:pStyle w:val="ListBullet2"/>
            </w:pPr>
            <w:r w:rsidRPr="00EA6E15">
              <w:t>interpret complex legal and technical documents regarding accessibility, such as:</w:t>
            </w:r>
          </w:p>
          <w:p w:rsidR="00000000" w:rsidRPr="00EA6E15" w:rsidP="00EA6E15">
            <w:pPr>
              <w:pStyle w:val="ListBullet3"/>
            </w:pPr>
            <w:r w:rsidRPr="00EA6E15">
              <w:t>Australian and international standards</w:t>
            </w:r>
          </w:p>
          <w:p w:rsidR="00000000" w:rsidRPr="00EA6E15" w:rsidP="00EA6E15">
            <w:pPr>
              <w:pStyle w:val="ListBullet3"/>
            </w:pPr>
            <w:r w:rsidRPr="00EA6E15">
              <w:t>National Construction Code (NCC) deemed-to-satisfy requirements, performance requirements and alternative solutions</w:t>
            </w:r>
          </w:p>
          <w:p w:rsidR="00000000" w:rsidRPr="00EA6E15" w:rsidP="00EA6E15">
            <w:pPr>
              <w:pStyle w:val="ListBullet3"/>
            </w:pPr>
            <w:r w:rsidRPr="00EA6E15">
              <w:t>Disability (Access to Premises – Buildings) Standards, known as the Premises Standards (PS)</w:t>
            </w:r>
          </w:p>
          <w:p w:rsidR="00000000" w:rsidRPr="00EA6E15" w:rsidP="00EA6E15">
            <w:pPr>
              <w:pStyle w:val="ListBullet3"/>
            </w:pPr>
            <w:r w:rsidRPr="00EA6E15">
              <w:t>Disability Discrimination Act</w:t>
            </w:r>
          </w:p>
          <w:p w:rsidR="00000000" w:rsidRPr="00EA6E15" w:rsidP="00EA6E15">
            <w:pPr>
              <w:pStyle w:val="ListBullet3"/>
            </w:pPr>
            <w:r w:rsidRPr="00EA6E15">
              <w:t>research papers</w:t>
            </w:r>
          </w:p>
          <w:p w:rsidR="00000000" w:rsidRPr="00EA6E15" w:rsidP="00EA6E15">
            <w:pPr>
              <w:pStyle w:val="ListBullet"/>
            </w:pPr>
            <w:r w:rsidRPr="00EA6E15">
              <w:t>n</w:t>
            </w:r>
            <w:r w:rsidRPr="00EA6E15">
              <w:t>umeracy skills to:</w:t>
            </w:r>
          </w:p>
          <w:p w:rsidR="00000000" w:rsidRPr="00EA6E15" w:rsidP="00EA6E15">
            <w:pPr>
              <w:pStyle w:val="ListBullet2"/>
            </w:pPr>
            <w:r w:rsidRPr="00EA6E15">
              <w:t>perform and interpret design calculations</w:t>
            </w:r>
          </w:p>
          <w:p w:rsidR="00000000" w:rsidRPr="00EA6E15" w:rsidP="00EA6E15">
            <w:pPr>
              <w:pStyle w:val="ListBullet2"/>
            </w:pPr>
            <w:r w:rsidRPr="00EA6E15">
              <w:t>assess cost-effectiveness of solutions</w:t>
            </w:r>
          </w:p>
          <w:p w:rsidR="00000000" w:rsidRPr="00EA6E15" w:rsidP="00EA6E15">
            <w:pPr>
              <w:pStyle w:val="ListBullet"/>
            </w:pPr>
            <w:r w:rsidRPr="00EA6E15">
              <w:t>planning and organising skills to:</w:t>
            </w:r>
          </w:p>
          <w:p w:rsidR="00000000" w:rsidRPr="00EA6E15" w:rsidP="00EA6E15">
            <w:pPr>
              <w:pStyle w:val="ListBullet2"/>
            </w:pPr>
            <w:r w:rsidRPr="00EA6E15">
              <w:t>manage documentation</w:t>
            </w:r>
          </w:p>
          <w:p w:rsidR="00000000" w:rsidRPr="00EA6E15" w:rsidP="00EA6E15">
            <w:pPr>
              <w:pStyle w:val="ListBullet2"/>
            </w:pPr>
            <w:r w:rsidRPr="00EA6E15">
              <w:t>meet timelines for service provision</w:t>
            </w:r>
          </w:p>
          <w:p w:rsidR="00000000" w:rsidRPr="00EA6E15" w:rsidP="00EA6E15">
            <w:pPr>
              <w:pStyle w:val="ListBullet"/>
            </w:pPr>
            <w:r w:rsidRPr="00EA6E15">
              <w:t xml:space="preserve">problem-solving </w:t>
            </w:r>
            <w:r w:rsidRPr="00EA6E15">
              <w:t>skills to select and adapt practical and cost-effective solutions to access and use issues</w:t>
            </w:r>
          </w:p>
          <w:p w:rsidR="00000000" w:rsidRPr="00EA6E15" w:rsidP="00EA6E15">
            <w:pPr>
              <w:pStyle w:val="ListBullet"/>
            </w:pPr>
            <w:r w:rsidRPr="00EA6E15">
              <w:t>technical skills to:</w:t>
            </w:r>
          </w:p>
          <w:p w:rsidR="00000000" w:rsidRPr="00EA6E15" w:rsidP="00EA6E15">
            <w:pPr>
              <w:pStyle w:val="ListBullet2"/>
            </w:pPr>
            <w:r w:rsidRPr="00EA6E15">
              <w:t>interpret design documentation, including visualising environments in three-dimensions (3-D), and conducting a cognitive ‘walk through’ of envi</w:t>
            </w:r>
            <w:r w:rsidRPr="00EA6E15">
              <w:t>ronments applying access and use principles</w:t>
            </w:r>
          </w:p>
          <w:p w:rsidR="00000000" w:rsidRPr="00EA6E15" w:rsidP="00EA6E15">
            <w:pPr>
              <w:pStyle w:val="ListBullet2"/>
            </w:pPr>
            <w:r w:rsidRPr="00EA6E15">
              <w:t>develop and describe solutions to access and use issues</w:t>
            </w:r>
          </w:p>
          <w:p w:rsidR="00000000" w:rsidRPr="00EA6E15" w:rsidP="00EA6E15">
            <w:pPr>
              <w:pStyle w:val="ListBullet"/>
            </w:pPr>
            <w:r w:rsidRPr="00EA6E15">
              <w:t>technology skills to:</w:t>
            </w:r>
          </w:p>
          <w:p w:rsidR="00000000" w:rsidRPr="00EA6E15" w:rsidP="00EA6E15">
            <w:pPr>
              <w:pStyle w:val="ListBullet2"/>
            </w:pPr>
            <w:r w:rsidRPr="00EA6E15">
              <w:t>exchange project documentation</w:t>
            </w:r>
          </w:p>
          <w:p w:rsidR="00000000" w:rsidP="00EA6E15">
            <w:pPr>
              <w:pStyle w:val="ListBullet2"/>
              <w:rPr>
                <w:lang w:val="en-NZ"/>
              </w:rPr>
            </w:pPr>
            <w:r w:rsidRPr="00EA6E15">
              <w:t>prepare reports</w:t>
            </w:r>
          </w:p>
        </w:tc>
      </w:tr>
      <w:tr w:rsidTr="00EA6E15">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EA6E15">
            <w:pPr>
              <w:pStyle w:val="BodyText"/>
              <w:rPr>
                <w:lang w:val="en-NZ"/>
              </w:rPr>
            </w:pPr>
          </w:p>
        </w:tc>
      </w:tr>
      <w:tr w:rsidTr="00EA6E15">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EA6E15">
            <w:pPr>
              <w:pStyle w:val="BodyText"/>
              <w:rPr>
                <w:lang w:val="en-NZ"/>
              </w:rPr>
            </w:pPr>
            <w:r w:rsidRPr="00EA6E15">
              <w:rPr>
                <w:rStyle w:val="SpecialBold"/>
              </w:rPr>
              <w:t>Required knowledge</w:t>
            </w:r>
          </w:p>
        </w:tc>
      </w:tr>
      <w:tr w:rsidTr="00EA6E15">
        <w:tblPrEx>
          <w:tblW w:w="0" w:type="auto"/>
          <w:tblLayout w:type="fixed"/>
          <w:tblCellMar>
            <w:left w:w="62" w:type="dxa"/>
            <w:right w:w="62" w:type="dxa"/>
          </w:tblCellMar>
          <w:tblLook w:val="0000"/>
        </w:tblPrEx>
        <w:trPr>
          <w:trHeight w:val="20"/>
        </w:trPr>
        <w:tc>
          <w:tcPr>
            <w:tcW w:w="9179" w:type="dxa"/>
            <w:tcBorders>
              <w:top w:val="nil"/>
              <w:left w:val="nil"/>
              <w:bottom w:val="nil"/>
              <w:right w:val="nil"/>
            </w:tcBorders>
            <w:tcMar>
              <w:top w:w="0" w:type="dxa"/>
              <w:left w:w="62" w:type="dxa"/>
              <w:bottom w:w="0" w:type="dxa"/>
              <w:right w:w="62" w:type="dxa"/>
            </w:tcMar>
          </w:tcPr>
          <w:p w:rsidR="00000000" w:rsidRPr="00EA6E15" w:rsidP="00EA6E15">
            <w:pPr>
              <w:pStyle w:val="ListBullet"/>
            </w:pPr>
            <w:r w:rsidRPr="00EA6E15">
              <w:t>access and use compliance requirements, including but not restricted to:</w:t>
            </w:r>
          </w:p>
          <w:p w:rsidR="00000000" w:rsidRPr="00EA6E15" w:rsidP="00EA6E15">
            <w:pPr>
              <w:pStyle w:val="ListBullet2"/>
            </w:pPr>
            <w:r w:rsidRPr="00EA6E15">
              <w:t>codes</w:t>
            </w:r>
          </w:p>
          <w:p w:rsidR="00000000" w:rsidRPr="00EA6E15" w:rsidP="00EA6E15">
            <w:pPr>
              <w:pStyle w:val="ListBullet2"/>
            </w:pPr>
            <w:r w:rsidRPr="00EA6E15">
              <w:t>guidelines</w:t>
            </w:r>
          </w:p>
          <w:p w:rsidR="00000000" w:rsidRPr="00EA6E15" w:rsidP="00EA6E15">
            <w:pPr>
              <w:pStyle w:val="ListBullet2"/>
            </w:pPr>
            <w:r w:rsidRPr="00EA6E15">
              <w:t>legislation</w:t>
            </w:r>
          </w:p>
          <w:p w:rsidR="00000000" w:rsidRPr="00EA6E15" w:rsidP="00EA6E15">
            <w:pPr>
              <w:pStyle w:val="ListBullet2"/>
            </w:pPr>
            <w:r w:rsidRPr="00EA6E15">
              <w:t>local authority policies</w:t>
            </w:r>
          </w:p>
          <w:p w:rsidR="00000000" w:rsidRPr="00EA6E15" w:rsidP="00EA6E15">
            <w:pPr>
              <w:pStyle w:val="ListBullet2"/>
            </w:pPr>
            <w:r w:rsidRPr="00EA6E15">
              <w:t>protocols</w:t>
            </w:r>
          </w:p>
          <w:p w:rsidR="00000000" w:rsidRPr="00EA6E15" w:rsidP="00EA6E15">
            <w:pPr>
              <w:pStyle w:val="ListBullet2"/>
            </w:pPr>
            <w:r w:rsidRPr="00EA6E15">
              <w:t>regulations</w:t>
            </w:r>
          </w:p>
          <w:p w:rsidR="00000000" w:rsidRPr="00EA6E15" w:rsidP="00EA6E15">
            <w:pPr>
              <w:pStyle w:val="ListBullet2"/>
            </w:pPr>
            <w:r w:rsidRPr="00EA6E15">
              <w:t>standards</w:t>
            </w:r>
          </w:p>
          <w:p w:rsidR="00000000" w:rsidRPr="00EA6E15" w:rsidP="00EA6E15">
            <w:pPr>
              <w:pStyle w:val="ListBullet"/>
            </w:pPr>
            <w:r w:rsidRPr="00EA6E15">
              <w:t>accessibility requirements relating to equipment used by people with disabilities, such as:</w:t>
            </w:r>
          </w:p>
          <w:p w:rsidR="00000000" w:rsidRPr="00EA6E15" w:rsidP="00EA6E15">
            <w:pPr>
              <w:pStyle w:val="ListBullet2"/>
            </w:pPr>
            <w:r w:rsidRPr="00EA6E15">
              <w:t>assistance animals</w:t>
            </w:r>
          </w:p>
          <w:p w:rsidR="00000000" w:rsidRPr="00EA6E15" w:rsidP="00EA6E15">
            <w:pPr>
              <w:pStyle w:val="ListBullet2"/>
            </w:pPr>
            <w:r w:rsidRPr="00EA6E15">
              <w:t>audio frequency induction loops</w:t>
            </w:r>
          </w:p>
          <w:p w:rsidR="00000000" w:rsidRPr="00EA6E15" w:rsidP="00EA6E15">
            <w:pPr>
              <w:pStyle w:val="ListBullet2"/>
            </w:pPr>
            <w:r w:rsidRPr="00EA6E15">
              <w:t>braille and tactile signage</w:t>
            </w:r>
          </w:p>
          <w:p w:rsidR="00000000" w:rsidRPr="00EA6E15" w:rsidP="00EA6E15">
            <w:pPr>
              <w:pStyle w:val="ListBullet2"/>
            </w:pPr>
            <w:r w:rsidRPr="00EA6E15">
              <w:t>long white canes</w:t>
            </w:r>
          </w:p>
          <w:p w:rsidR="00000000" w:rsidRPr="00EA6E15" w:rsidP="00EA6E15">
            <w:pPr>
              <w:pStyle w:val="ListBullet2"/>
            </w:pPr>
            <w:r w:rsidRPr="00EA6E15">
              <w:t>TTY telephones</w:t>
            </w:r>
          </w:p>
          <w:p w:rsidR="00000000" w:rsidRPr="00EA6E15" w:rsidP="00EA6E15">
            <w:pPr>
              <w:pStyle w:val="ListBullet2"/>
            </w:pPr>
            <w:r w:rsidRPr="00EA6E15">
              <w:t>walking frames</w:t>
            </w:r>
          </w:p>
          <w:p w:rsidR="00000000" w:rsidRPr="00EA6E15" w:rsidP="00EA6E15">
            <w:pPr>
              <w:pStyle w:val="ListBullet2"/>
            </w:pPr>
            <w:r w:rsidRPr="00EA6E15">
              <w:t>wheelchairs</w:t>
            </w:r>
          </w:p>
          <w:p w:rsidR="00000000" w:rsidRPr="00EA6E15" w:rsidP="00EA6E15">
            <w:pPr>
              <w:pStyle w:val="ListBullet"/>
            </w:pPr>
            <w:r w:rsidRPr="00EA6E15">
              <w:t>best practices in access and use, including measures that exceed compliance requirements</w:t>
            </w:r>
          </w:p>
          <w:p w:rsidR="00000000" w:rsidRPr="00EA6E15" w:rsidP="00EA6E15">
            <w:pPr>
              <w:pStyle w:val="ListBullet"/>
            </w:pPr>
            <w:r w:rsidRPr="00EA6E15">
              <w:t>building and construction ind</w:t>
            </w:r>
            <w:r w:rsidRPr="00EA6E15">
              <w:t>ustry processes, roles and terminology</w:t>
            </w:r>
          </w:p>
          <w:p w:rsidR="00000000" w:rsidRPr="00EA6E15" w:rsidP="00EA6E15">
            <w:pPr>
              <w:pStyle w:val="ListBullet"/>
            </w:pPr>
            <w:r w:rsidRPr="00EA6E15">
              <w:t>construction and manufacturing design principles and processes, including:</w:t>
            </w:r>
          </w:p>
          <w:p w:rsidR="00000000" w:rsidRPr="00EA6E15" w:rsidP="00EA6E15">
            <w:pPr>
              <w:pStyle w:val="ListBullet2"/>
            </w:pPr>
            <w:r w:rsidRPr="00EA6E15">
              <w:t>access and use principles</w:t>
            </w:r>
          </w:p>
          <w:p w:rsidR="00000000" w:rsidRPr="00EA6E15" w:rsidP="00EA6E15">
            <w:pPr>
              <w:pStyle w:val="ListBullet2"/>
            </w:pPr>
            <w:r w:rsidRPr="00EA6E15">
              <w:t>adaptable design to accommodate changes over lifecycle of project</w:t>
            </w:r>
          </w:p>
          <w:p w:rsidR="00000000" w:rsidRPr="00EA6E15" w:rsidP="00EA6E15">
            <w:pPr>
              <w:pStyle w:val="ListBullet2"/>
            </w:pPr>
            <w:r w:rsidRPr="00EA6E15">
              <w:t>cost-effectiveness</w:t>
            </w:r>
          </w:p>
          <w:p w:rsidR="00000000" w:rsidRPr="00EA6E15" w:rsidP="00EA6E15">
            <w:pPr>
              <w:pStyle w:val="ListBullet2"/>
            </w:pPr>
            <w:r w:rsidRPr="00EA6E15">
              <w:t>sustainability</w:t>
            </w:r>
          </w:p>
          <w:p w:rsidR="00000000" w:rsidRPr="00EA6E15" w:rsidP="00EA6E15">
            <w:pPr>
              <w:pStyle w:val="ListBullet"/>
            </w:pPr>
            <w:r w:rsidRPr="00EA6E15">
              <w:t>gaps and trends</w:t>
            </w:r>
            <w:r w:rsidRPr="00EA6E15">
              <w:t xml:space="preserve"> in, interrelation of, and conflict between compliance requirements</w:t>
            </w:r>
          </w:p>
          <w:p w:rsidR="00000000" w:rsidRPr="00EA6E15" w:rsidP="00EA6E15">
            <w:pPr>
              <w:pStyle w:val="ListBullet"/>
            </w:pPr>
            <w:r w:rsidRPr="00EA6E15">
              <w:t>policy development, legislative and regulatory frameworks relating to access to and use of the built environment and infrastructure</w:t>
            </w:r>
          </w:p>
          <w:p w:rsidR="00000000" w:rsidRPr="00EA6E15" w:rsidP="00EA6E15">
            <w:pPr>
              <w:pStyle w:val="ListBullet"/>
            </w:pPr>
            <w:r w:rsidRPr="00EA6E15">
              <w:t>principles of access to and use of the built environment</w:t>
            </w:r>
            <w:r w:rsidRPr="00EA6E15">
              <w:t xml:space="preserve"> and infrastructure, including:</w:t>
            </w:r>
          </w:p>
          <w:p w:rsidR="00000000" w:rsidRPr="00EA6E15" w:rsidP="00EA6E15">
            <w:pPr>
              <w:pStyle w:val="ListBullet2"/>
            </w:pPr>
            <w:r w:rsidRPr="00EA6E15">
              <w:t>adaptable design</w:t>
            </w:r>
          </w:p>
          <w:p w:rsidR="00000000" w:rsidRPr="00EA6E15" w:rsidP="00EA6E15">
            <w:pPr>
              <w:pStyle w:val="ListBullet2"/>
            </w:pPr>
            <w:r w:rsidRPr="00EA6E15">
              <w:t>best practice solutions to access and use requirements</w:t>
            </w:r>
          </w:p>
          <w:p w:rsidR="00000000" w:rsidRPr="00EA6E15" w:rsidP="00EA6E15">
            <w:pPr>
              <w:pStyle w:val="ListBullet"/>
            </w:pPr>
            <w:r w:rsidRPr="00EA6E15">
              <w:t>principles of ergonomics and human geometry</w:t>
            </w:r>
          </w:p>
          <w:p w:rsidR="00000000" w:rsidRPr="00EA6E15" w:rsidP="00EA6E15">
            <w:pPr>
              <w:pStyle w:val="ListBullet"/>
            </w:pPr>
            <w:r w:rsidRPr="00EA6E15">
              <w:t>types of di</w:t>
            </w:r>
            <w:r w:rsidRPr="00EA6E15">
              <w:t>sabilities and combinations of disabilities and related range of functional limitations, including:</w:t>
            </w:r>
          </w:p>
          <w:p w:rsidR="00000000" w:rsidRPr="00EA6E15" w:rsidP="00EA6E15">
            <w:pPr>
              <w:pStyle w:val="ListBullet2"/>
            </w:pPr>
            <w:r w:rsidRPr="00EA6E15">
              <w:t>auditory</w:t>
            </w:r>
          </w:p>
          <w:p w:rsidR="00000000" w:rsidRPr="00EA6E15" w:rsidP="00EA6E15">
            <w:pPr>
              <w:pStyle w:val="ListBullet2"/>
            </w:pPr>
            <w:r w:rsidRPr="00EA6E15">
              <w:t>cognitive</w:t>
            </w:r>
          </w:p>
          <w:p w:rsidR="00000000" w:rsidRPr="00EA6E15" w:rsidP="00EA6E15">
            <w:pPr>
              <w:pStyle w:val="ListBullet2"/>
            </w:pPr>
            <w:r w:rsidRPr="00EA6E15">
              <w:t>mobility</w:t>
            </w:r>
          </w:p>
          <w:p w:rsidR="00000000" w:rsidRPr="00EA6E15" w:rsidP="00EA6E15">
            <w:pPr>
              <w:pStyle w:val="ListBullet2"/>
            </w:pPr>
            <w:r w:rsidRPr="00EA6E15">
              <w:t>muscle wasting and weakness</w:t>
            </w:r>
          </w:p>
          <w:p w:rsidR="00000000" w:rsidRPr="00EA6E15" w:rsidP="00EA6E15">
            <w:pPr>
              <w:pStyle w:val="ListBullet2"/>
            </w:pPr>
            <w:r w:rsidRPr="00EA6E15">
              <w:t>psychiatric</w:t>
            </w:r>
          </w:p>
          <w:p w:rsidR="00000000" w:rsidRPr="00EA6E15" w:rsidP="00EA6E15">
            <w:pPr>
              <w:pStyle w:val="ListBullet2"/>
            </w:pPr>
            <w:r w:rsidRPr="00EA6E15">
              <w:t>vision</w:t>
            </w:r>
          </w:p>
          <w:p w:rsidR="00000000" w:rsidRPr="00EA6E15" w:rsidP="00EA6E15">
            <w:pPr>
              <w:pStyle w:val="ListBullet"/>
            </w:pPr>
            <w:r w:rsidRPr="00EA6E15">
              <w:t>scope of functions of the human body, including:</w:t>
            </w:r>
          </w:p>
          <w:p w:rsidR="00000000" w:rsidRPr="00EA6E15" w:rsidP="00EA6E15">
            <w:pPr>
              <w:pStyle w:val="ListBullet2"/>
            </w:pPr>
            <w:r w:rsidRPr="00EA6E15">
              <w:t>auditory and visual processing</w:t>
            </w:r>
          </w:p>
          <w:p w:rsidR="00000000" w:rsidRPr="00EA6E15" w:rsidP="00EA6E15">
            <w:pPr>
              <w:pStyle w:val="ListBullet2"/>
            </w:pPr>
            <w:r w:rsidRPr="00EA6E15">
              <w:t>cognitive functions</w:t>
            </w:r>
          </w:p>
          <w:p w:rsidR="00000000" w:rsidRPr="00EA6E15" w:rsidP="00EA6E15">
            <w:pPr>
              <w:pStyle w:val="ListBullet2"/>
            </w:pPr>
            <w:r w:rsidRPr="00EA6E15">
              <w:t>mobility</w:t>
            </w:r>
          </w:p>
          <w:p w:rsidR="00000000" w:rsidRPr="00EA6E15" w:rsidP="00EA6E15">
            <w:pPr>
              <w:pStyle w:val="ListBullet2"/>
            </w:pPr>
            <w:r w:rsidRPr="00EA6E15">
              <w:t>psychiatric conditions</w:t>
            </w:r>
          </w:p>
        </w:tc>
      </w:tr>
    </w:tbl>
    <w:p w:rsidR="00A56F7A" w:rsidP="00EA6E15">
      <w:pPr>
        <w:pStyle w:val="BodyText"/>
      </w:pPr>
    </w:p>
    <w:p w:rsidR="00A56F7A" w:rsidP="00EA6E15">
      <w:pPr>
        <w:pStyle w:val="BodyText"/>
      </w:pPr>
    </w:p>
    <w:p w:rsidR="00000000" w:rsidRPr="00EA6E15" w:rsidP="00EA6E15">
      <w:pPr>
        <w:pStyle w:val="Heading1"/>
      </w:pPr>
      <w:bookmarkStart w:id="10" w:name="O_453194"/>
      <w:bookmarkEnd w:id="10"/>
      <w:r w:rsidRPr="00EA6E15">
        <w:t>Evidence Guide</w:t>
      </w:r>
    </w:p>
    <w:tbl>
      <w:tblPr>
        <w:tblW w:w="0" w:type="auto"/>
        <w:tblLayout w:type="fixed"/>
        <w:tblCellMar>
          <w:left w:w="62" w:type="dxa"/>
          <w:right w:w="62" w:type="dxa"/>
        </w:tblCellMar>
        <w:tblLook w:val="0000"/>
      </w:tblPr>
      <w:tblGrid>
        <w:gridCol w:w="2425"/>
        <w:gridCol w:w="6754"/>
      </w:tblGrid>
      <w:tr w:rsidTr="00EA6E15">
        <w:tblPrEx>
          <w:tblW w:w="0" w:type="auto"/>
          <w:tblLayout w:type="fixed"/>
          <w:tblCellMar>
            <w:left w:w="62" w:type="dxa"/>
            <w:right w:w="62" w:type="dxa"/>
          </w:tblCellMar>
          <w:tblLook w:val="0000"/>
        </w:tblPrEx>
        <w:tc>
          <w:tcPr>
            <w:tcW w:w="9179"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EA6E15">
            <w:pPr>
              <w:pStyle w:val="BodyText"/>
              <w:rPr>
                <w:lang w:val="en-NZ"/>
              </w:rPr>
            </w:pPr>
            <w:r w:rsidRPr="00EA6E15">
              <w:t xml:space="preserve">The evidence guide provides advice on assessment and must be read in conjunction with the performance criteria, required skills and knowledge, </w:t>
            </w:r>
            <w:r w:rsidRPr="00EA6E15">
              <w:t>range statement and the Assessment Guidelines for the Training Package.</w:t>
            </w:r>
          </w:p>
        </w:tc>
      </w:tr>
      <w:tr w:rsidTr="00EA6E15">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6E15">
            <w:pPr>
              <w:pStyle w:val="BodyText"/>
              <w:rPr>
                <w:lang w:val="en-NZ"/>
              </w:rPr>
            </w:pPr>
            <w:r w:rsidRPr="00EA6E15">
              <w:rPr>
                <w:rStyle w:val="SpecialBold"/>
              </w:rPr>
              <w:t>Critical aspects for assessment and evidence required to demonstrate competency in this unit</w:t>
            </w:r>
          </w:p>
        </w:tc>
        <w:tc>
          <w:tcPr>
            <w:tcW w:w="67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6E15" w:rsidP="00EA6E15">
            <w:pPr>
              <w:pStyle w:val="BodyText"/>
            </w:pPr>
            <w:r w:rsidRPr="00EA6E15">
              <w:t>A person who demonstrates competency in this unit must be able to provide evidence of the</w:t>
            </w:r>
            <w:r w:rsidRPr="00EA6E15">
              <w:t xml:space="preserve"> required skills and knowledge specified in this unit.</w:t>
            </w:r>
          </w:p>
          <w:p w:rsidR="00000000" w:rsidRPr="00EA6E15" w:rsidP="00EA6E15">
            <w:pPr>
              <w:pStyle w:val="BodyText"/>
            </w:pPr>
            <w:r w:rsidRPr="00EA6E15">
              <w:t>In particular, the person should demonstrate the ability to:</w:t>
            </w:r>
          </w:p>
          <w:p w:rsidR="00000000" w:rsidRPr="00EA6E15" w:rsidP="00EA6E15">
            <w:pPr>
              <w:pStyle w:val="ListBullet"/>
            </w:pPr>
            <w:r w:rsidRPr="00EA6E15">
              <w:t>scope and plan consultancy service levels for contributing to the design of two different development projects:</w:t>
            </w:r>
          </w:p>
          <w:p w:rsidR="00000000" w:rsidRPr="00EA6E15" w:rsidP="00EA6E15">
            <w:pPr>
              <w:pStyle w:val="ListBullet2"/>
            </w:pPr>
            <w:r w:rsidRPr="00EA6E15">
              <w:t>one premises construction</w:t>
            </w:r>
          </w:p>
          <w:p w:rsidR="00000000" w:rsidRPr="00EA6E15" w:rsidP="00EA6E15">
            <w:pPr>
              <w:pStyle w:val="ListBullet2"/>
            </w:pPr>
            <w:r w:rsidRPr="00EA6E15">
              <w:t>one transport infrastructure, conveyances, facilities and systems</w:t>
            </w:r>
          </w:p>
          <w:p w:rsidR="00000000" w:rsidRPr="00EA6E15" w:rsidP="00EA6E15">
            <w:pPr>
              <w:pStyle w:val="ListBullet"/>
            </w:pPr>
            <w:r w:rsidRPr="00EA6E15">
              <w:t>exchange and store design documentation following agreed protocols</w:t>
            </w:r>
          </w:p>
          <w:p w:rsidR="00000000" w:rsidRPr="00EA6E15" w:rsidP="00EA6E15">
            <w:pPr>
              <w:pStyle w:val="ListBullet"/>
            </w:pPr>
            <w:r w:rsidRPr="00EA6E15">
              <w:t>review design documentation at agreed stages of each project and report on access design issues</w:t>
            </w:r>
          </w:p>
          <w:p w:rsidR="00000000" w:rsidP="00EA6E15">
            <w:pPr>
              <w:pStyle w:val="ListBullet"/>
              <w:rPr>
                <w:lang w:val="en-NZ"/>
              </w:rPr>
            </w:pPr>
            <w:r w:rsidRPr="00EA6E15">
              <w:t>propose practical and effec</w:t>
            </w:r>
            <w:r w:rsidRPr="00EA6E15">
              <w:t>tive solutions to access issues and develop specifications for selected solutions.</w:t>
            </w:r>
          </w:p>
        </w:tc>
      </w:tr>
      <w:tr w:rsidTr="00EA6E15">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6E15">
            <w:pPr>
              <w:pStyle w:val="BodyText"/>
              <w:rPr>
                <w:lang w:val="en-NZ"/>
              </w:rPr>
            </w:pPr>
            <w:r w:rsidRPr="00EA6E15">
              <w:rPr>
                <w:rStyle w:val="SpecialBold"/>
              </w:rPr>
              <w:t>Context of and specific resources for assessment</w:t>
            </w:r>
          </w:p>
        </w:tc>
        <w:tc>
          <w:tcPr>
            <w:tcW w:w="67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6E15" w:rsidP="00EA6E15">
            <w:pPr>
              <w:pStyle w:val="BodyText"/>
            </w:pPr>
            <w:r w:rsidRPr="00EA6E15">
              <w:t>Assessment of essential underpinning knowledge may be conducted in an off-site context and is to comply with regulatory and</w:t>
            </w:r>
            <w:r w:rsidRPr="00EA6E15">
              <w:t xml:space="preserve"> Australian standards’ requirements.</w:t>
            </w:r>
          </w:p>
          <w:p w:rsidR="00000000" w:rsidRPr="00EA6E15" w:rsidP="00EA6E15">
            <w:pPr>
              <w:pStyle w:val="BodyText"/>
            </w:pPr>
            <w:r w:rsidRPr="00EA6E15">
              <w:t>Resource implications for assessment include access to:</w:t>
            </w:r>
          </w:p>
          <w:p w:rsidR="00000000" w:rsidRPr="00EA6E15" w:rsidP="00EA6E15">
            <w:pPr>
              <w:pStyle w:val="ListBullet"/>
            </w:pPr>
            <w:r w:rsidRPr="00EA6E15">
              <w:t>design briefs, policies, drawings and other relevant documentation for two projects:</w:t>
            </w:r>
          </w:p>
          <w:p w:rsidR="00000000" w:rsidRPr="00EA6E15" w:rsidP="00EA6E15">
            <w:pPr>
              <w:pStyle w:val="ListBullet2"/>
            </w:pPr>
            <w:r w:rsidRPr="00EA6E15">
              <w:t>one premises construction development project</w:t>
            </w:r>
          </w:p>
          <w:p w:rsidR="00000000" w:rsidRPr="00EA6E15" w:rsidP="00EA6E15">
            <w:pPr>
              <w:pStyle w:val="ListBullet2"/>
            </w:pPr>
            <w:r w:rsidRPr="00EA6E15">
              <w:t>one transport infrastructure, conveyances, facilities and systems development project</w:t>
            </w:r>
          </w:p>
          <w:p w:rsidR="00000000" w:rsidRPr="00EA6E15" w:rsidP="00EA6E15">
            <w:pPr>
              <w:pStyle w:val="ListBullet"/>
            </w:pPr>
            <w:r w:rsidRPr="00EA6E15">
              <w:t>relevant legislation, codes, standards and guidelines</w:t>
            </w:r>
          </w:p>
          <w:p w:rsidR="00000000" w:rsidRPr="00EA6E15" w:rsidP="00EA6E15">
            <w:pPr>
              <w:pStyle w:val="ListBullet"/>
            </w:pPr>
            <w:r w:rsidRPr="00EA6E15">
              <w:t>relevant design and construction specialists</w:t>
            </w:r>
          </w:p>
          <w:p w:rsidR="00000000" w:rsidP="00EA6E15">
            <w:pPr>
              <w:pStyle w:val="ListBullet"/>
              <w:rPr>
                <w:lang w:val="en-NZ"/>
              </w:rPr>
            </w:pPr>
            <w:r w:rsidRPr="00EA6E15">
              <w:t>relevant premises, transport infrastructure, conveyances, facilities an</w:t>
            </w:r>
            <w:r w:rsidRPr="00EA6E15">
              <w:t>d systems development projects and work sites.</w:t>
            </w:r>
          </w:p>
        </w:tc>
      </w:tr>
      <w:tr w:rsidTr="00EA6E15">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6E15">
            <w:pPr>
              <w:pStyle w:val="BodyText"/>
              <w:rPr>
                <w:lang w:val="en-NZ"/>
              </w:rPr>
            </w:pPr>
            <w:r w:rsidRPr="00EA6E15">
              <w:rPr>
                <w:rStyle w:val="SpecialBold"/>
              </w:rPr>
              <w:t>Method of assessment</w:t>
            </w:r>
          </w:p>
        </w:tc>
        <w:tc>
          <w:tcPr>
            <w:tcW w:w="67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6E15" w:rsidP="00EA6E15">
            <w:pPr>
              <w:pStyle w:val="BodyText"/>
            </w:pPr>
            <w:r w:rsidRPr="00EA6E15">
              <w:t>Assessment methods must:</w:t>
            </w:r>
          </w:p>
          <w:p w:rsidR="00000000" w:rsidRPr="00EA6E15" w:rsidP="00EA6E15">
            <w:pPr>
              <w:pStyle w:val="ListBullet"/>
            </w:pPr>
            <w:r w:rsidRPr="00EA6E15">
              <w:t>satisfy the endorsed Assessment Guidelines of the CPP07 Property Services Training Package</w:t>
            </w:r>
          </w:p>
          <w:p w:rsidR="00000000" w:rsidRPr="00EA6E15" w:rsidP="00EA6E15">
            <w:pPr>
              <w:pStyle w:val="ListBullet"/>
            </w:pPr>
            <w:r w:rsidRPr="00EA6E15">
              <w:t>include direct observation of tasks in real or simulated work condition</w:t>
            </w:r>
            <w:r w:rsidRPr="00EA6E15">
              <w:t>s, with questioning to confirm the ability to consistently identify and correctly interpret the essential underpinning knowledge required for practical application</w:t>
            </w:r>
          </w:p>
          <w:p w:rsidR="00000000" w:rsidRPr="00EA6E15" w:rsidP="00EA6E15">
            <w:pPr>
              <w:pStyle w:val="ListBullet"/>
            </w:pPr>
            <w:r w:rsidRPr="00EA6E15">
              <w:t xml:space="preserve">reinforce the integration of employability skills with workplace </w:t>
            </w:r>
            <w:r w:rsidRPr="00EA6E15">
              <w:t>tasks and job roles</w:t>
            </w:r>
          </w:p>
          <w:p w:rsidR="00000000" w:rsidP="00EA6E15">
            <w:pPr>
              <w:pStyle w:val="ListBullet"/>
              <w:rPr>
                <w:lang w:val="en-NZ"/>
              </w:rPr>
            </w:pPr>
            <w:r w:rsidRPr="00EA6E15">
              <w:t>confirm</w:t>
            </w:r>
            <w:r w:rsidRPr="00EA6E15">
              <w:t xml:space="preserve"> that competency is verified and able to be transferred to other circumstances and environments.</w:t>
            </w:r>
          </w:p>
        </w:tc>
      </w:tr>
      <w:tr w:rsidTr="00EA6E15">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6E15">
            <w:pPr>
              <w:pStyle w:val="BodyText"/>
              <w:rPr>
                <w:lang w:val="en-NZ"/>
              </w:rPr>
            </w:pPr>
            <w:r w:rsidRPr="00EA6E15">
              <w:rPr>
                <w:rStyle w:val="SpecialBold"/>
              </w:rPr>
              <w:t>Guidance information for assessment</w:t>
            </w:r>
          </w:p>
        </w:tc>
        <w:tc>
          <w:tcPr>
            <w:tcW w:w="67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6E15" w:rsidP="00EA6E15">
            <w:pPr>
              <w:pStyle w:val="BodyText"/>
            </w:pPr>
            <w:r w:rsidRPr="00EA6E15">
              <w:t>This unit could be assessed on its own or in combination with other units relevant to the job function.</w:t>
            </w:r>
          </w:p>
          <w:p w:rsidR="00000000" w:rsidRPr="00EA6E15" w:rsidP="00EA6E15">
            <w:pPr>
              <w:pStyle w:val="BodyText"/>
            </w:pPr>
            <w:r w:rsidRPr="00EA6E15">
              <w:t>Reasonable adjustments for people with disabilities must be made to assessment processes where required. This could include access to modified equipment and other physical resources, and the provision of appropriate assessment support.</w:t>
            </w:r>
          </w:p>
          <w:p w:rsidR="00000000" w:rsidRPr="00EA6E15" w:rsidP="00EA6E15">
            <w:pPr>
              <w:pStyle w:val="BodyText"/>
            </w:pPr>
            <w:r w:rsidRPr="00EA6E15">
              <w:t>Assessment processes</w:t>
            </w:r>
            <w:r w:rsidRPr="00EA6E15">
              <w:t xml:space="preserve"> and techniques should, as far as is practical, take into account the language, literacy and numeracy capacity of the candidate in relation to the competency being assessed.</w:t>
            </w:r>
          </w:p>
        </w:tc>
      </w:tr>
    </w:tbl>
    <w:p w:rsidR="00A56F7A" w:rsidP="00EA6E15">
      <w:pPr>
        <w:pStyle w:val="BodyText"/>
      </w:pPr>
    </w:p>
    <w:p w:rsidR="00A56F7A" w:rsidP="00EA6E15">
      <w:pPr>
        <w:pStyle w:val="BodyText"/>
      </w:pPr>
    </w:p>
    <w:p w:rsidR="00000000" w:rsidRPr="00EA6E15" w:rsidP="00EA6E15">
      <w:pPr>
        <w:pStyle w:val="Heading1"/>
      </w:pPr>
      <w:bookmarkStart w:id="11" w:name="O_453195"/>
      <w:bookmarkEnd w:id="11"/>
      <w:r w:rsidRPr="00EA6E15">
        <w:t>Range Statement</w:t>
      </w:r>
    </w:p>
    <w:tbl>
      <w:tblPr>
        <w:tblW w:w="0" w:type="auto"/>
        <w:tblLayout w:type="fixed"/>
        <w:tblCellMar>
          <w:left w:w="62" w:type="dxa"/>
          <w:right w:w="62" w:type="dxa"/>
        </w:tblCellMar>
        <w:tblLook w:val="0000"/>
      </w:tblPr>
      <w:tblGrid>
        <w:gridCol w:w="2704"/>
        <w:gridCol w:w="6475"/>
      </w:tblGrid>
      <w:tr w:rsidTr="00EA6E15">
        <w:tblPrEx>
          <w:tblW w:w="0" w:type="auto"/>
          <w:tblLayout w:type="fixed"/>
          <w:tblCellMar>
            <w:left w:w="62" w:type="dxa"/>
            <w:right w:w="62" w:type="dxa"/>
          </w:tblCellMar>
          <w:tblLook w:val="0000"/>
        </w:tblPrEx>
        <w:tc>
          <w:tcPr>
            <w:tcW w:w="9179"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EA6E15">
            <w:pPr>
              <w:pStyle w:val="BodyText"/>
              <w:rPr>
                <w:lang w:val="en-NZ"/>
              </w:rPr>
            </w:pPr>
            <w:r w:rsidRPr="00EA6E15">
              <w:t>The range statement relates to the unit of com</w:t>
            </w:r>
            <w:r w:rsidRPr="00EA6E15">
              <w:t xml:space="preserve">petency as a whole. It allows for different work environments and situations that may affect performance. Bold italicised wording, if used in the performance criteria, is detailed below. Essential operating conditions that may be present with training and </w:t>
            </w:r>
            <w:r w:rsidRPr="00EA6E15">
              <w:t>assessment (depending on the work situation, needs of the candidate, accessibility of the item, and local industry and regional contexts) may also be included.</w:t>
            </w:r>
          </w:p>
        </w:tc>
      </w:tr>
      <w:tr w:rsidTr="00EA6E15">
        <w:tblPrEx>
          <w:tblW w:w="0" w:type="auto"/>
          <w:tblLayout w:type="fixed"/>
          <w:tblCellMar>
            <w:left w:w="62" w:type="dxa"/>
            <w:right w:w="62" w:type="dxa"/>
          </w:tblCellMar>
          <w:tblLook w:val="0000"/>
        </w:tblPrEx>
        <w:tc>
          <w:tcPr>
            <w:tcW w:w="2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6E15">
            <w:pPr>
              <w:pStyle w:val="BodyText"/>
              <w:rPr>
                <w:lang w:val="en-NZ"/>
              </w:rPr>
            </w:pPr>
            <w:r w:rsidRPr="00EA6E15">
              <w:rPr>
                <w:rStyle w:val="BoldandItalics"/>
              </w:rPr>
              <w:t xml:space="preserve">Nature of project </w:t>
            </w:r>
            <w:r w:rsidRPr="00EA6E15">
              <w:t>may include:</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6E15" w:rsidP="00EA6E15">
            <w:pPr>
              <w:pStyle w:val="ListBullet"/>
            </w:pPr>
            <w:r w:rsidRPr="00EA6E15">
              <w:t>client, such as:</w:t>
            </w:r>
          </w:p>
          <w:p w:rsidR="00000000" w:rsidRPr="00EA6E15" w:rsidP="00EA6E15">
            <w:pPr>
              <w:pStyle w:val="ListBullet2"/>
            </w:pPr>
            <w:r w:rsidRPr="00EA6E15">
              <w:t>community-based organisation</w:t>
            </w:r>
          </w:p>
          <w:p w:rsidR="00000000" w:rsidRPr="00EA6E15" w:rsidP="00EA6E15">
            <w:pPr>
              <w:pStyle w:val="ListBullet2"/>
            </w:pPr>
            <w:r w:rsidRPr="00EA6E15">
              <w:t>government department</w:t>
            </w:r>
          </w:p>
          <w:p w:rsidR="00000000" w:rsidRPr="00EA6E15" w:rsidP="00EA6E15">
            <w:pPr>
              <w:pStyle w:val="ListBullet2"/>
            </w:pPr>
            <w:r w:rsidRPr="00EA6E15">
              <w:t>individual</w:t>
            </w:r>
          </w:p>
          <w:p w:rsidR="00000000" w:rsidRPr="00EA6E15" w:rsidP="00EA6E15">
            <w:pPr>
              <w:pStyle w:val="ListBullet2"/>
            </w:pPr>
            <w:r w:rsidRPr="00EA6E15">
              <w:t>private company</w:t>
            </w:r>
          </w:p>
          <w:p w:rsidR="00000000" w:rsidRPr="00EA6E15" w:rsidP="00EA6E15">
            <w:pPr>
              <w:pStyle w:val="ListBullet"/>
            </w:pPr>
            <w:r w:rsidRPr="00EA6E15">
              <w:t>extent and type of stakeholder involvement</w:t>
            </w:r>
          </w:p>
          <w:p w:rsidR="00000000" w:rsidRPr="00EA6E15" w:rsidP="00EA6E15">
            <w:pPr>
              <w:pStyle w:val="ListBullet"/>
            </w:pPr>
            <w:r w:rsidRPr="00EA6E15">
              <w:t>location</w:t>
            </w:r>
          </w:p>
          <w:p w:rsidR="00000000" w:rsidRPr="00EA6E15" w:rsidP="00EA6E15">
            <w:pPr>
              <w:pStyle w:val="ListBullet"/>
            </w:pPr>
            <w:r w:rsidRPr="00EA6E15">
              <w:t>timeframe</w:t>
            </w:r>
          </w:p>
          <w:p w:rsidR="00000000" w:rsidP="00EA6E15">
            <w:pPr>
              <w:pStyle w:val="ListBullet"/>
              <w:rPr>
                <w:lang w:val="en-NZ"/>
              </w:rPr>
            </w:pPr>
            <w:r w:rsidRPr="00EA6E15">
              <w:t>type and purpose of transport infrastructure and facilities or urban space development project.</w:t>
            </w:r>
          </w:p>
        </w:tc>
      </w:tr>
      <w:tr w:rsidTr="00EA6E15">
        <w:tblPrEx>
          <w:tblW w:w="0" w:type="auto"/>
          <w:tblLayout w:type="fixed"/>
          <w:tblCellMar>
            <w:left w:w="62" w:type="dxa"/>
            <w:right w:w="62" w:type="dxa"/>
          </w:tblCellMar>
          <w:tblLook w:val="0000"/>
        </w:tblPrEx>
        <w:tc>
          <w:tcPr>
            <w:tcW w:w="2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6E15">
            <w:pPr>
              <w:pStyle w:val="BodyText"/>
              <w:rPr>
                <w:lang w:val="en-NZ"/>
              </w:rPr>
            </w:pPr>
            <w:r w:rsidRPr="00EA6E15">
              <w:rPr>
                <w:rStyle w:val="BoldandItalics"/>
              </w:rPr>
              <w:t xml:space="preserve">Design documentation </w:t>
            </w:r>
            <w:r w:rsidRPr="00EA6E15">
              <w:t>may include:</w:t>
            </w:r>
            <w:r w:rsidRPr="00EA6E15">
              <w:rPr>
                <w:rStyle w:val="BoldandItalics"/>
              </w:rPr>
              <w:t xml:space="preserve"> </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6E15" w:rsidP="00EA6E15">
            <w:pPr>
              <w:pStyle w:val="ListBullet"/>
            </w:pPr>
            <w:r w:rsidRPr="00EA6E15">
              <w:t>access and use policy and brief</w:t>
            </w:r>
          </w:p>
          <w:p w:rsidR="00000000" w:rsidRPr="00EA6E15" w:rsidP="00EA6E15">
            <w:pPr>
              <w:pStyle w:val="ListBullet"/>
            </w:pPr>
            <w:r w:rsidRPr="00EA6E15">
              <w:t>concept design or schematic</w:t>
            </w:r>
          </w:p>
          <w:p w:rsidR="00000000" w:rsidRPr="00EA6E15" w:rsidP="00EA6E15">
            <w:pPr>
              <w:pStyle w:val="ListBullet"/>
            </w:pPr>
            <w:r w:rsidRPr="00EA6E15">
              <w:t>design brief</w:t>
            </w:r>
          </w:p>
          <w:p w:rsidR="00000000" w:rsidRPr="00EA6E15" w:rsidP="00EA6E15">
            <w:pPr>
              <w:pStyle w:val="ListBullet"/>
            </w:pPr>
            <w:r w:rsidRPr="00EA6E15">
              <w:t>design drawings and specifications</w:t>
            </w:r>
          </w:p>
          <w:p w:rsidR="00000000" w:rsidP="00EA6E15">
            <w:pPr>
              <w:pStyle w:val="ListBullet"/>
              <w:rPr>
                <w:lang w:val="en-NZ"/>
              </w:rPr>
            </w:pPr>
            <w:r w:rsidRPr="00EA6E15">
              <w:t>master plan.</w:t>
            </w:r>
          </w:p>
        </w:tc>
      </w:tr>
      <w:tr w:rsidTr="00EA6E15">
        <w:tblPrEx>
          <w:tblW w:w="0" w:type="auto"/>
          <w:tblLayout w:type="fixed"/>
          <w:tblCellMar>
            <w:left w:w="62" w:type="dxa"/>
            <w:right w:w="62" w:type="dxa"/>
          </w:tblCellMar>
          <w:tblLook w:val="0000"/>
        </w:tblPrEx>
        <w:tc>
          <w:tcPr>
            <w:tcW w:w="2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6E15">
            <w:pPr>
              <w:pStyle w:val="BodyText"/>
              <w:rPr>
                <w:lang w:val="en-NZ"/>
              </w:rPr>
            </w:pPr>
            <w:r w:rsidRPr="00EA6E15">
              <w:rPr>
                <w:rStyle w:val="BoldandItalics"/>
              </w:rPr>
              <w:t>Development projects</w:t>
            </w:r>
            <w:r w:rsidRPr="00EA6E15">
              <w:t xml:space="preserve"> may include:</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6E15" w:rsidP="00EA6E15">
            <w:pPr>
              <w:pStyle w:val="ListBullet"/>
            </w:pPr>
            <w:r w:rsidRPr="00EA6E15">
              <w:t>urban space and transport infrastructure and facilities, including:</w:t>
            </w:r>
          </w:p>
          <w:p w:rsidR="00000000" w:rsidRPr="00EA6E15" w:rsidP="00EA6E15">
            <w:pPr>
              <w:pStyle w:val="ListBullet2"/>
            </w:pPr>
            <w:r w:rsidRPr="00EA6E15">
              <w:t>communication systems</w:t>
            </w:r>
          </w:p>
          <w:p w:rsidR="00000000" w:rsidRPr="00EA6E15" w:rsidP="00EA6E15">
            <w:pPr>
              <w:pStyle w:val="ListBullet2"/>
            </w:pPr>
            <w:r w:rsidRPr="00EA6E15">
              <w:t>parks, gardens and open spaces</w:t>
            </w:r>
          </w:p>
          <w:p w:rsidR="00000000" w:rsidRPr="00EA6E15" w:rsidP="00EA6E15">
            <w:pPr>
              <w:pStyle w:val="ListBullet2"/>
            </w:pPr>
            <w:r w:rsidRPr="00EA6E15">
              <w:t>public streetscapes</w:t>
            </w:r>
          </w:p>
          <w:p w:rsidR="00000000" w:rsidRPr="00EA6E15" w:rsidP="00EA6E15">
            <w:pPr>
              <w:pStyle w:val="ListBullet2"/>
            </w:pPr>
            <w:r w:rsidRPr="00EA6E15">
              <w:t>public transport stops, stations and vehicles</w:t>
            </w:r>
          </w:p>
          <w:p w:rsidR="00000000" w:rsidRPr="00EA6E15" w:rsidP="00EA6E15">
            <w:pPr>
              <w:pStyle w:val="ListBullet2"/>
            </w:pPr>
            <w:r w:rsidRPr="00EA6E15">
              <w:t>signage</w:t>
            </w:r>
          </w:p>
          <w:p w:rsidR="00000000" w:rsidRPr="00EA6E15" w:rsidP="00EA6E15">
            <w:pPr>
              <w:pStyle w:val="ListBullet2"/>
            </w:pPr>
            <w:r w:rsidRPr="00EA6E15">
              <w:t>tunnels</w:t>
            </w:r>
          </w:p>
          <w:p w:rsidR="00000000" w:rsidRPr="00EA6E15" w:rsidP="00EA6E15">
            <w:pPr>
              <w:pStyle w:val="ListBullet2"/>
            </w:pPr>
            <w:r w:rsidRPr="00EA6E15">
              <w:t>wayfinding</w:t>
            </w:r>
          </w:p>
          <w:p w:rsidR="00000000" w:rsidRPr="00EA6E15" w:rsidP="00EA6E15">
            <w:pPr>
              <w:pStyle w:val="ListBullet"/>
            </w:pPr>
            <w:r w:rsidRPr="00EA6E15">
              <w:t>building and construction of premises, including:</w:t>
            </w:r>
          </w:p>
          <w:p w:rsidR="00000000" w:rsidRPr="00EA6E15" w:rsidP="00EA6E15">
            <w:pPr>
              <w:pStyle w:val="ListBullet2"/>
            </w:pPr>
            <w:r w:rsidRPr="00EA6E15">
              <w:t>aged care facilities</w:t>
            </w:r>
          </w:p>
          <w:p w:rsidR="00000000" w:rsidRPr="00EA6E15" w:rsidP="00EA6E15">
            <w:pPr>
              <w:pStyle w:val="ListBullet2"/>
            </w:pPr>
            <w:r w:rsidRPr="00EA6E15">
              <w:t>art galleries</w:t>
            </w:r>
          </w:p>
          <w:p w:rsidR="00000000" w:rsidRPr="00EA6E15" w:rsidP="00EA6E15">
            <w:pPr>
              <w:pStyle w:val="ListBullet2"/>
            </w:pPr>
            <w:r w:rsidRPr="00EA6E15">
              <w:t>car parks</w:t>
            </w:r>
          </w:p>
          <w:p w:rsidR="00000000" w:rsidRPr="00EA6E15" w:rsidP="00EA6E15">
            <w:pPr>
              <w:pStyle w:val="ListBullet2"/>
            </w:pPr>
            <w:r w:rsidRPr="00EA6E15">
              <w:t>cinemas</w:t>
            </w:r>
          </w:p>
          <w:p w:rsidR="00000000" w:rsidRPr="00EA6E15" w:rsidP="00EA6E15">
            <w:pPr>
              <w:pStyle w:val="ListBullet2"/>
            </w:pPr>
            <w:r w:rsidRPr="00EA6E15">
              <w:t>conference and function spac</w:t>
            </w:r>
            <w:r w:rsidRPr="00EA6E15">
              <w:t>es</w:t>
            </w:r>
          </w:p>
          <w:p w:rsidR="00000000" w:rsidRPr="00EA6E15" w:rsidP="00EA6E15">
            <w:pPr>
              <w:pStyle w:val="ListBullet2"/>
            </w:pPr>
            <w:r w:rsidRPr="00EA6E15">
              <w:t>factories</w:t>
            </w:r>
          </w:p>
          <w:p w:rsidR="00000000" w:rsidRPr="00EA6E15" w:rsidP="00EA6E15">
            <w:pPr>
              <w:pStyle w:val="ListBullet2"/>
            </w:pPr>
            <w:r w:rsidRPr="00EA6E15">
              <w:t>hospitals and medical facilities</w:t>
            </w:r>
          </w:p>
          <w:p w:rsidR="00000000" w:rsidRPr="00EA6E15" w:rsidP="00EA6E15">
            <w:pPr>
              <w:pStyle w:val="ListBullet2"/>
            </w:pPr>
            <w:r w:rsidRPr="00EA6E15">
              <w:t>hotels</w:t>
            </w:r>
          </w:p>
          <w:p w:rsidR="00000000" w:rsidRPr="00EA6E15" w:rsidP="00EA6E15">
            <w:pPr>
              <w:pStyle w:val="ListBullet2"/>
            </w:pPr>
            <w:r w:rsidRPr="00EA6E15">
              <w:t>mine camps</w:t>
            </w:r>
          </w:p>
          <w:p w:rsidR="00000000" w:rsidRPr="00EA6E15" w:rsidP="00EA6E15">
            <w:pPr>
              <w:pStyle w:val="ListBullet2"/>
            </w:pPr>
            <w:r w:rsidRPr="00EA6E15">
              <w:t>museums</w:t>
            </w:r>
          </w:p>
          <w:p w:rsidR="00000000" w:rsidRPr="00EA6E15" w:rsidP="00EA6E15">
            <w:pPr>
              <w:pStyle w:val="ListBullet2"/>
            </w:pPr>
            <w:r w:rsidRPr="00EA6E15">
              <w:t>office buildings</w:t>
            </w:r>
          </w:p>
          <w:p w:rsidR="00000000" w:rsidRPr="00EA6E15" w:rsidP="00EA6E15">
            <w:pPr>
              <w:pStyle w:val="ListBullet2"/>
            </w:pPr>
            <w:r w:rsidRPr="00EA6E15">
              <w:t>petrol stations</w:t>
            </w:r>
          </w:p>
          <w:p w:rsidR="00000000" w:rsidRPr="00EA6E15" w:rsidP="00EA6E15">
            <w:pPr>
              <w:pStyle w:val="ListBullet2"/>
            </w:pPr>
            <w:r w:rsidRPr="00EA6E15">
              <w:t>places of worship</w:t>
            </w:r>
          </w:p>
          <w:p w:rsidR="00000000" w:rsidRPr="00EA6E15" w:rsidP="00EA6E15">
            <w:pPr>
              <w:pStyle w:val="ListBullet2"/>
            </w:pPr>
            <w:r w:rsidRPr="00EA6E15">
              <w:t>police stations</w:t>
            </w:r>
          </w:p>
          <w:p w:rsidR="00000000" w:rsidRPr="00EA6E15" w:rsidP="00EA6E15">
            <w:pPr>
              <w:pStyle w:val="ListBullet2"/>
            </w:pPr>
            <w:r w:rsidRPr="00EA6E15">
              <w:t>prisons</w:t>
            </w:r>
          </w:p>
          <w:p w:rsidR="00000000" w:rsidRPr="00EA6E15" w:rsidP="00EA6E15">
            <w:pPr>
              <w:pStyle w:val="ListBullet2"/>
            </w:pPr>
            <w:r w:rsidRPr="00EA6E15">
              <w:t>recreational public buildings</w:t>
            </w:r>
          </w:p>
          <w:p w:rsidR="00000000" w:rsidRPr="00EA6E15" w:rsidP="00EA6E15">
            <w:pPr>
              <w:pStyle w:val="ListBullet2"/>
            </w:pPr>
            <w:r w:rsidRPr="00EA6E15">
              <w:t>residential accommodation</w:t>
            </w:r>
          </w:p>
          <w:p w:rsidR="00000000" w:rsidRPr="00EA6E15" w:rsidP="00EA6E15">
            <w:pPr>
              <w:pStyle w:val="ListBullet2"/>
            </w:pPr>
            <w:r w:rsidRPr="00EA6E15">
              <w:t>schools</w:t>
            </w:r>
          </w:p>
          <w:p w:rsidR="00000000" w:rsidRPr="00EA6E15" w:rsidP="00EA6E15">
            <w:pPr>
              <w:pStyle w:val="ListBullet2"/>
            </w:pPr>
            <w:r w:rsidRPr="00EA6E15">
              <w:t>shopping malls</w:t>
            </w:r>
          </w:p>
          <w:p w:rsidR="00000000" w:rsidRPr="00EA6E15" w:rsidP="00EA6E15">
            <w:pPr>
              <w:pStyle w:val="ListBullet2"/>
            </w:pPr>
            <w:r w:rsidRPr="00EA6E15">
              <w:t>swimming pools</w:t>
            </w:r>
          </w:p>
          <w:p w:rsidR="00000000" w:rsidRPr="00EA6E15" w:rsidP="00EA6E15">
            <w:pPr>
              <w:pStyle w:val="ListBullet2"/>
            </w:pPr>
            <w:r w:rsidRPr="00EA6E15">
              <w:t>universities</w:t>
            </w:r>
          </w:p>
          <w:p w:rsidR="00000000" w:rsidP="00EA6E15">
            <w:pPr>
              <w:pStyle w:val="ListBullet2"/>
              <w:rPr>
                <w:lang w:val="en-NZ"/>
              </w:rPr>
            </w:pPr>
            <w:r w:rsidRPr="00EA6E15">
              <w:t>warehouses.</w:t>
            </w:r>
          </w:p>
        </w:tc>
      </w:tr>
      <w:tr w:rsidTr="00EA6E15">
        <w:tblPrEx>
          <w:tblW w:w="0" w:type="auto"/>
          <w:tblLayout w:type="fixed"/>
          <w:tblCellMar>
            <w:left w:w="62" w:type="dxa"/>
            <w:right w:w="62" w:type="dxa"/>
          </w:tblCellMar>
          <w:tblLook w:val="0000"/>
        </w:tblPrEx>
        <w:tc>
          <w:tcPr>
            <w:tcW w:w="2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6E15">
            <w:pPr>
              <w:pStyle w:val="BodyText"/>
              <w:rPr>
                <w:lang w:val="en-NZ"/>
              </w:rPr>
            </w:pPr>
            <w:r w:rsidRPr="00EA6E15">
              <w:rPr>
                <w:rStyle w:val="BoldandItalics"/>
              </w:rPr>
              <w:t xml:space="preserve">Access and use compliance requirements </w:t>
            </w:r>
            <w:r w:rsidRPr="00EA6E15">
              <w:t>may include:</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6E15" w:rsidP="00EA6E15">
            <w:pPr>
              <w:pStyle w:val="ListBullet"/>
            </w:pPr>
            <w:r w:rsidRPr="00EA6E15">
              <w:t>Australian and international standards</w:t>
            </w:r>
          </w:p>
          <w:p w:rsidR="00000000" w:rsidRPr="00EA6E15" w:rsidP="00EA6E15">
            <w:pPr>
              <w:pStyle w:val="ListBullet"/>
            </w:pPr>
            <w:r w:rsidRPr="00EA6E15">
              <w:t>Disability Discrimination Act and regulations  and amendments</w:t>
            </w:r>
          </w:p>
          <w:p w:rsidR="00000000" w:rsidRPr="00EA6E15" w:rsidP="00EA6E15">
            <w:pPr>
              <w:pStyle w:val="ListBullet"/>
            </w:pPr>
            <w:r w:rsidRPr="00EA6E15">
              <w:t>Disability (Access to Premises – Buildings) Standards</w:t>
            </w:r>
          </w:p>
          <w:p w:rsidR="00000000" w:rsidRPr="00EA6E15" w:rsidP="00EA6E15">
            <w:pPr>
              <w:pStyle w:val="ListBullet"/>
            </w:pPr>
            <w:r w:rsidRPr="00EA6E15">
              <w:t>Disability Standards for Accessible Public Transport (DSAPT)</w:t>
            </w:r>
          </w:p>
          <w:p w:rsidR="00000000" w:rsidRPr="00EA6E15" w:rsidP="00EA6E15">
            <w:pPr>
              <w:pStyle w:val="ListBullet"/>
            </w:pPr>
            <w:r w:rsidRPr="00EA6E15">
              <w:t xml:space="preserve">Disability Standards for Education </w:t>
            </w:r>
          </w:p>
          <w:p w:rsidR="00000000" w:rsidRPr="00EA6E15" w:rsidP="00EA6E15">
            <w:pPr>
              <w:pStyle w:val="ListBullet"/>
            </w:pPr>
            <w:r w:rsidRPr="00EA6E15">
              <w:t>NCC, including:</w:t>
            </w:r>
          </w:p>
          <w:p w:rsidR="00000000" w:rsidRPr="00EA6E15" w:rsidP="00EA6E15">
            <w:pPr>
              <w:pStyle w:val="ListBullet2"/>
            </w:pPr>
            <w:r w:rsidRPr="00EA6E15">
              <w:t>deemed-to-satisfy solutions</w:t>
            </w:r>
          </w:p>
          <w:p w:rsidR="00000000" w:rsidRPr="00EA6E15" w:rsidP="00EA6E15">
            <w:pPr>
              <w:pStyle w:val="ListBullet2"/>
            </w:pPr>
            <w:r w:rsidRPr="00EA6E15">
              <w:t xml:space="preserve">formulation of performance-based alternative solutions </w:t>
            </w:r>
          </w:p>
          <w:p w:rsidR="00000000" w:rsidP="00EA6E15">
            <w:pPr>
              <w:pStyle w:val="ListBullet"/>
              <w:rPr>
                <w:lang w:val="en-NZ"/>
              </w:rPr>
            </w:pPr>
            <w:r w:rsidRPr="00EA6E15">
              <w:t>state, territory and local authority legislation, regulati</w:t>
            </w:r>
            <w:r w:rsidRPr="00EA6E15">
              <w:t>ons and planning requirements.</w:t>
            </w:r>
          </w:p>
        </w:tc>
      </w:tr>
      <w:tr w:rsidTr="00EA6E15">
        <w:tblPrEx>
          <w:tblW w:w="0" w:type="auto"/>
          <w:tblLayout w:type="fixed"/>
          <w:tblCellMar>
            <w:left w:w="62" w:type="dxa"/>
            <w:right w:w="62" w:type="dxa"/>
          </w:tblCellMar>
          <w:tblLook w:val="0000"/>
        </w:tblPrEx>
        <w:tc>
          <w:tcPr>
            <w:tcW w:w="2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6E15">
            <w:pPr>
              <w:pStyle w:val="BodyText"/>
              <w:rPr>
                <w:lang w:val="en-NZ"/>
              </w:rPr>
            </w:pPr>
            <w:r w:rsidRPr="00EA6E15">
              <w:rPr>
                <w:rStyle w:val="BoldandItalics"/>
              </w:rPr>
              <w:t xml:space="preserve">Stages of design process </w:t>
            </w:r>
            <w:r w:rsidRPr="00EA6E15">
              <w:t>may include:</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6E15" w:rsidP="00EA6E15">
            <w:pPr>
              <w:pStyle w:val="ListBullet"/>
            </w:pPr>
            <w:r w:rsidRPr="00EA6E15">
              <w:t>concept sketch</w:t>
            </w:r>
          </w:p>
          <w:p w:rsidR="00000000" w:rsidRPr="00EA6E15" w:rsidP="00EA6E15">
            <w:pPr>
              <w:pStyle w:val="ListBullet"/>
            </w:pPr>
            <w:r w:rsidRPr="00EA6E15">
              <w:t>schematic</w:t>
            </w:r>
          </w:p>
          <w:p w:rsidR="00000000" w:rsidRPr="00EA6E15" w:rsidP="00EA6E15">
            <w:pPr>
              <w:pStyle w:val="ListBullet"/>
            </w:pPr>
            <w:r w:rsidRPr="00EA6E15">
              <w:t>design development</w:t>
            </w:r>
          </w:p>
          <w:p w:rsidR="00000000" w:rsidRPr="00EA6E15" w:rsidP="00EA6E15">
            <w:pPr>
              <w:pStyle w:val="ListBullet"/>
            </w:pPr>
            <w:r w:rsidRPr="00EA6E15">
              <w:t>working drawing</w:t>
            </w:r>
          </w:p>
          <w:p w:rsidR="00000000" w:rsidRPr="00EA6E15" w:rsidP="00EA6E15">
            <w:pPr>
              <w:pStyle w:val="ListBullet"/>
            </w:pPr>
            <w:r w:rsidRPr="00EA6E15">
              <w:t>specifications</w:t>
            </w:r>
          </w:p>
          <w:p w:rsidR="00000000" w:rsidP="00EA6E15">
            <w:pPr>
              <w:pStyle w:val="ListBullet"/>
              <w:rPr>
                <w:lang w:val="en-NZ"/>
              </w:rPr>
            </w:pPr>
            <w:r w:rsidRPr="00EA6E15">
              <w:t>contract document.</w:t>
            </w:r>
          </w:p>
        </w:tc>
      </w:tr>
      <w:tr w:rsidTr="00EA6E15">
        <w:tblPrEx>
          <w:tblW w:w="0" w:type="auto"/>
          <w:tblLayout w:type="fixed"/>
          <w:tblCellMar>
            <w:left w:w="62" w:type="dxa"/>
            <w:right w:w="62" w:type="dxa"/>
          </w:tblCellMar>
          <w:tblLook w:val="0000"/>
        </w:tblPrEx>
        <w:tc>
          <w:tcPr>
            <w:tcW w:w="2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6E15">
            <w:pPr>
              <w:pStyle w:val="BodyText"/>
              <w:rPr>
                <w:lang w:val="en-NZ"/>
              </w:rPr>
            </w:pPr>
            <w:r w:rsidRPr="00EA6E15">
              <w:rPr>
                <w:rStyle w:val="BoldandItalics"/>
              </w:rPr>
              <w:t xml:space="preserve">Details of access and use design issues </w:t>
            </w:r>
            <w:r w:rsidRPr="00EA6E15">
              <w:t>may include:</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6E15" w:rsidP="00EA6E15">
            <w:pPr>
              <w:pStyle w:val="ListBullet"/>
            </w:pPr>
            <w:r w:rsidRPr="00EA6E15">
              <w:t>accurate and complete compliance specifications</w:t>
            </w:r>
          </w:p>
          <w:p w:rsidR="00000000" w:rsidRPr="00EA6E15" w:rsidP="00EA6E15">
            <w:pPr>
              <w:pStyle w:val="ListBullet"/>
            </w:pPr>
            <w:r w:rsidRPr="00EA6E15">
              <w:t>disparity between design and compliance specifications</w:t>
            </w:r>
          </w:p>
          <w:p w:rsidR="00000000" w:rsidRPr="00EA6E15" w:rsidP="00EA6E15">
            <w:pPr>
              <w:pStyle w:val="ListBullet"/>
            </w:pPr>
            <w:r w:rsidRPr="00EA6E15">
              <w:t>access and use requirements of occupier or user demographic that are not the subject of compliance specifications and are not addressed in the design doc</w:t>
            </w:r>
            <w:r w:rsidRPr="00EA6E15">
              <w:t>umentation; and associated risks of exclusion</w:t>
            </w:r>
          </w:p>
          <w:p w:rsidR="00000000" w:rsidP="00EA6E15">
            <w:pPr>
              <w:pStyle w:val="ListBullet"/>
              <w:rPr>
                <w:lang w:val="en-NZ"/>
              </w:rPr>
            </w:pPr>
            <w:r w:rsidRPr="00EA6E15">
              <w:t>risks associated with non-compliance.</w:t>
            </w:r>
          </w:p>
        </w:tc>
      </w:tr>
      <w:tr w:rsidTr="00EA6E15">
        <w:tblPrEx>
          <w:tblW w:w="0" w:type="auto"/>
          <w:tblLayout w:type="fixed"/>
          <w:tblCellMar>
            <w:left w:w="62" w:type="dxa"/>
            <w:right w:w="62" w:type="dxa"/>
          </w:tblCellMar>
          <w:tblLook w:val="0000"/>
        </w:tblPrEx>
        <w:tc>
          <w:tcPr>
            <w:tcW w:w="2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6E15">
            <w:pPr>
              <w:pStyle w:val="BodyText"/>
              <w:rPr>
                <w:lang w:val="en-NZ"/>
              </w:rPr>
            </w:pPr>
            <w:r w:rsidRPr="00EA6E15">
              <w:rPr>
                <w:rStyle w:val="BoldandItalics"/>
              </w:rPr>
              <w:t>Solutions to access and use issues</w:t>
            </w:r>
            <w:r w:rsidRPr="00EA6E15">
              <w:t xml:space="preserve"> include:</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6E15" w:rsidP="00EA6E15">
            <w:pPr>
              <w:pStyle w:val="ListBullet"/>
            </w:pPr>
            <w:r w:rsidRPr="00EA6E15">
              <w:t>meeting compliance requirements, including:</w:t>
            </w:r>
          </w:p>
          <w:p w:rsidR="00000000" w:rsidRPr="00EA6E15" w:rsidP="00EA6E15">
            <w:pPr>
              <w:pStyle w:val="ListBullet2"/>
            </w:pPr>
            <w:r w:rsidRPr="00EA6E15">
              <w:t>alternative solutions</w:t>
            </w:r>
          </w:p>
          <w:p w:rsidR="00000000" w:rsidRPr="00EA6E15" w:rsidP="00EA6E15">
            <w:pPr>
              <w:pStyle w:val="ListBullet2"/>
            </w:pPr>
            <w:r w:rsidRPr="00EA6E15">
              <w:t>deemed-to-satisfy solutions</w:t>
            </w:r>
          </w:p>
          <w:p w:rsidR="00000000" w:rsidRPr="00EA6E15" w:rsidP="00EA6E15">
            <w:pPr>
              <w:pStyle w:val="ListBullet"/>
            </w:pPr>
            <w:r w:rsidRPr="00EA6E15">
              <w:t>exceeding compliance requirements</w:t>
            </w:r>
          </w:p>
          <w:p w:rsidR="00000000" w:rsidRPr="00EA6E15" w:rsidP="00EA6E15">
            <w:pPr>
              <w:pStyle w:val="ListBullet"/>
            </w:pPr>
            <w:r w:rsidRPr="00EA6E15">
              <w:t>not meeting compliance requirements supported by an opinion of the success of a defence on the grounds of unjustifiable hardship</w:t>
            </w:r>
          </w:p>
          <w:p w:rsidR="00000000" w:rsidP="00EA6E15">
            <w:pPr>
              <w:pStyle w:val="ListBullet"/>
              <w:rPr>
                <w:lang w:val="en-NZ"/>
              </w:rPr>
            </w:pPr>
            <w:r w:rsidRPr="00EA6E15">
              <w:t>not meeting compliance requirements accompanied by a statement supporting application of full</w:t>
            </w:r>
            <w:r w:rsidRPr="00EA6E15">
              <w:t xml:space="preserve"> or partial exemption from the requirements of the NCC as applied by state or territory legislation.</w:t>
            </w:r>
          </w:p>
        </w:tc>
      </w:tr>
      <w:tr w:rsidTr="00EA6E15">
        <w:tblPrEx>
          <w:tblW w:w="0" w:type="auto"/>
          <w:tblLayout w:type="fixed"/>
          <w:tblCellMar>
            <w:left w:w="62" w:type="dxa"/>
            <w:right w:w="62" w:type="dxa"/>
          </w:tblCellMar>
          <w:tblLook w:val="0000"/>
        </w:tblPrEx>
        <w:tc>
          <w:tcPr>
            <w:tcW w:w="2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6E15">
            <w:pPr>
              <w:pStyle w:val="BodyText"/>
              <w:rPr>
                <w:lang w:val="en-NZ"/>
              </w:rPr>
            </w:pPr>
            <w:r w:rsidRPr="00EA6E15">
              <w:rPr>
                <w:rStyle w:val="BoldandItalics"/>
              </w:rPr>
              <w:t xml:space="preserve">Access and use issues arising during the construction phase of projects </w:t>
            </w:r>
            <w:r w:rsidRPr="00EA6E15">
              <w:t>may include:</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6E15" w:rsidP="00EA6E15">
            <w:pPr>
              <w:pStyle w:val="ListBullet"/>
            </w:pPr>
            <w:r w:rsidRPr="00EA6E15">
              <w:t>budgetary constraints</w:t>
            </w:r>
          </w:p>
          <w:p w:rsidR="00000000" w:rsidRPr="00EA6E15" w:rsidP="00EA6E15">
            <w:pPr>
              <w:pStyle w:val="ListBullet"/>
            </w:pPr>
            <w:r w:rsidRPr="00EA6E15">
              <w:t>conflict with ‘as built’ structure and services</w:t>
            </w:r>
          </w:p>
          <w:p w:rsidR="00000000" w:rsidRPr="00EA6E15" w:rsidP="00EA6E15">
            <w:pPr>
              <w:pStyle w:val="ListBullet"/>
            </w:pPr>
            <w:r w:rsidRPr="00EA6E15">
              <w:t>errors in interpretation and implementation of access and use design features</w:t>
            </w:r>
          </w:p>
          <w:p w:rsidR="00000000" w:rsidRPr="00EA6E15" w:rsidP="00EA6E15">
            <w:pPr>
              <w:pStyle w:val="ListBullet"/>
            </w:pPr>
            <w:r w:rsidRPr="00EA6E15">
              <w:t xml:space="preserve">unavailability of specified equipment or materials. </w:t>
            </w:r>
          </w:p>
        </w:tc>
      </w:tr>
    </w:tbl>
    <w:p w:rsidR="00A56F7A" w:rsidP="00EA6E15">
      <w:pPr>
        <w:pStyle w:val="BodyText"/>
      </w:pPr>
    </w:p>
    <w:p w:rsidR="00A56F7A" w:rsidP="00EA6E15">
      <w:pPr>
        <w:pStyle w:val="BodyText"/>
      </w:pPr>
    </w:p>
    <w:p w:rsidR="00000000" w:rsidRPr="00EA6E15" w:rsidP="00EA6E15">
      <w:pPr>
        <w:pStyle w:val="Heading1"/>
      </w:pPr>
      <w:bookmarkStart w:id="12" w:name="O_453196"/>
      <w:bookmarkEnd w:id="12"/>
      <w:r w:rsidRPr="00EA6E15">
        <w:t>Unit Sector(s)</w:t>
      </w:r>
    </w:p>
    <w:p w:rsidR="00000000" w:rsidRPr="00EA6E15" w:rsidP="00EA6E15">
      <w:pPr>
        <w:pStyle w:val="BodyText"/>
      </w:pPr>
      <w:r w:rsidRPr="00EA6E15">
        <w:t>Access consulting</w:t>
      </w:r>
    </w:p>
    <w:p w:rsidR="00000000" w:rsidRPr="00EA6E15" w:rsidP="00EA6E15">
      <w:pPr>
        <w:pStyle w:val="AllowPageBreak"/>
      </w:pPr>
    </w:p>
    <w:p w:rsidR="00000000" w:rsidRPr="00EA6E15" w:rsidP="00EA6E15">
      <w:pPr>
        <w:pStyle w:val="Heading1"/>
      </w:pPr>
      <w:bookmarkStart w:id="13" w:name="O_453197"/>
      <w:bookmarkEnd w:id="13"/>
      <w:r w:rsidRPr="00EA6E15">
        <w:t>Custom Content Section</w:t>
      </w:r>
    </w:p>
    <w:p w:rsidR="00000000" w:rsidRPr="00EA6E15" w:rsidP="00EA6E15">
      <w:pPr>
        <w:pStyle w:val="BodyText"/>
      </w:pPr>
      <w:r w:rsidRPr="00EA6E15">
        <w:t>Not applicable.</w:t>
      </w:r>
    </w:p>
    <w:p w:rsidR="00000000" w:rsidRPr="00EA6E15" w:rsidP="00EA6E15"/>
    <w:sectPr w:rsidSect="00EA6E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E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6F7A" w:rsidP="00A56F7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E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F7A" w:rsidP="00EA6E1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56F7A" w:rsidP="00EA6E1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56F7A" w:rsidP="00EA6E1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E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E15" w:rsidRPr="00A56F7A" w:rsidP="00A56F7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E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F7A" w:rsidRPr="002D2AF8" w:rsidP="00EA6E15">
    <w:pPr>
      <w:pStyle w:val="Header"/>
      <w:framePr w:wrap="around"/>
    </w:pPr>
    <w:r>
      <w:fldChar w:fldCharType="begin"/>
    </w:r>
    <w:r>
      <w:instrText xml:space="preserve"> TITLE   \* MERGEFORMAT </w:instrText>
    </w:r>
    <w:r>
      <w:fldChar w:fldCharType="separate"/>
    </w:r>
    <w:r>
      <w:t>CPPACC8008A Contribute to design of accessible built environment and infrastructure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A56F7A" w:rsidP="00EA6E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54BF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D657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CAB3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6E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6E15"/>
    <w:pPr>
      <w:spacing w:before="360" w:after="60"/>
      <w:outlineLvl w:val="0"/>
    </w:pPr>
    <w:rPr>
      <w:sz w:val="32"/>
    </w:rPr>
  </w:style>
  <w:style w:type="paragraph" w:styleId="Heading2">
    <w:name w:val="heading 2"/>
    <w:basedOn w:val="HeadingBase"/>
    <w:next w:val="BodyText"/>
    <w:link w:val="Heading2Char"/>
    <w:qFormat/>
    <w:rsid w:val="00EA6E15"/>
    <w:pPr>
      <w:keepLines/>
      <w:spacing w:before="240" w:after="120"/>
      <w:outlineLvl w:val="1"/>
    </w:pPr>
    <w:rPr>
      <w:sz w:val="28"/>
      <w:szCs w:val="40"/>
    </w:rPr>
  </w:style>
  <w:style w:type="paragraph" w:styleId="Heading3">
    <w:name w:val="heading 3"/>
    <w:basedOn w:val="HeadingBase"/>
    <w:next w:val="BodyText"/>
    <w:link w:val="Heading3Char"/>
    <w:qFormat/>
    <w:rsid w:val="00EA6E15"/>
    <w:pPr>
      <w:spacing w:before="180" w:after="120"/>
      <w:outlineLvl w:val="2"/>
    </w:pPr>
    <w:rPr>
      <w:spacing w:val="-10"/>
      <w:kern w:val="32"/>
    </w:rPr>
  </w:style>
  <w:style w:type="paragraph" w:styleId="Heading4">
    <w:name w:val="heading 4"/>
    <w:basedOn w:val="HeadingBase"/>
    <w:next w:val="BodyText"/>
    <w:link w:val="Heading4Char"/>
    <w:qFormat/>
    <w:rsid w:val="00EA6E15"/>
    <w:pPr>
      <w:spacing w:before="160" w:after="120"/>
      <w:outlineLvl w:val="3"/>
    </w:pPr>
    <w:rPr>
      <w:sz w:val="22"/>
    </w:rPr>
  </w:style>
  <w:style w:type="paragraph" w:styleId="Heading5">
    <w:name w:val="heading 5"/>
    <w:basedOn w:val="HeadingBase"/>
    <w:next w:val="Normal"/>
    <w:link w:val="Heading5Char"/>
    <w:qFormat/>
    <w:rsid w:val="00EA6E15"/>
    <w:pPr>
      <w:spacing w:before="80"/>
      <w:outlineLvl w:val="4"/>
    </w:pPr>
    <w:rPr>
      <w:color w:val="918585"/>
      <w:sz w:val="20"/>
    </w:rPr>
  </w:style>
  <w:style w:type="paragraph" w:styleId="Heading6">
    <w:name w:val="heading 6"/>
    <w:basedOn w:val="HeadingBase"/>
    <w:next w:val="Normal"/>
    <w:link w:val="Heading6Char"/>
    <w:qFormat/>
    <w:rsid w:val="00EA6E15"/>
    <w:pPr>
      <w:spacing w:before="60"/>
      <w:outlineLvl w:val="5"/>
    </w:pPr>
    <w:rPr>
      <w:color w:val="918585"/>
      <w:sz w:val="20"/>
    </w:rPr>
  </w:style>
  <w:style w:type="paragraph" w:styleId="Heading7">
    <w:name w:val="heading 7"/>
    <w:basedOn w:val="Normal"/>
    <w:next w:val="Normal"/>
    <w:link w:val="Heading7Char"/>
    <w:qFormat/>
    <w:rsid w:val="00EA6E15"/>
    <w:pPr>
      <w:ind w:left="720"/>
      <w:outlineLvl w:val="6"/>
    </w:pPr>
    <w:rPr>
      <w:i/>
    </w:rPr>
  </w:style>
  <w:style w:type="paragraph" w:styleId="Heading8">
    <w:name w:val="heading 8"/>
    <w:basedOn w:val="Normal"/>
    <w:next w:val="Normal"/>
    <w:link w:val="Heading8Char"/>
    <w:qFormat/>
    <w:rsid w:val="00EA6E15"/>
    <w:pPr>
      <w:ind w:left="720"/>
      <w:outlineLvl w:val="7"/>
    </w:pPr>
    <w:rPr>
      <w:i/>
    </w:rPr>
  </w:style>
  <w:style w:type="paragraph" w:styleId="Heading9">
    <w:name w:val="heading 9"/>
    <w:basedOn w:val="Normal"/>
    <w:next w:val="Normal"/>
    <w:link w:val="Heading9Char"/>
    <w:qFormat/>
    <w:rsid w:val="00EA6E15"/>
    <w:pPr>
      <w:ind w:left="720"/>
      <w:outlineLvl w:val="8"/>
    </w:pPr>
    <w:rPr>
      <w:i/>
    </w:rPr>
  </w:style>
  <w:style w:type="character" w:default="1" w:styleId="DefaultParagraphFont">
    <w:name w:val="Default Paragraph Font"/>
    <w:uiPriority w:val="1"/>
    <w:unhideWhenUsed/>
    <w:rsid w:val="00EA6E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6E15"/>
  </w:style>
  <w:style w:type="character" w:customStyle="1" w:styleId="Heading1Char">
    <w:name w:val="Heading 1 Char"/>
    <w:basedOn w:val="DefaultParagraphFont"/>
    <w:link w:val="Heading1"/>
    <w:rsid w:val="00EA6E15"/>
    <w:rPr>
      <w:rFonts w:ascii="Times New Roman" w:eastAsia="Times New Roman" w:hAnsi="Times New Roman" w:cs="Times New Roman"/>
      <w:b/>
      <w:sz w:val="32"/>
      <w:szCs w:val="20"/>
      <w:lang w:eastAsia="en-US"/>
    </w:rPr>
  </w:style>
  <w:style w:type="paragraph" w:styleId="BodyText">
    <w:name w:val="Body Text"/>
    <w:basedOn w:val="Normal"/>
    <w:link w:val="BodyTextChar"/>
    <w:rsid w:val="00EA6E1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6E15"/>
    <w:rPr>
      <w:rFonts w:ascii="Times New Roman" w:eastAsia="Times New Roman" w:hAnsi="Times New Roman" w:cs="Times New Roman"/>
      <w:sz w:val="24"/>
      <w:lang w:eastAsia="en-US"/>
    </w:rPr>
  </w:style>
  <w:style w:type="paragraph" w:styleId="Footer">
    <w:name w:val="footer"/>
    <w:basedOn w:val="Normal"/>
    <w:link w:val="FooterChar"/>
    <w:rsid w:val="00EA6E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6E15"/>
    <w:rPr>
      <w:rFonts w:ascii="Times New Roman" w:eastAsia="Times New Roman" w:hAnsi="Times New Roman" w:cs="Times New Roman"/>
      <w:sz w:val="16"/>
      <w:lang w:eastAsia="en-US"/>
    </w:rPr>
  </w:style>
  <w:style w:type="paragraph" w:styleId="ListBullet">
    <w:name w:val="List Bullet"/>
    <w:basedOn w:val="List"/>
    <w:rsid w:val="00EA6E15"/>
    <w:pPr>
      <w:numPr>
        <w:numId w:val="14"/>
      </w:numPr>
      <w:tabs>
        <w:tab w:val="clear" w:pos="340"/>
      </w:tabs>
      <w:spacing w:before="40" w:after="40"/>
    </w:pPr>
  </w:style>
  <w:style w:type="character" w:customStyle="1" w:styleId="SpecialBold">
    <w:name w:val="Special Bold"/>
    <w:basedOn w:val="DefaultParagraphFont"/>
    <w:rsid w:val="00EA6E15"/>
    <w:rPr>
      <w:b/>
      <w:spacing w:val="0"/>
    </w:rPr>
  </w:style>
  <w:style w:type="paragraph" w:styleId="ListBullet2">
    <w:name w:val="List Bullet 2"/>
    <w:basedOn w:val="List2"/>
    <w:rsid w:val="00EA6E15"/>
    <w:pPr>
      <w:numPr>
        <w:numId w:val="15"/>
      </w:numPr>
      <w:tabs>
        <w:tab w:val="clear" w:pos="680"/>
      </w:tabs>
    </w:pPr>
  </w:style>
  <w:style w:type="paragraph" w:customStyle="1" w:styleId="SuperHeading">
    <w:name w:val="SuperHeading"/>
    <w:basedOn w:val="Normal"/>
    <w:rsid w:val="00EA6E15"/>
    <w:pPr>
      <w:spacing w:before="240" w:after="120"/>
      <w:outlineLvl w:val="0"/>
    </w:pPr>
    <w:rPr>
      <w:rFonts w:ascii="Times New Roman" w:hAnsi="Times New Roman"/>
      <w:b/>
      <w:sz w:val="28"/>
    </w:rPr>
  </w:style>
  <w:style w:type="paragraph" w:customStyle="1" w:styleId="AllowPageBreak">
    <w:name w:val="AllowPageBreak"/>
    <w:rsid w:val="00EA6E1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A6E15"/>
    <w:pPr>
      <w:numPr>
        <w:numId w:val="3"/>
      </w:numPr>
      <w:tabs>
        <w:tab w:val="clear" w:pos="1021"/>
      </w:tabs>
      <w:ind w:left="1037" w:hanging="357"/>
    </w:pPr>
  </w:style>
  <w:style w:type="character" w:customStyle="1" w:styleId="BoldandItalics">
    <w:name w:val="Bold and Italics"/>
    <w:qFormat/>
    <w:rsid w:val="00EA6E15"/>
    <w:rPr>
      <w:b/>
      <w:i/>
      <w:u w:val="none"/>
    </w:rPr>
  </w:style>
  <w:style w:type="character" w:customStyle="1" w:styleId="Heading2Char">
    <w:name w:val="Heading 2 Char"/>
    <w:basedOn w:val="DefaultParagraphFont"/>
    <w:link w:val="Heading2"/>
    <w:rsid w:val="00EA6E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6E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6E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6E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6E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6E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6E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6E15"/>
    <w:rPr>
      <w:rFonts w:ascii="Courier New" w:eastAsia="Times New Roman" w:hAnsi="Courier New" w:cs="Times New Roman"/>
      <w:i/>
      <w:szCs w:val="20"/>
      <w:lang w:eastAsia="en-US"/>
    </w:rPr>
  </w:style>
  <w:style w:type="paragraph" w:customStyle="1" w:styleId="HeadingBase">
    <w:name w:val="Heading Base"/>
    <w:rsid w:val="00EA6E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6E15"/>
    <w:pPr>
      <w:tabs>
        <w:tab w:val="right" w:leader="dot" w:pos="9072"/>
      </w:tabs>
      <w:ind w:left="567"/>
    </w:pPr>
    <w:rPr>
      <w:szCs w:val="22"/>
    </w:rPr>
  </w:style>
  <w:style w:type="paragraph" w:customStyle="1" w:styleId="TOCBase">
    <w:name w:val="TOC Base"/>
    <w:rsid w:val="00EA6E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6E15"/>
    <w:pPr>
      <w:tabs>
        <w:tab w:val="right" w:leader="dot" w:pos="9072"/>
      </w:tabs>
      <w:spacing w:before="40" w:after="40"/>
      <w:ind w:left="284"/>
    </w:pPr>
    <w:rPr>
      <w:rFonts w:ascii="Times New Roman" w:hAnsi="Times New Roman"/>
    </w:rPr>
  </w:style>
  <w:style w:type="paragraph" w:styleId="TOC1">
    <w:name w:val="toc 1"/>
    <w:basedOn w:val="TOCBase"/>
    <w:next w:val="Normal"/>
    <w:rsid w:val="00EA6E1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A6E15"/>
    <w:pPr>
      <w:spacing w:before="5040"/>
      <w:jc w:val="center"/>
    </w:pPr>
    <w:rPr>
      <w:sz w:val="48"/>
      <w:szCs w:val="72"/>
      <w:lang w:val="en-US"/>
    </w:rPr>
  </w:style>
  <w:style w:type="character" w:customStyle="1" w:styleId="TitleChar">
    <w:name w:val="Title Char"/>
    <w:basedOn w:val="DefaultParagraphFont"/>
    <w:link w:val="Title"/>
    <w:rsid w:val="00EA6E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6E15"/>
    <w:pPr>
      <w:tabs>
        <w:tab w:val="left" w:pos="3600"/>
        <w:tab w:val="left" w:pos="3958"/>
      </w:tabs>
    </w:pPr>
  </w:style>
  <w:style w:type="paragraph" w:styleId="List">
    <w:name w:val="List"/>
    <w:basedOn w:val="BodyText"/>
    <w:next w:val="BodyText"/>
    <w:rsid w:val="00EA6E15"/>
    <w:pPr>
      <w:tabs>
        <w:tab w:val="left" w:pos="340"/>
      </w:tabs>
      <w:spacing w:before="60" w:after="60"/>
      <w:ind w:left="340" w:hanging="340"/>
    </w:pPr>
  </w:style>
  <w:style w:type="paragraph" w:customStyle="1" w:styleId="Note">
    <w:name w:val="Note"/>
    <w:basedOn w:val="BodyText"/>
    <w:rsid w:val="00EA6E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6E15"/>
    <w:pPr>
      <w:framePr w:wrap="auto" w:hAnchor="text" w:y="6049"/>
    </w:pPr>
    <w:rPr>
      <w:color w:val="000000"/>
      <w:sz w:val="40"/>
    </w:rPr>
  </w:style>
  <w:style w:type="paragraph" w:customStyle="1" w:styleId="TOCTitle">
    <w:name w:val="TOCTitle"/>
    <w:basedOn w:val="Heading1"/>
    <w:rsid w:val="00EA6E15"/>
    <w:pPr>
      <w:spacing w:after="240"/>
      <w:jc w:val="center"/>
      <w:outlineLvl w:val="9"/>
    </w:pPr>
    <w:rPr>
      <w:caps/>
    </w:rPr>
  </w:style>
  <w:style w:type="paragraph" w:customStyle="1" w:styleId="Version">
    <w:name w:val="Version"/>
    <w:rsid w:val="00EA6E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6E15"/>
    <w:pPr>
      <w:keepNext w:val="0"/>
      <w:tabs>
        <w:tab w:val="right" w:pos="4176"/>
      </w:tabs>
      <w:ind w:left="198" w:hanging="198"/>
    </w:pPr>
    <w:rPr>
      <w:rFonts w:ascii="Garamond" w:hAnsi="Garamond"/>
    </w:rPr>
  </w:style>
  <w:style w:type="paragraph" w:styleId="IndexHeading">
    <w:name w:val="index heading"/>
    <w:basedOn w:val="Normal"/>
    <w:next w:val="Index1"/>
    <w:semiHidden/>
    <w:rsid w:val="00EA6E15"/>
    <w:pPr>
      <w:spacing w:before="120" w:after="120"/>
    </w:pPr>
    <w:rPr>
      <w:rFonts w:ascii="Arial" w:hAnsi="Arial"/>
      <w:b/>
      <w:color w:val="918585"/>
      <w:sz w:val="24"/>
    </w:rPr>
  </w:style>
  <w:style w:type="paragraph" w:styleId="Header">
    <w:name w:val="header"/>
    <w:basedOn w:val="Normal"/>
    <w:link w:val="HeaderChar"/>
    <w:rsid w:val="00EA6E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6E15"/>
    <w:rPr>
      <w:rFonts w:ascii="Times New Roman" w:eastAsia="Times New Roman" w:hAnsi="Times New Roman" w:cs="Times New Roman"/>
      <w:sz w:val="16"/>
      <w:szCs w:val="20"/>
      <w:lang w:val="en-GB" w:eastAsia="en-US"/>
    </w:rPr>
  </w:style>
  <w:style w:type="paragraph" w:customStyle="1" w:styleId="Chapter">
    <w:name w:val="Chapter"/>
    <w:basedOn w:val="Normal"/>
    <w:rsid w:val="00EA6E15"/>
    <w:pPr>
      <w:spacing w:before="240"/>
    </w:pPr>
    <w:rPr>
      <w:rFonts w:ascii="Times New Roman" w:hAnsi="Times New Roman"/>
      <w:smallCaps/>
      <w:spacing w:val="80"/>
      <w:sz w:val="28"/>
    </w:rPr>
  </w:style>
  <w:style w:type="paragraph" w:customStyle="1" w:styleId="InChapter">
    <w:name w:val="InChapter"/>
    <w:basedOn w:val="Heading3"/>
    <w:rsid w:val="00EA6E15"/>
    <w:pPr>
      <w:spacing w:after="240"/>
      <w:outlineLvl w:val="9"/>
    </w:pPr>
    <w:rPr>
      <w:noProof/>
    </w:rPr>
  </w:style>
  <w:style w:type="paragraph" w:styleId="Index2">
    <w:name w:val="index 2"/>
    <w:basedOn w:val="Normal"/>
    <w:next w:val="Normal"/>
    <w:semiHidden/>
    <w:rsid w:val="00EA6E15"/>
    <w:pPr>
      <w:tabs>
        <w:tab w:val="right" w:pos="4176"/>
      </w:tabs>
      <w:ind w:left="568" w:hanging="284"/>
    </w:pPr>
    <w:rPr>
      <w:rFonts w:ascii="Garamond" w:hAnsi="Garamond"/>
    </w:rPr>
  </w:style>
  <w:style w:type="paragraph" w:customStyle="1" w:styleId="Byline">
    <w:name w:val="Byline"/>
    <w:rsid w:val="00EA6E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6E15"/>
    <w:pPr>
      <w:tabs>
        <w:tab w:val="clear" w:pos="3600"/>
        <w:tab w:val="clear" w:pos="3958"/>
      </w:tabs>
      <w:jc w:val="right"/>
    </w:pPr>
  </w:style>
  <w:style w:type="character" w:styleId="Emphasis">
    <w:name w:val="Emphasis"/>
    <w:basedOn w:val="DefaultParagraphFont"/>
    <w:qFormat/>
    <w:rsid w:val="00EA6E15"/>
    <w:rPr>
      <w:i/>
    </w:rPr>
  </w:style>
  <w:style w:type="paragraph" w:styleId="Caption">
    <w:name w:val="caption"/>
    <w:basedOn w:val="BodyText"/>
    <w:next w:val="Normal"/>
    <w:qFormat/>
    <w:rsid w:val="00EA6E15"/>
    <w:pPr>
      <w:framePr w:w="2268" w:hSpace="181" w:vSpace="181" w:wrap="around" w:vAnchor="text" w:hAnchor="page" w:x="1135" w:y="285" w:anchorLock="1"/>
    </w:pPr>
    <w:rPr>
      <w:i/>
    </w:rPr>
  </w:style>
  <w:style w:type="paragraph" w:customStyle="1" w:styleId="MiniTOCTitle">
    <w:name w:val="MiniTOCTitle"/>
    <w:basedOn w:val="Heading4"/>
    <w:rsid w:val="00EA6E15"/>
    <w:pPr>
      <w:spacing w:before="240"/>
      <w:outlineLvl w:val="9"/>
    </w:pPr>
    <w:rPr>
      <w:noProof/>
      <w:sz w:val="24"/>
    </w:rPr>
  </w:style>
  <w:style w:type="paragraph" w:customStyle="1" w:styleId="MiniTOCItem">
    <w:name w:val="MiniTOCItem"/>
    <w:basedOn w:val="ListBullet"/>
    <w:rsid w:val="00EA6E15"/>
    <w:pPr>
      <w:numPr>
        <w:numId w:val="0"/>
      </w:numPr>
      <w:tabs>
        <w:tab w:val="right" w:leader="dot" w:pos="6521"/>
      </w:tabs>
      <w:spacing w:before="0" w:after="0"/>
    </w:pPr>
  </w:style>
  <w:style w:type="paragraph" w:customStyle="1" w:styleId="TOFTitle">
    <w:name w:val="TOFTitle"/>
    <w:basedOn w:val="TOCTitle"/>
    <w:rsid w:val="00EA6E15"/>
  </w:style>
  <w:style w:type="paragraph" w:styleId="TableofFigures">
    <w:name w:val="table of figures"/>
    <w:basedOn w:val="Normal"/>
    <w:next w:val="Normal"/>
    <w:semiHidden/>
    <w:rsid w:val="00EA6E15"/>
    <w:pPr>
      <w:tabs>
        <w:tab w:val="right" w:leader="dot" w:pos="9072"/>
      </w:tabs>
      <w:ind w:left="970" w:hanging="403"/>
    </w:pPr>
    <w:rPr>
      <w:rFonts w:ascii="Times New Roman" w:hAnsi="Times New Roman"/>
      <w:b/>
    </w:rPr>
  </w:style>
  <w:style w:type="paragraph" w:styleId="ListNumber">
    <w:name w:val="List Number"/>
    <w:basedOn w:val="List"/>
    <w:rsid w:val="00EA6E15"/>
    <w:pPr>
      <w:numPr>
        <w:numId w:val="12"/>
      </w:numPr>
    </w:pPr>
  </w:style>
  <w:style w:type="character" w:customStyle="1" w:styleId="WingdingSymbols">
    <w:name w:val="Wingding Symbols"/>
    <w:rsid w:val="00EA6E15"/>
    <w:rPr>
      <w:rFonts w:ascii="Wingdings" w:hAnsi="Wingdings"/>
    </w:rPr>
  </w:style>
  <w:style w:type="paragraph" w:customStyle="1" w:styleId="TableHeading">
    <w:name w:val="Table Heading"/>
    <w:basedOn w:val="HeadingBase"/>
    <w:rsid w:val="00EA6E15"/>
    <w:pPr>
      <w:keepLines/>
      <w:pBdr>
        <w:bottom w:val="single" w:sz="6" w:space="1" w:color="918585"/>
      </w:pBdr>
      <w:spacing w:before="240"/>
    </w:pPr>
  </w:style>
  <w:style w:type="character" w:customStyle="1" w:styleId="HotSpot">
    <w:name w:val="HotSpot"/>
    <w:rsid w:val="00EA6E15"/>
    <w:rPr>
      <w:color w:val="0033CC"/>
      <w:u w:val="none"/>
    </w:rPr>
  </w:style>
  <w:style w:type="paragraph" w:customStyle="1" w:styleId="BodyTextRight">
    <w:name w:val="Body Text Right"/>
    <w:basedOn w:val="BodyText"/>
    <w:rsid w:val="00EA6E15"/>
    <w:pPr>
      <w:spacing w:before="0" w:after="0"/>
      <w:jc w:val="right"/>
    </w:pPr>
  </w:style>
  <w:style w:type="paragraph" w:styleId="Index3">
    <w:name w:val="index 3"/>
    <w:basedOn w:val="ListNumber2"/>
    <w:next w:val="Normal"/>
    <w:semiHidden/>
    <w:rsid w:val="00EA6E15"/>
    <w:pPr>
      <w:numPr>
        <w:numId w:val="0"/>
      </w:numPr>
      <w:tabs>
        <w:tab w:val="right" w:leader="dot" w:pos="4176"/>
      </w:tabs>
    </w:pPr>
  </w:style>
  <w:style w:type="paragraph" w:styleId="ListNumber2">
    <w:name w:val="List Number 2"/>
    <w:basedOn w:val="List2"/>
    <w:rsid w:val="00EA6E15"/>
    <w:pPr>
      <w:numPr>
        <w:numId w:val="11"/>
      </w:numPr>
      <w:tabs>
        <w:tab w:val="clear" w:pos="1060"/>
      </w:tabs>
    </w:pPr>
  </w:style>
  <w:style w:type="paragraph" w:customStyle="1" w:styleId="MarginNote">
    <w:name w:val="Margin Note"/>
    <w:basedOn w:val="BodyText"/>
    <w:rsid w:val="00EA6E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6E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6E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6E15"/>
    <w:rPr>
      <w:sz w:val="32"/>
    </w:rPr>
  </w:style>
  <w:style w:type="paragraph" w:customStyle="1" w:styleId="HeadingProcedure">
    <w:name w:val="Heading Procedure"/>
    <w:basedOn w:val="HeadingBase"/>
    <w:next w:val="Normal"/>
    <w:rsid w:val="00EA6E15"/>
    <w:pPr>
      <w:tabs>
        <w:tab w:val="left" w:pos="0"/>
      </w:tabs>
      <w:spacing w:before="120" w:after="60"/>
    </w:pPr>
    <w:rPr>
      <w:i/>
      <w:color w:val="918585"/>
      <w:sz w:val="22"/>
    </w:rPr>
  </w:style>
  <w:style w:type="paragraph" w:customStyle="1" w:styleId="TableBodyText">
    <w:name w:val="Table Body Text"/>
    <w:basedOn w:val="BodyText"/>
    <w:rsid w:val="00EA6E15"/>
    <w:pPr>
      <w:spacing w:before="60" w:after="60"/>
    </w:pPr>
  </w:style>
  <w:style w:type="paragraph" w:styleId="ListContinue">
    <w:name w:val="List Continue"/>
    <w:basedOn w:val="List"/>
    <w:rsid w:val="00EA6E15"/>
    <w:pPr>
      <w:ind w:firstLine="0"/>
    </w:pPr>
  </w:style>
  <w:style w:type="paragraph" w:customStyle="1" w:styleId="ListNote">
    <w:name w:val="List Note"/>
    <w:basedOn w:val="List"/>
    <w:rsid w:val="00EA6E15"/>
    <w:pPr>
      <w:pBdr>
        <w:top w:val="single" w:sz="6" w:space="2" w:color="918585"/>
        <w:bottom w:val="single" w:sz="6" w:space="2" w:color="918585"/>
      </w:pBdr>
      <w:tabs>
        <w:tab w:val="left" w:pos="1021"/>
      </w:tabs>
      <w:ind w:firstLine="0"/>
    </w:pPr>
  </w:style>
  <w:style w:type="paragraph" w:customStyle="1" w:styleId="Warning">
    <w:name w:val="Warning"/>
    <w:basedOn w:val="BodyText"/>
    <w:rsid w:val="00EA6E15"/>
    <w:pPr>
      <w:shd w:val="clear" w:color="auto" w:fill="D9D9D9"/>
      <w:tabs>
        <w:tab w:val="left" w:pos="992"/>
      </w:tabs>
      <w:ind w:left="119" w:right="119"/>
    </w:pPr>
    <w:rPr>
      <w:sz w:val="20"/>
    </w:rPr>
  </w:style>
  <w:style w:type="paragraph" w:customStyle="1" w:styleId="MarginIcons">
    <w:name w:val="Margin Icons"/>
    <w:basedOn w:val="BodyText"/>
    <w:rsid w:val="00EA6E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6E15"/>
    <w:rPr>
      <w:rFonts w:ascii="Courier New" w:hAnsi="Courier New"/>
    </w:rPr>
  </w:style>
  <w:style w:type="paragraph" w:customStyle="1" w:styleId="NoteBullet">
    <w:name w:val="Note Bullet"/>
    <w:basedOn w:val="Note"/>
    <w:rsid w:val="00EA6E15"/>
    <w:pPr>
      <w:tabs>
        <w:tab w:val="clear" w:pos="680"/>
      </w:tabs>
      <w:spacing w:before="60" w:after="60"/>
    </w:pPr>
  </w:style>
  <w:style w:type="paragraph" w:customStyle="1" w:styleId="SubHeading2">
    <w:name w:val="SubHeading2"/>
    <w:basedOn w:val="HeadingBase"/>
    <w:rsid w:val="00EA6E15"/>
    <w:pPr>
      <w:spacing w:before="240" w:after="60"/>
    </w:pPr>
    <w:rPr>
      <w:sz w:val="20"/>
    </w:rPr>
  </w:style>
  <w:style w:type="paragraph" w:customStyle="1" w:styleId="SubHeading1">
    <w:name w:val="SubHeading1"/>
    <w:basedOn w:val="HeadingBase"/>
    <w:rsid w:val="00EA6E15"/>
    <w:pPr>
      <w:spacing w:before="240" w:after="60"/>
    </w:pPr>
    <w:rPr>
      <w:color w:val="918585"/>
      <w:sz w:val="22"/>
    </w:rPr>
  </w:style>
  <w:style w:type="paragraph" w:customStyle="1" w:styleId="SideHeading">
    <w:name w:val="Side Heading"/>
    <w:basedOn w:val="HeadingBase"/>
    <w:rsid w:val="00EA6E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6E15"/>
    <w:pPr>
      <w:numPr>
        <w:numId w:val="13"/>
      </w:numPr>
    </w:pPr>
  </w:style>
  <w:style w:type="paragraph" w:styleId="PlainText">
    <w:name w:val="Plain Text"/>
    <w:basedOn w:val="Normal"/>
    <w:link w:val="PlainTextChar"/>
    <w:rsid w:val="00EA6E15"/>
    <w:rPr>
      <w:sz w:val="20"/>
    </w:rPr>
  </w:style>
  <w:style w:type="character" w:customStyle="1" w:styleId="PlainTextChar">
    <w:name w:val="Plain Text Char"/>
    <w:basedOn w:val="DefaultParagraphFont"/>
    <w:link w:val="PlainText"/>
    <w:rsid w:val="00EA6E15"/>
    <w:rPr>
      <w:rFonts w:ascii="Courier New" w:eastAsia="Times New Roman" w:hAnsi="Courier New" w:cs="Times New Roman"/>
      <w:sz w:val="20"/>
      <w:szCs w:val="20"/>
      <w:lang w:eastAsia="en-US"/>
    </w:rPr>
  </w:style>
  <w:style w:type="character" w:customStyle="1" w:styleId="MenuOption">
    <w:name w:val="Menu Option"/>
    <w:basedOn w:val="DefaultParagraphFont"/>
    <w:rsid w:val="00EA6E15"/>
    <w:rPr>
      <w:b/>
      <w:smallCaps/>
    </w:rPr>
  </w:style>
  <w:style w:type="paragraph" w:customStyle="1" w:styleId="TableListNumber">
    <w:name w:val="Table List Number"/>
    <w:basedOn w:val="ListNumber"/>
    <w:rsid w:val="00EA6E15"/>
    <w:pPr>
      <w:numPr>
        <w:numId w:val="0"/>
      </w:numPr>
    </w:pPr>
  </w:style>
  <w:style w:type="paragraph" w:styleId="TOC4">
    <w:name w:val="toc 4"/>
    <w:basedOn w:val="TOCBase"/>
    <w:next w:val="Normal"/>
    <w:semiHidden/>
    <w:rsid w:val="00EA6E15"/>
    <w:pPr>
      <w:tabs>
        <w:tab w:val="right" w:leader="dot" w:pos="9071"/>
      </w:tabs>
      <w:ind w:left="1701"/>
    </w:pPr>
  </w:style>
  <w:style w:type="paragraph" w:customStyle="1" w:styleId="ListAlpha">
    <w:name w:val="List Alpha"/>
    <w:basedOn w:val="List"/>
    <w:rsid w:val="00EA6E15"/>
    <w:pPr>
      <w:numPr>
        <w:numId w:val="10"/>
      </w:numPr>
    </w:pPr>
  </w:style>
  <w:style w:type="paragraph" w:customStyle="1" w:styleId="ListAlpha2">
    <w:name w:val="List Alpha 2"/>
    <w:basedOn w:val="List2"/>
    <w:rsid w:val="00EA6E15"/>
    <w:pPr>
      <w:numPr>
        <w:numId w:val="9"/>
      </w:numPr>
    </w:pPr>
  </w:style>
  <w:style w:type="paragraph" w:styleId="List2">
    <w:name w:val="List 2"/>
    <w:basedOn w:val="BodyText"/>
    <w:rsid w:val="00EA6E15"/>
    <w:pPr>
      <w:tabs>
        <w:tab w:val="left" w:pos="680"/>
      </w:tabs>
      <w:spacing w:before="60" w:after="60"/>
      <w:ind w:left="680" w:hanging="340"/>
    </w:pPr>
  </w:style>
  <w:style w:type="paragraph" w:styleId="List3">
    <w:name w:val="List 3"/>
    <w:basedOn w:val="BodyText"/>
    <w:rsid w:val="00EA6E15"/>
    <w:pPr>
      <w:tabs>
        <w:tab w:val="left" w:pos="1021"/>
      </w:tabs>
      <w:spacing w:before="60" w:after="60"/>
      <w:ind w:left="1020" w:hanging="340"/>
    </w:pPr>
  </w:style>
  <w:style w:type="paragraph" w:styleId="List4">
    <w:name w:val="List 4"/>
    <w:basedOn w:val="BodyText"/>
    <w:rsid w:val="00EA6E15"/>
    <w:pPr>
      <w:tabs>
        <w:tab w:val="left" w:pos="1361"/>
      </w:tabs>
      <w:spacing w:before="60" w:after="60"/>
      <w:ind w:left="1361" w:hanging="340"/>
    </w:pPr>
  </w:style>
  <w:style w:type="paragraph" w:styleId="List5">
    <w:name w:val="List 5"/>
    <w:basedOn w:val="BodyText"/>
    <w:rsid w:val="00EA6E15"/>
    <w:pPr>
      <w:tabs>
        <w:tab w:val="left" w:pos="1701"/>
      </w:tabs>
      <w:spacing w:before="60" w:after="60"/>
      <w:ind w:left="1701" w:hanging="340"/>
    </w:pPr>
  </w:style>
  <w:style w:type="paragraph" w:styleId="ListBullet4">
    <w:name w:val="List Bullet 4"/>
    <w:basedOn w:val="List4"/>
    <w:rsid w:val="00EA6E15"/>
    <w:pPr>
      <w:numPr>
        <w:numId w:val="4"/>
      </w:numPr>
    </w:pPr>
  </w:style>
  <w:style w:type="paragraph" w:styleId="ListBullet5">
    <w:name w:val="List Bullet 5"/>
    <w:basedOn w:val="List5"/>
    <w:rsid w:val="00EA6E15"/>
    <w:pPr>
      <w:numPr>
        <w:numId w:val="5"/>
      </w:numPr>
    </w:pPr>
  </w:style>
  <w:style w:type="paragraph" w:styleId="ListContinue2">
    <w:name w:val="List Continue 2"/>
    <w:basedOn w:val="List2"/>
    <w:rsid w:val="00EA6E15"/>
    <w:pPr>
      <w:ind w:firstLine="0"/>
    </w:pPr>
  </w:style>
  <w:style w:type="paragraph" w:styleId="ListContinue3">
    <w:name w:val="List Continue 3"/>
    <w:basedOn w:val="List3"/>
    <w:rsid w:val="00EA6E15"/>
    <w:pPr>
      <w:ind w:left="1021" w:firstLine="0"/>
    </w:pPr>
  </w:style>
  <w:style w:type="paragraph" w:styleId="ListContinue4">
    <w:name w:val="List Continue 4"/>
    <w:basedOn w:val="List4"/>
    <w:rsid w:val="00EA6E15"/>
    <w:pPr>
      <w:ind w:firstLine="0"/>
    </w:pPr>
  </w:style>
  <w:style w:type="paragraph" w:styleId="ListContinue5">
    <w:name w:val="List Continue 5"/>
    <w:basedOn w:val="List5"/>
    <w:rsid w:val="00EA6E15"/>
    <w:pPr>
      <w:ind w:firstLine="0"/>
    </w:pPr>
  </w:style>
  <w:style w:type="paragraph" w:styleId="ListNumber3">
    <w:name w:val="List Number 3"/>
    <w:basedOn w:val="List3"/>
    <w:rsid w:val="00EA6E15"/>
    <w:pPr>
      <w:numPr>
        <w:numId w:val="6"/>
      </w:numPr>
    </w:pPr>
  </w:style>
  <w:style w:type="paragraph" w:styleId="ListNumber4">
    <w:name w:val="List Number 4"/>
    <w:basedOn w:val="List4"/>
    <w:rsid w:val="00EA6E15"/>
    <w:pPr>
      <w:numPr>
        <w:numId w:val="7"/>
      </w:numPr>
    </w:pPr>
  </w:style>
  <w:style w:type="paragraph" w:styleId="ListNumber5">
    <w:name w:val="List Number 5"/>
    <w:basedOn w:val="List5"/>
    <w:rsid w:val="00EA6E15"/>
    <w:pPr>
      <w:numPr>
        <w:numId w:val="8"/>
      </w:numPr>
    </w:pPr>
  </w:style>
  <w:style w:type="paragraph" w:styleId="BlockText">
    <w:name w:val="Block Text"/>
    <w:basedOn w:val="Normal"/>
    <w:rsid w:val="00EA6E15"/>
    <w:pPr>
      <w:spacing w:after="120"/>
      <w:ind w:left="1440" w:right="1440"/>
    </w:pPr>
  </w:style>
  <w:style w:type="character" w:customStyle="1" w:styleId="Subscript">
    <w:name w:val="Subscript"/>
    <w:basedOn w:val="DefaultParagraphFont"/>
    <w:rsid w:val="00EA6E15"/>
    <w:rPr>
      <w:sz w:val="16"/>
      <w:vertAlign w:val="subscript"/>
    </w:rPr>
  </w:style>
  <w:style w:type="character" w:customStyle="1" w:styleId="Superscript">
    <w:name w:val="Superscript"/>
    <w:basedOn w:val="DefaultParagraphFont"/>
    <w:rsid w:val="00EA6E15"/>
    <w:rPr>
      <w:sz w:val="16"/>
      <w:vertAlign w:val="superscript"/>
    </w:rPr>
  </w:style>
  <w:style w:type="character" w:customStyle="1" w:styleId="Symbols">
    <w:name w:val="Symbols"/>
    <w:basedOn w:val="DefaultParagraphFont"/>
    <w:rsid w:val="00EA6E15"/>
    <w:rPr>
      <w:rFonts w:ascii="Symbol" w:hAnsi="Symbol"/>
    </w:rPr>
  </w:style>
  <w:style w:type="character" w:customStyle="1" w:styleId="MenuOptions">
    <w:name w:val="Menu Options"/>
    <w:basedOn w:val="DefaultParagraphFont"/>
    <w:rsid w:val="00EA6E15"/>
    <w:rPr>
      <w:rFonts w:ascii="Arial Narrow" w:hAnsi="Arial Narrow"/>
      <w:smallCaps/>
    </w:rPr>
  </w:style>
  <w:style w:type="character" w:customStyle="1" w:styleId="Buttons">
    <w:name w:val="Buttons"/>
    <w:basedOn w:val="DefaultParagraphFont"/>
    <w:rsid w:val="00EA6E15"/>
    <w:rPr>
      <w:b/>
    </w:rPr>
  </w:style>
  <w:style w:type="character" w:customStyle="1" w:styleId="Underlined">
    <w:name w:val="Underlined"/>
    <w:basedOn w:val="DefaultParagraphFont"/>
    <w:rsid w:val="00EA6E15"/>
    <w:rPr>
      <w:u w:val="single"/>
    </w:rPr>
  </w:style>
  <w:style w:type="paragraph" w:customStyle="1" w:styleId="TableBodyTextRight">
    <w:name w:val="Table Body Text Right"/>
    <w:basedOn w:val="TableBodyText"/>
    <w:rsid w:val="00EA6E15"/>
    <w:pPr>
      <w:widowControl w:val="0"/>
      <w:autoSpaceDE w:val="0"/>
      <w:autoSpaceDN w:val="0"/>
      <w:adjustRightInd w:val="0"/>
      <w:jc w:val="right"/>
    </w:pPr>
    <w:rPr>
      <w:rFonts w:cs="Arial"/>
      <w:szCs w:val="18"/>
    </w:rPr>
  </w:style>
  <w:style w:type="paragraph" w:customStyle="1" w:styleId="CopyrightText">
    <w:name w:val="Copyright Text"/>
    <w:basedOn w:val="BodyText"/>
    <w:rsid w:val="00EA6E15"/>
    <w:rPr>
      <w:sz w:val="18"/>
    </w:rPr>
  </w:style>
  <w:style w:type="paragraph" w:customStyle="1" w:styleId="BodySmallRight">
    <w:name w:val="Body Small Right"/>
    <w:basedOn w:val="BodyTextRight"/>
    <w:rsid w:val="00EA6E15"/>
    <w:rPr>
      <w:sz w:val="18"/>
      <w:szCs w:val="18"/>
    </w:rPr>
  </w:style>
  <w:style w:type="paragraph" w:customStyle="1" w:styleId="MarginEdition">
    <w:name w:val="Margin Edition"/>
    <w:basedOn w:val="MarginNote"/>
    <w:rsid w:val="00EA6E15"/>
    <w:pPr>
      <w:spacing w:before="0" w:after="0"/>
    </w:pPr>
    <w:rPr>
      <w:rFonts w:ascii="Times New Roman" w:hAnsi="Times New Roman"/>
      <w:color w:val="999999"/>
    </w:rPr>
  </w:style>
  <w:style w:type="paragraph" w:customStyle="1" w:styleId="Spacer">
    <w:name w:val="Spacer"/>
    <w:basedOn w:val="Normal"/>
    <w:rsid w:val="00EA6E15"/>
    <w:rPr>
      <w:sz w:val="2"/>
      <w:szCs w:val="2"/>
    </w:rPr>
  </w:style>
  <w:style w:type="character" w:customStyle="1" w:styleId="Small">
    <w:name w:val="Small"/>
    <w:basedOn w:val="DefaultParagraphFont"/>
    <w:rsid w:val="00EA6E15"/>
    <w:rPr>
      <w:sz w:val="16"/>
    </w:rPr>
  </w:style>
  <w:style w:type="paragraph" w:customStyle="1" w:styleId="WideTable">
    <w:name w:val="Wide Table"/>
    <w:basedOn w:val="Normal"/>
    <w:rsid w:val="00EA6E15"/>
    <w:pPr>
      <w:ind w:left="-1418"/>
    </w:pPr>
    <w:rPr>
      <w:sz w:val="2"/>
      <w:szCs w:val="2"/>
    </w:rPr>
  </w:style>
  <w:style w:type="character" w:styleId="PageNumber">
    <w:name w:val="page number"/>
    <w:basedOn w:val="DefaultParagraphFont"/>
    <w:rsid w:val="00EA6E15"/>
  </w:style>
  <w:style w:type="paragraph" w:styleId="Quote">
    <w:name w:val="Quote"/>
    <w:basedOn w:val="Heading1"/>
    <w:link w:val="QuoteChar"/>
    <w:qFormat/>
    <w:rsid w:val="00EA6E15"/>
    <w:rPr>
      <w:b w:val="0"/>
      <w:sz w:val="72"/>
      <w:szCs w:val="72"/>
      <w:lang w:val="en-NZ"/>
    </w:rPr>
  </w:style>
  <w:style w:type="character" w:customStyle="1" w:styleId="QuoteChar">
    <w:name w:val="Quote Char"/>
    <w:basedOn w:val="DefaultParagraphFont"/>
    <w:link w:val="Quote"/>
    <w:rsid w:val="00EA6E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6E15"/>
    <w:pPr>
      <w:pageBreakBefore/>
    </w:pPr>
  </w:style>
  <w:style w:type="paragraph" w:customStyle="1" w:styleId="Border">
    <w:name w:val="Border"/>
    <w:basedOn w:val="Normal"/>
    <w:qFormat/>
    <w:rsid w:val="00EA6E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6E15"/>
    <w:rPr>
      <w:b/>
      <w:bCs/>
      <w:i/>
      <w:iCs/>
      <w:color w:val="auto"/>
    </w:rPr>
  </w:style>
  <w:style w:type="paragraph" w:styleId="IntenseQuote">
    <w:name w:val="Intense Quote"/>
    <w:basedOn w:val="Normal"/>
    <w:next w:val="Normal"/>
    <w:link w:val="IntenseQuoteChar"/>
    <w:uiPriority w:val="30"/>
    <w:qFormat/>
    <w:rsid w:val="00EA6E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6E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6E15"/>
    <w:rPr>
      <w:smallCaps/>
      <w:color w:val="auto"/>
      <w:u w:val="single"/>
    </w:rPr>
  </w:style>
  <w:style w:type="character" w:styleId="IntenseReference">
    <w:name w:val="Intense Reference"/>
    <w:basedOn w:val="DefaultParagraphFont"/>
    <w:uiPriority w:val="32"/>
    <w:qFormat/>
    <w:rsid w:val="00EA6E15"/>
    <w:rPr>
      <w:b/>
      <w:bCs/>
      <w:smallCaps/>
      <w:color w:val="auto"/>
      <w:spacing w:val="5"/>
      <w:u w:val="single"/>
    </w:rPr>
  </w:style>
  <w:style w:type="paragraph" w:customStyle="1" w:styleId="2ColumnHeading">
    <w:name w:val="2Column Heading"/>
    <w:basedOn w:val="BodyText"/>
    <w:qFormat/>
    <w:rsid w:val="00EA6E15"/>
    <w:pPr>
      <w:spacing w:after="60"/>
      <w:ind w:left="-2268"/>
    </w:pPr>
    <w:rPr>
      <w:b/>
    </w:rPr>
  </w:style>
  <w:style w:type="paragraph" w:customStyle="1" w:styleId="Heading1TOC">
    <w:name w:val="Heading1 TOC"/>
    <w:basedOn w:val="Normal"/>
    <w:qFormat/>
    <w:rsid w:val="00EA6E15"/>
    <w:pPr>
      <w:spacing w:before="240" w:after="120"/>
    </w:pPr>
    <w:rPr>
      <w:rFonts w:ascii="Times New Roman" w:hAnsi="Times New Roman"/>
      <w:b/>
      <w:sz w:val="32"/>
    </w:rPr>
  </w:style>
  <w:style w:type="paragraph" w:customStyle="1" w:styleId="Heading2TOC">
    <w:name w:val="Heading2 TOC"/>
    <w:basedOn w:val="Normal"/>
    <w:qFormat/>
    <w:rsid w:val="00EA6E15"/>
    <w:pPr>
      <w:spacing w:before="240" w:after="60"/>
    </w:pPr>
    <w:rPr>
      <w:rFonts w:ascii="Times New Roman" w:hAnsi="Times New Roman"/>
      <w:b/>
      <w:sz w:val="28"/>
    </w:rPr>
  </w:style>
  <w:style w:type="character" w:customStyle="1" w:styleId="Underline">
    <w:name w:val="Underline"/>
    <w:basedOn w:val="DefaultParagraphFont"/>
    <w:qFormat/>
    <w:rsid w:val="00EA6E15"/>
    <w:rPr>
      <w:u w:val="single"/>
    </w:rPr>
  </w:style>
  <w:style w:type="paragraph" w:styleId="BalloonText">
    <w:name w:val="Balloon Text"/>
    <w:basedOn w:val="Normal"/>
    <w:link w:val="BalloonTextChar"/>
    <w:rsid w:val="00EA6E15"/>
    <w:rPr>
      <w:rFonts w:ascii="Tahoma" w:hAnsi="Tahoma" w:cs="Tahoma"/>
      <w:sz w:val="16"/>
      <w:szCs w:val="16"/>
    </w:rPr>
  </w:style>
  <w:style w:type="character" w:customStyle="1" w:styleId="BalloonTextChar">
    <w:name w:val="Balloon Text Char"/>
    <w:basedOn w:val="DefaultParagraphFont"/>
    <w:link w:val="BalloonText"/>
    <w:rsid w:val="00EA6E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6E1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6E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6E15"/>
    <w:rPr>
      <w:b/>
      <w:color w:val="660033"/>
      <w:spacing w:val="0"/>
    </w:rPr>
  </w:style>
  <w:style w:type="paragraph" w:customStyle="1" w:styleId="Nameditemlist">
    <w:name w:val="Named item list"/>
    <w:basedOn w:val="BodyText"/>
    <w:qFormat/>
    <w:rsid w:val="00EA6E1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1899</Words>
  <Characters>12294</Characters>
  <Application>Microsoft Office Word</Application>
  <DocSecurity>0</DocSecurity>
  <Lines>441</Lines>
  <Paragraphs>251</Paragraphs>
  <ScaleCrop>false</ScaleCrop>
  <Company>Author-it Software Corporation Ltd.</Company>
  <LinksUpToDate>false</LinksUpToDate>
  <CharactersWithSpaces>14104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CPPACC8008A Contribute to design of accessible built environment and infrastructure</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2012-10-05T15:16:00Z</dcterms:created>
  <dcterms:modified xsi:type="dcterms:W3CDTF">2012-10-05T15:16:00Z</dcterms:modified>
</cp:coreProperties>
</file>