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E767D" w:rsidP="001E767D">
      <w:pPr>
        <w:pStyle w:val="Title"/>
      </w:pPr>
      <w:r>
        <w:fldChar w:fldCharType="begin"/>
      </w:r>
      <w:r>
        <w:instrText xml:space="preserve"> TITLE   \* MERGEFORMAT </w:instrText>
      </w:r>
      <w:r>
        <w:fldChar w:fldCharType="separate"/>
      </w:r>
      <w:r>
        <w:t>CPPACC8003A Provide advice on solutions to access and use issues</w:t>
      </w:r>
      <w:r>
        <w:fldChar w:fldCharType="end"/>
      </w:r>
    </w:p>
    <w:p w:rsidR="001E767D" w:rsidP="001E767D">
      <w:pPr>
        <w:pStyle w:val="Version"/>
        <w:sectPr w:rsidSect="00A566B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566B7" w:rsidP="00A566B7">
      <w:pPr>
        <w:pStyle w:val="SuperHeading"/>
      </w:pPr>
      <w:r w:rsidRPr="00A566B7">
        <w:t>CPPACC8003A Provide advice on solutions to access and use issues</w:t>
      </w:r>
    </w:p>
    <w:p w:rsidR="00000000" w:rsidRPr="00A566B7" w:rsidP="00A566B7">
      <w:pPr>
        <w:pStyle w:val="Heading1"/>
      </w:pPr>
      <w:bookmarkStart w:id="1" w:name="O_453110"/>
      <w:bookmarkEnd w:id="1"/>
      <w:r w:rsidRPr="00A566B7">
        <w:t>Modification History</w:t>
      </w:r>
    </w:p>
    <w:p w:rsidR="00000000" w:rsidRPr="00A566B7" w:rsidP="00A566B7">
      <w:pPr>
        <w:pStyle w:val="BodyText"/>
      </w:pPr>
      <w:r w:rsidRPr="00A566B7">
        <w:t>New unit</w:t>
      </w:r>
    </w:p>
    <w:p w:rsidR="00000000" w:rsidRPr="00A566B7" w:rsidP="00A566B7">
      <w:pPr>
        <w:pStyle w:val="AllowPageBreak"/>
      </w:pPr>
    </w:p>
    <w:p w:rsidR="00000000" w:rsidRPr="00A566B7" w:rsidP="00A566B7">
      <w:pPr>
        <w:pStyle w:val="Heading1"/>
      </w:pPr>
      <w:bookmarkStart w:id="2" w:name="O_453111"/>
      <w:bookmarkEnd w:id="2"/>
      <w:r w:rsidRPr="00A566B7">
        <w:t>Unit Descriptor</w:t>
      </w:r>
    </w:p>
    <w:p w:rsidR="00000000" w:rsidRPr="00A566B7" w:rsidP="00A566B7">
      <w:pPr>
        <w:pStyle w:val="BodyText"/>
      </w:pPr>
      <w:r w:rsidRPr="00A566B7">
        <w:t>This unit of competency specifies the outcomes required to analyse a range of access and functional use issu</w:t>
      </w:r>
      <w:r w:rsidRPr="00A566B7">
        <w:t xml:space="preserve">es, and develop advice on solutions – especially where accessibility compliance requirements conflict with other regulations or no standards exist, or where a customised individual solution is required. </w:t>
      </w:r>
    </w:p>
    <w:p w:rsidR="001E767D" w:rsidP="00A566B7">
      <w:pPr>
        <w:pStyle w:val="BodyText"/>
      </w:pPr>
      <w:r w:rsidRPr="00A566B7">
        <w:t>The unit includes assessing and managing the risk as</w:t>
      </w:r>
      <w:r w:rsidRPr="00A566B7">
        <w:t>sociated with providing advice on access issues.</w:t>
      </w:r>
    </w:p>
    <w:p w:rsidR="001E767D" w:rsidP="00A566B7">
      <w:pPr>
        <w:pStyle w:val="BodyText"/>
      </w:pPr>
    </w:p>
    <w:p w:rsidR="00000000" w:rsidRPr="00A566B7" w:rsidP="00A566B7">
      <w:pPr>
        <w:pStyle w:val="Heading1"/>
      </w:pPr>
      <w:bookmarkStart w:id="3" w:name="O_453112"/>
      <w:bookmarkEnd w:id="3"/>
      <w:r w:rsidRPr="00A566B7">
        <w:t>Application of the Unit</w:t>
      </w:r>
    </w:p>
    <w:p w:rsidR="00000000" w:rsidRPr="00A566B7" w:rsidP="00A566B7">
      <w:pPr>
        <w:pStyle w:val="BodyText"/>
      </w:pPr>
      <w:r w:rsidRPr="00A566B7">
        <w:t>This unit of competency supports access consultants in the role of providing accurate and objective advice on solutions to an array of related professionals, such as</w:t>
      </w:r>
      <w:r w:rsidRPr="00A566B7">
        <w:t xml:space="preserve"> architects, building designers, building surveyors, policy makers, and building owners and developers.</w:t>
      </w:r>
    </w:p>
    <w:p w:rsidR="00000000" w:rsidRPr="00A566B7" w:rsidP="00A566B7">
      <w:pPr>
        <w:pStyle w:val="AllowPageBreak"/>
      </w:pPr>
    </w:p>
    <w:p w:rsidR="00000000" w:rsidRPr="00A566B7" w:rsidP="00A566B7">
      <w:pPr>
        <w:pStyle w:val="Heading1"/>
      </w:pPr>
      <w:bookmarkStart w:id="4" w:name="O_453113"/>
      <w:bookmarkEnd w:id="4"/>
      <w:r w:rsidRPr="00A566B7">
        <w:t>Licensing/Regulatory Information</w:t>
      </w:r>
    </w:p>
    <w:p w:rsidR="00000000" w:rsidRPr="00A566B7" w:rsidP="00A566B7">
      <w:pPr>
        <w:pStyle w:val="BodyText"/>
      </w:pPr>
      <w:r w:rsidRPr="00A566B7">
        <w:t>No licensing, legislative, regulatory or certification requirements apply to this unit at the time of publication.</w:t>
      </w:r>
    </w:p>
    <w:p w:rsidR="00000000" w:rsidRPr="00A566B7" w:rsidP="00A566B7">
      <w:pPr>
        <w:pStyle w:val="AllowPageBreak"/>
      </w:pPr>
    </w:p>
    <w:p w:rsidR="00000000" w:rsidRPr="00A566B7" w:rsidP="00A566B7">
      <w:pPr>
        <w:pStyle w:val="Heading1"/>
      </w:pPr>
      <w:bookmarkStart w:id="5" w:name="O_453114"/>
      <w:bookmarkEnd w:id="5"/>
      <w:r w:rsidRPr="00A566B7">
        <w:t>Pre-Requisites</w:t>
      </w:r>
    </w:p>
    <w:p w:rsidR="00000000" w:rsidRPr="00A566B7" w:rsidP="00A566B7">
      <w:pPr>
        <w:pStyle w:val="BodyText"/>
      </w:pPr>
      <w:r w:rsidRPr="00A566B7">
        <w:t>Not applicable.</w:t>
      </w:r>
    </w:p>
    <w:p w:rsidR="00000000" w:rsidRPr="00A566B7" w:rsidP="00A566B7">
      <w:pPr>
        <w:pStyle w:val="AllowPageBreak"/>
      </w:pPr>
    </w:p>
    <w:p w:rsidR="00000000" w:rsidRPr="00A566B7" w:rsidP="00A566B7">
      <w:pPr>
        <w:pStyle w:val="Heading1"/>
      </w:pPr>
      <w:bookmarkStart w:id="6" w:name="O_453115"/>
      <w:bookmarkEnd w:id="6"/>
      <w:r w:rsidRPr="00A566B7">
        <w:t>Employability Skills Information</w:t>
      </w:r>
    </w:p>
    <w:p w:rsidR="00000000" w:rsidRPr="00A566B7" w:rsidP="00A566B7">
      <w:pPr>
        <w:pStyle w:val="BodyText"/>
      </w:pPr>
      <w:r w:rsidRPr="00A566B7">
        <w:t>This unit contains employability skills.</w:t>
      </w:r>
    </w:p>
    <w:p w:rsidR="00000000" w:rsidRPr="00A566B7" w:rsidP="00A566B7">
      <w:pPr>
        <w:pStyle w:val="AllowPageBreak"/>
      </w:pPr>
    </w:p>
    <w:p w:rsidR="00000000" w:rsidRPr="00A566B7" w:rsidP="00A566B7">
      <w:pPr>
        <w:pStyle w:val="Heading1"/>
      </w:pPr>
      <w:bookmarkStart w:id="7" w:name="O_453116"/>
      <w:bookmarkEnd w:id="7"/>
      <w:r w:rsidRPr="00A566B7">
        <w:t>Elements and Performance Criteria Pre-Content</w:t>
      </w:r>
    </w:p>
    <w:tbl>
      <w:tblPr>
        <w:tblW w:w="0" w:type="auto"/>
        <w:tblLayout w:type="fixed"/>
        <w:tblCellMar>
          <w:left w:w="62" w:type="dxa"/>
          <w:right w:w="62" w:type="dxa"/>
        </w:tblCellMar>
        <w:tblLook w:val="0000"/>
      </w:tblPr>
      <w:tblGrid>
        <w:gridCol w:w="2640"/>
        <w:gridCol w:w="6380"/>
      </w:tblGrid>
      <w:tr w:rsidTr="00A566B7">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A566B7">
            <w:pPr>
              <w:pStyle w:val="BodyText"/>
              <w:rPr>
                <w:lang w:val="en-NZ"/>
              </w:rPr>
            </w:pPr>
            <w:r w:rsidRPr="00A566B7">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A566B7" w:rsidP="00A566B7">
            <w:pPr>
              <w:pStyle w:val="BodyText"/>
            </w:pPr>
            <w:r w:rsidRPr="00A566B7">
              <w:t>Performance criteria describe the performance needed to demonstrate achievement of the element. Where bold italicised text is used, further information is detailed in the required skills and knowledge section and the range statement. Assessment of performa</w:t>
            </w:r>
            <w:r w:rsidRPr="00A566B7">
              <w:t>nce is to be consistent with the evidence guide.</w:t>
            </w:r>
          </w:p>
        </w:tc>
      </w:tr>
    </w:tbl>
    <w:p w:rsidR="00000000" w:rsidRPr="00A566B7" w:rsidP="00A566B7">
      <w:pPr>
        <w:pStyle w:val="BodyText"/>
      </w:pPr>
    </w:p>
    <w:p w:rsidR="00000000" w:rsidRPr="00A566B7" w:rsidP="00A566B7">
      <w:pPr>
        <w:pStyle w:val="AllowPageBreak"/>
      </w:pPr>
    </w:p>
    <w:p w:rsidR="00000000" w:rsidRPr="00A566B7" w:rsidP="00A566B7">
      <w:pPr>
        <w:pStyle w:val="Heading1"/>
      </w:pPr>
      <w:bookmarkStart w:id="8" w:name="O_453117"/>
      <w:bookmarkEnd w:id="8"/>
      <w:r w:rsidRPr="00A566B7">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A566B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A566B7">
            <w:pPr>
              <w:pStyle w:val="BodyText"/>
              <w:rPr>
                <w:lang w:val="en-NZ"/>
              </w:rPr>
            </w:pPr>
            <w:r w:rsidRPr="00A566B7">
              <w:t>1</w:t>
            </w:r>
          </w:p>
        </w:tc>
        <w:tc>
          <w:tcPr>
            <w:tcW w:w="1962" w:type="dxa"/>
            <w:vMerge w:val="restart"/>
            <w:tcBorders>
              <w:top w:val="nil"/>
              <w:left w:val="nil"/>
              <w:bottom w:val="nil"/>
              <w:right w:val="nil"/>
            </w:tcBorders>
            <w:tcMar>
              <w:top w:w="0" w:type="dxa"/>
              <w:left w:w="62" w:type="dxa"/>
              <w:bottom w:w="0" w:type="dxa"/>
              <w:right w:w="62" w:type="dxa"/>
            </w:tcMar>
          </w:tcPr>
          <w:p w:rsidR="00000000" w:rsidP="00A566B7">
            <w:pPr>
              <w:pStyle w:val="BodyText"/>
              <w:rPr>
                <w:lang w:val="en-NZ"/>
              </w:rPr>
            </w:pPr>
            <w:r w:rsidRPr="00A566B7">
              <w:t>Determine and manage scope of advice to be offered and associated risk.</w:t>
            </w:r>
          </w:p>
        </w:tc>
        <w:tc>
          <w:tcPr>
            <w:tcW w:w="770" w:type="dxa"/>
            <w:tcBorders>
              <w:top w:val="nil"/>
              <w:left w:val="nil"/>
              <w:bottom w:val="nil"/>
              <w:right w:val="nil"/>
            </w:tcBorders>
            <w:tcMar>
              <w:top w:w="0" w:type="dxa"/>
              <w:left w:w="62" w:type="dxa"/>
              <w:bottom w:w="0" w:type="dxa"/>
              <w:right w:w="62" w:type="dxa"/>
            </w:tcMar>
          </w:tcPr>
          <w:p w:rsidR="00000000" w:rsidRPr="00A566B7" w:rsidP="00A566B7">
            <w:pPr>
              <w:pStyle w:val="BodyText"/>
            </w:pPr>
            <w:r w:rsidRPr="00A566B7">
              <w:t>1.1</w:t>
            </w:r>
          </w:p>
        </w:tc>
        <w:tc>
          <w:tcPr>
            <w:tcW w:w="5610" w:type="dxa"/>
            <w:tcBorders>
              <w:top w:val="nil"/>
              <w:left w:val="nil"/>
              <w:bottom w:val="nil"/>
              <w:right w:val="nil"/>
            </w:tcBorders>
            <w:tcMar>
              <w:top w:w="0" w:type="dxa"/>
              <w:left w:w="62" w:type="dxa"/>
              <w:bottom w:w="0" w:type="dxa"/>
              <w:right w:w="62" w:type="dxa"/>
            </w:tcMar>
          </w:tcPr>
          <w:p w:rsidR="00000000" w:rsidP="00A566B7">
            <w:pPr>
              <w:pStyle w:val="BodyText"/>
              <w:rPr>
                <w:lang w:val="en-NZ"/>
              </w:rPr>
            </w:pPr>
            <w:r w:rsidRPr="00A566B7">
              <w:rPr>
                <w:rStyle w:val="BoldandItalics"/>
              </w:rPr>
              <w:t>Advice offered by access consultants</w:t>
            </w:r>
            <w:r w:rsidRPr="00A566B7">
              <w:t xml:space="preserve"> with a range of </w:t>
            </w:r>
            <w:r w:rsidRPr="00A566B7">
              <w:rPr>
                <w:rStyle w:val="BoldandItalics"/>
              </w:rPr>
              <w:t>specialist fields</w:t>
            </w:r>
            <w:r w:rsidRPr="00A566B7">
              <w:t xml:space="preserve"> is re</w:t>
            </w:r>
            <w:r w:rsidRPr="00A566B7">
              <w:t>searched and instances of associated litigation are analysed.</w:t>
            </w:r>
          </w:p>
        </w:tc>
      </w:tr>
      <w:tr w:rsidTr="00A566B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566B7">
            <w:pPr>
              <w:pStyle w:val="BodyText"/>
              <w:rPr>
                <w:lang w:val="en-NZ"/>
              </w:rPr>
            </w:pPr>
            <w:r w:rsidRPr="00A566B7">
              <w:t>1.2</w:t>
            </w:r>
          </w:p>
        </w:tc>
        <w:tc>
          <w:tcPr>
            <w:tcW w:w="5610" w:type="dxa"/>
            <w:tcBorders>
              <w:top w:val="nil"/>
              <w:left w:val="nil"/>
              <w:bottom w:val="nil"/>
              <w:right w:val="nil"/>
            </w:tcBorders>
            <w:tcMar>
              <w:top w:w="0" w:type="dxa"/>
              <w:left w:w="62" w:type="dxa"/>
              <w:bottom w:w="0" w:type="dxa"/>
              <w:right w:w="62" w:type="dxa"/>
            </w:tcMar>
          </w:tcPr>
          <w:p w:rsidR="00000000" w:rsidP="00A566B7">
            <w:pPr>
              <w:pStyle w:val="BodyText"/>
              <w:rPr>
                <w:lang w:val="en-NZ"/>
              </w:rPr>
            </w:pPr>
            <w:r w:rsidRPr="00A566B7">
              <w:t xml:space="preserve">Own professional expertise is defined and range of </w:t>
            </w:r>
            <w:r w:rsidRPr="00A566B7">
              <w:rPr>
                <w:rStyle w:val="BoldandItalics"/>
              </w:rPr>
              <w:t>individuals and organisations</w:t>
            </w:r>
            <w:r w:rsidRPr="00A566B7">
              <w:t xml:space="preserve"> that can be offered advice is determined.</w:t>
            </w:r>
          </w:p>
        </w:tc>
      </w:tr>
      <w:tr w:rsidTr="00A566B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566B7">
            <w:pPr>
              <w:pStyle w:val="BodyText"/>
              <w:rPr>
                <w:lang w:val="en-NZ"/>
              </w:rPr>
            </w:pPr>
            <w:r w:rsidRPr="00A566B7">
              <w:t>1.3</w:t>
            </w:r>
          </w:p>
        </w:tc>
        <w:tc>
          <w:tcPr>
            <w:tcW w:w="5610" w:type="dxa"/>
            <w:tcBorders>
              <w:top w:val="nil"/>
              <w:left w:val="nil"/>
              <w:bottom w:val="nil"/>
              <w:right w:val="nil"/>
            </w:tcBorders>
            <w:tcMar>
              <w:top w:w="0" w:type="dxa"/>
              <w:left w:w="62" w:type="dxa"/>
              <w:bottom w:w="0" w:type="dxa"/>
              <w:right w:w="62" w:type="dxa"/>
            </w:tcMar>
          </w:tcPr>
          <w:p w:rsidR="00000000" w:rsidP="00A566B7">
            <w:pPr>
              <w:pStyle w:val="BodyText"/>
              <w:rPr>
                <w:lang w:val="en-NZ"/>
              </w:rPr>
            </w:pPr>
            <w:r w:rsidRPr="00A566B7">
              <w:t xml:space="preserve">Levels of risks associated with giving a range of professional advice are determined, strategies for </w:t>
            </w:r>
            <w:r w:rsidRPr="00A566B7">
              <w:rPr>
                <w:rStyle w:val="BoldandItalics"/>
              </w:rPr>
              <w:t>risk management</w:t>
            </w:r>
            <w:r w:rsidRPr="00A566B7">
              <w:t xml:space="preserve"> developed, and </w:t>
            </w:r>
            <w:r w:rsidRPr="00A566B7">
              <w:rPr>
                <w:rStyle w:val="BoldandItalics"/>
              </w:rPr>
              <w:t>appropriate insurance</w:t>
            </w:r>
            <w:r w:rsidRPr="00A566B7">
              <w:t xml:space="preserve"> is arranged.</w:t>
            </w:r>
          </w:p>
        </w:tc>
      </w:tr>
      <w:tr w:rsidTr="00A566B7">
        <w:tblPrEx>
          <w:tblW w:w="0" w:type="auto"/>
          <w:tblLayout w:type="fixed"/>
          <w:tblCellMar>
            <w:left w:w="62" w:type="dxa"/>
            <w:right w:w="62" w:type="dxa"/>
          </w:tblCellMar>
          <w:tblLook w:val="0000"/>
        </w:tblPrEx>
        <w:trPr>
          <w:trHeight w:val="602"/>
        </w:trPr>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566B7">
            <w:pPr>
              <w:pStyle w:val="BodyText"/>
              <w:rPr>
                <w:lang w:val="en-NZ"/>
              </w:rPr>
            </w:pPr>
            <w:r w:rsidRPr="00A566B7">
              <w:t>1.4</w:t>
            </w:r>
          </w:p>
        </w:tc>
        <w:tc>
          <w:tcPr>
            <w:tcW w:w="5610" w:type="dxa"/>
            <w:tcBorders>
              <w:top w:val="nil"/>
              <w:left w:val="nil"/>
              <w:bottom w:val="nil"/>
              <w:right w:val="nil"/>
            </w:tcBorders>
            <w:tcMar>
              <w:top w:w="0" w:type="dxa"/>
              <w:left w:w="62" w:type="dxa"/>
              <w:bottom w:w="0" w:type="dxa"/>
              <w:right w:w="62" w:type="dxa"/>
            </w:tcMar>
          </w:tcPr>
          <w:p w:rsidR="00000000" w:rsidRPr="00A566B7" w:rsidP="00A566B7">
            <w:pPr>
              <w:pStyle w:val="BodyText"/>
            </w:pPr>
            <w:r w:rsidRPr="00A566B7">
              <w:t>Risks associated with specific requests for advice are analysed and protocols appl</w:t>
            </w:r>
            <w:r w:rsidRPr="00A566B7">
              <w:t>ied or requests declined as appropriate.</w:t>
            </w:r>
          </w:p>
        </w:tc>
      </w:tr>
    </w:tbl>
    <w:p w:rsidR="00000000" w:rsidRPr="00A566B7" w:rsidP="00A566B7">
      <w:pPr>
        <w:pStyle w:val="BodyText"/>
      </w:pPr>
    </w:p>
    <w:tbl>
      <w:tblPr>
        <w:tblW w:w="0" w:type="auto"/>
        <w:tblLayout w:type="fixed"/>
        <w:tblCellMar>
          <w:left w:w="62" w:type="dxa"/>
          <w:right w:w="62" w:type="dxa"/>
        </w:tblCellMar>
        <w:tblLook w:val="0000"/>
      </w:tblPr>
      <w:tblGrid>
        <w:gridCol w:w="678"/>
        <w:gridCol w:w="1962"/>
        <w:gridCol w:w="770"/>
        <w:gridCol w:w="5610"/>
      </w:tblGrid>
      <w:tr w:rsidTr="00A566B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A566B7">
            <w:pPr>
              <w:pStyle w:val="BodyText"/>
              <w:rPr>
                <w:lang w:val="en-NZ"/>
              </w:rPr>
            </w:pPr>
            <w:r w:rsidRPr="00A566B7">
              <w:t>2</w:t>
            </w:r>
          </w:p>
        </w:tc>
        <w:tc>
          <w:tcPr>
            <w:tcW w:w="1962" w:type="dxa"/>
            <w:vMerge w:val="restart"/>
            <w:tcBorders>
              <w:top w:val="nil"/>
              <w:left w:val="nil"/>
              <w:bottom w:val="nil"/>
              <w:right w:val="nil"/>
            </w:tcBorders>
            <w:tcMar>
              <w:top w:w="0" w:type="dxa"/>
              <w:left w:w="62" w:type="dxa"/>
              <w:bottom w:w="0" w:type="dxa"/>
              <w:right w:w="62" w:type="dxa"/>
            </w:tcMar>
          </w:tcPr>
          <w:p w:rsidR="00000000" w:rsidP="00A566B7">
            <w:pPr>
              <w:pStyle w:val="BodyText"/>
              <w:rPr>
                <w:lang w:val="en-NZ"/>
              </w:rPr>
            </w:pPr>
            <w:r w:rsidRPr="00A566B7">
              <w:t>Analyse and report on access and use issues.</w:t>
            </w:r>
          </w:p>
        </w:tc>
        <w:tc>
          <w:tcPr>
            <w:tcW w:w="770" w:type="dxa"/>
            <w:tcBorders>
              <w:top w:val="nil"/>
              <w:left w:val="nil"/>
              <w:bottom w:val="nil"/>
              <w:right w:val="nil"/>
            </w:tcBorders>
            <w:tcMar>
              <w:top w:w="0" w:type="dxa"/>
              <w:left w:w="62" w:type="dxa"/>
              <w:bottom w:w="0" w:type="dxa"/>
              <w:right w:w="62" w:type="dxa"/>
            </w:tcMar>
          </w:tcPr>
          <w:p w:rsidR="00000000" w:rsidP="00A566B7">
            <w:pPr>
              <w:pStyle w:val="BodyText"/>
              <w:rPr>
                <w:lang w:val="en-NZ"/>
              </w:rPr>
            </w:pPr>
            <w:r w:rsidRPr="00A566B7">
              <w:t>2.1</w:t>
            </w:r>
          </w:p>
        </w:tc>
        <w:tc>
          <w:tcPr>
            <w:tcW w:w="5610" w:type="dxa"/>
            <w:tcBorders>
              <w:top w:val="nil"/>
              <w:left w:val="nil"/>
              <w:bottom w:val="nil"/>
              <w:right w:val="nil"/>
            </w:tcBorders>
            <w:tcMar>
              <w:top w:w="0" w:type="dxa"/>
              <w:left w:w="62" w:type="dxa"/>
              <w:bottom w:w="0" w:type="dxa"/>
              <w:right w:w="62" w:type="dxa"/>
            </w:tcMar>
          </w:tcPr>
          <w:p w:rsidR="00000000" w:rsidP="00A566B7">
            <w:pPr>
              <w:pStyle w:val="BodyText"/>
              <w:rPr>
                <w:lang w:val="en-NZ"/>
              </w:rPr>
            </w:pPr>
            <w:r w:rsidRPr="00A566B7">
              <w:t>Documentation relating to access and use issues is reviewed and broad outline of issues is defined in consultation with clients.</w:t>
            </w:r>
          </w:p>
        </w:tc>
      </w:tr>
      <w:tr w:rsidTr="00A566B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566B7">
            <w:pPr>
              <w:pStyle w:val="BodyText"/>
              <w:rPr>
                <w:lang w:val="en-NZ"/>
              </w:rPr>
            </w:pPr>
            <w:r w:rsidRPr="00A566B7">
              <w:t>2.2</w:t>
            </w:r>
          </w:p>
        </w:tc>
        <w:tc>
          <w:tcPr>
            <w:tcW w:w="5610" w:type="dxa"/>
            <w:tcBorders>
              <w:top w:val="nil"/>
              <w:left w:val="nil"/>
              <w:bottom w:val="nil"/>
              <w:right w:val="nil"/>
            </w:tcBorders>
            <w:tcMar>
              <w:top w:w="0" w:type="dxa"/>
              <w:left w:w="62" w:type="dxa"/>
              <w:bottom w:w="0" w:type="dxa"/>
              <w:right w:w="62" w:type="dxa"/>
            </w:tcMar>
          </w:tcPr>
          <w:p w:rsidR="00000000" w:rsidP="00A566B7">
            <w:pPr>
              <w:pStyle w:val="BodyText"/>
              <w:rPr>
                <w:lang w:val="en-NZ"/>
              </w:rPr>
            </w:pPr>
            <w:r w:rsidRPr="00A566B7">
              <w:t>Timeframes, scope of work, service levels and fees for advice are negotiated in consultation with clients.</w:t>
            </w:r>
          </w:p>
        </w:tc>
      </w:tr>
      <w:tr w:rsidTr="00A566B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566B7">
            <w:pPr>
              <w:pStyle w:val="BodyText"/>
              <w:rPr>
                <w:lang w:val="en-NZ"/>
              </w:rPr>
            </w:pPr>
            <w:r w:rsidRPr="00A566B7">
              <w:t>2.3</w:t>
            </w:r>
          </w:p>
        </w:tc>
        <w:tc>
          <w:tcPr>
            <w:tcW w:w="5610" w:type="dxa"/>
            <w:tcBorders>
              <w:top w:val="nil"/>
              <w:left w:val="nil"/>
              <w:bottom w:val="nil"/>
              <w:right w:val="nil"/>
            </w:tcBorders>
            <w:tcMar>
              <w:top w:w="0" w:type="dxa"/>
              <w:left w:w="62" w:type="dxa"/>
              <w:bottom w:w="0" w:type="dxa"/>
              <w:right w:w="62" w:type="dxa"/>
            </w:tcMar>
          </w:tcPr>
          <w:p w:rsidR="00000000" w:rsidP="00A566B7">
            <w:pPr>
              <w:pStyle w:val="BodyText"/>
              <w:rPr>
                <w:lang w:val="en-NZ"/>
              </w:rPr>
            </w:pPr>
            <w:r w:rsidRPr="00A566B7">
              <w:t>Other parties involved in or affected by access and use issues are identified and consulted as required.</w:t>
            </w:r>
          </w:p>
        </w:tc>
      </w:tr>
      <w:tr w:rsidTr="00A566B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566B7">
            <w:pPr>
              <w:pStyle w:val="BodyText"/>
              <w:rPr>
                <w:lang w:val="en-NZ"/>
              </w:rPr>
            </w:pPr>
            <w:r w:rsidRPr="00A566B7">
              <w:t>2.4</w:t>
            </w:r>
          </w:p>
        </w:tc>
        <w:tc>
          <w:tcPr>
            <w:tcW w:w="5610" w:type="dxa"/>
            <w:tcBorders>
              <w:top w:val="nil"/>
              <w:left w:val="nil"/>
              <w:bottom w:val="nil"/>
              <w:right w:val="nil"/>
            </w:tcBorders>
            <w:tcMar>
              <w:top w:w="0" w:type="dxa"/>
              <w:left w:w="62" w:type="dxa"/>
              <w:bottom w:w="0" w:type="dxa"/>
              <w:right w:w="62" w:type="dxa"/>
            </w:tcMar>
          </w:tcPr>
          <w:p w:rsidR="00000000" w:rsidP="00A566B7">
            <w:pPr>
              <w:pStyle w:val="BodyText"/>
              <w:rPr>
                <w:lang w:val="en-NZ"/>
              </w:rPr>
            </w:pPr>
            <w:r w:rsidRPr="00A566B7">
              <w:t xml:space="preserve">Detailed compliance requirements relating to access and use issues are interpreted from applicable </w:t>
            </w:r>
            <w:r w:rsidRPr="00A566B7">
              <w:rPr>
                <w:rStyle w:val="BoldandItalics"/>
              </w:rPr>
              <w:t>legislation, codes, standards</w:t>
            </w:r>
            <w:r w:rsidRPr="00A566B7">
              <w:t xml:space="preserve"> and premises owner or developer specifications.</w:t>
            </w:r>
          </w:p>
        </w:tc>
      </w:tr>
      <w:tr w:rsidTr="00A566B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566B7">
            <w:pPr>
              <w:pStyle w:val="BodyText"/>
              <w:rPr>
                <w:lang w:val="en-NZ"/>
              </w:rPr>
            </w:pPr>
            <w:r w:rsidRPr="00A566B7">
              <w:t>2.5</w:t>
            </w:r>
          </w:p>
        </w:tc>
        <w:tc>
          <w:tcPr>
            <w:tcW w:w="5610" w:type="dxa"/>
            <w:tcBorders>
              <w:top w:val="nil"/>
              <w:left w:val="nil"/>
              <w:bottom w:val="nil"/>
              <w:right w:val="nil"/>
            </w:tcBorders>
            <w:tcMar>
              <w:top w:w="0" w:type="dxa"/>
              <w:left w:w="62" w:type="dxa"/>
              <w:bottom w:w="0" w:type="dxa"/>
              <w:right w:w="62" w:type="dxa"/>
            </w:tcMar>
          </w:tcPr>
          <w:p w:rsidR="00000000" w:rsidP="00A566B7">
            <w:pPr>
              <w:pStyle w:val="BodyText"/>
              <w:rPr>
                <w:lang w:val="en-NZ"/>
              </w:rPr>
            </w:pPr>
            <w:r w:rsidRPr="00A566B7">
              <w:t>Gaps in, and conflicts and interactions between, applicable compliance r</w:t>
            </w:r>
            <w:r w:rsidRPr="00A566B7">
              <w:t>equirements are analysed and interpretations are considered and noted.</w:t>
            </w:r>
          </w:p>
        </w:tc>
      </w:tr>
      <w:tr w:rsidTr="00A566B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566B7">
            <w:pPr>
              <w:pStyle w:val="BodyText"/>
              <w:rPr>
                <w:lang w:val="en-NZ"/>
              </w:rPr>
            </w:pPr>
            <w:r w:rsidRPr="00A566B7">
              <w:t>2.6</w:t>
            </w:r>
          </w:p>
        </w:tc>
        <w:tc>
          <w:tcPr>
            <w:tcW w:w="5610" w:type="dxa"/>
            <w:tcBorders>
              <w:top w:val="nil"/>
              <w:left w:val="nil"/>
              <w:bottom w:val="nil"/>
              <w:right w:val="nil"/>
            </w:tcBorders>
            <w:tcMar>
              <w:top w:w="0" w:type="dxa"/>
              <w:left w:w="62" w:type="dxa"/>
              <w:bottom w:w="0" w:type="dxa"/>
              <w:right w:w="62" w:type="dxa"/>
            </w:tcMar>
          </w:tcPr>
          <w:p w:rsidR="00000000" w:rsidP="00A566B7">
            <w:pPr>
              <w:pStyle w:val="BodyText"/>
              <w:rPr>
                <w:lang w:val="en-NZ"/>
              </w:rPr>
            </w:pPr>
            <w:r w:rsidRPr="00A566B7">
              <w:t>Professional network is consulted to inform technically accurate interpretations of requirements as necessary.</w:t>
            </w:r>
          </w:p>
        </w:tc>
      </w:tr>
      <w:tr w:rsidTr="00A566B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566B7">
            <w:pPr>
              <w:pStyle w:val="BodyText"/>
              <w:rPr>
                <w:lang w:val="en-NZ"/>
              </w:rPr>
            </w:pPr>
            <w:r w:rsidRPr="00A566B7">
              <w:t>2.7</w:t>
            </w:r>
          </w:p>
        </w:tc>
        <w:tc>
          <w:tcPr>
            <w:tcW w:w="5610" w:type="dxa"/>
            <w:tcBorders>
              <w:top w:val="nil"/>
              <w:left w:val="nil"/>
              <w:bottom w:val="nil"/>
              <w:right w:val="nil"/>
            </w:tcBorders>
            <w:tcMar>
              <w:top w:w="0" w:type="dxa"/>
              <w:left w:w="62" w:type="dxa"/>
              <w:bottom w:w="0" w:type="dxa"/>
              <w:right w:w="62" w:type="dxa"/>
            </w:tcMar>
          </w:tcPr>
          <w:p w:rsidR="00000000" w:rsidRPr="00A566B7" w:rsidP="00A566B7">
            <w:pPr>
              <w:pStyle w:val="BodyText"/>
            </w:pPr>
            <w:r w:rsidRPr="00A566B7">
              <w:t>Detailed analyses of access and use issues are communicated to clients in agreed format and queries are addressed.</w:t>
            </w:r>
          </w:p>
        </w:tc>
      </w:tr>
    </w:tbl>
    <w:p w:rsidR="00000000" w:rsidRPr="00A566B7" w:rsidP="00A566B7">
      <w:pPr>
        <w:pStyle w:val="BodyText"/>
      </w:pPr>
    </w:p>
    <w:tbl>
      <w:tblPr>
        <w:tblW w:w="0" w:type="auto"/>
        <w:tblLayout w:type="fixed"/>
        <w:tblCellMar>
          <w:left w:w="62" w:type="dxa"/>
          <w:right w:w="62" w:type="dxa"/>
        </w:tblCellMar>
        <w:tblLook w:val="0000"/>
      </w:tblPr>
      <w:tblGrid>
        <w:gridCol w:w="678"/>
        <w:gridCol w:w="1962"/>
        <w:gridCol w:w="770"/>
        <w:gridCol w:w="5610"/>
      </w:tblGrid>
      <w:tr w:rsidTr="00A566B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A566B7">
            <w:pPr>
              <w:pStyle w:val="BodyText"/>
              <w:rPr>
                <w:lang w:val="en-NZ"/>
              </w:rPr>
            </w:pPr>
            <w:r w:rsidRPr="00A566B7">
              <w:t>3</w:t>
            </w:r>
          </w:p>
        </w:tc>
        <w:tc>
          <w:tcPr>
            <w:tcW w:w="1962" w:type="dxa"/>
            <w:vMerge w:val="restart"/>
            <w:tcBorders>
              <w:top w:val="nil"/>
              <w:left w:val="nil"/>
              <w:bottom w:val="nil"/>
              <w:right w:val="nil"/>
            </w:tcBorders>
            <w:tcMar>
              <w:top w:w="0" w:type="dxa"/>
              <w:left w:w="62" w:type="dxa"/>
              <w:bottom w:w="0" w:type="dxa"/>
              <w:right w:w="62" w:type="dxa"/>
            </w:tcMar>
          </w:tcPr>
          <w:p w:rsidR="00000000" w:rsidP="00A566B7">
            <w:pPr>
              <w:pStyle w:val="BodyText"/>
              <w:rPr>
                <w:lang w:val="en-NZ"/>
              </w:rPr>
            </w:pPr>
            <w:r w:rsidRPr="00A566B7">
              <w:t>Develop solutions to access and use issues.</w:t>
            </w:r>
          </w:p>
        </w:tc>
        <w:tc>
          <w:tcPr>
            <w:tcW w:w="770" w:type="dxa"/>
            <w:tcBorders>
              <w:top w:val="nil"/>
              <w:left w:val="nil"/>
              <w:bottom w:val="nil"/>
              <w:right w:val="nil"/>
            </w:tcBorders>
            <w:tcMar>
              <w:top w:w="0" w:type="dxa"/>
              <w:left w:w="62" w:type="dxa"/>
              <w:bottom w:w="0" w:type="dxa"/>
              <w:right w:w="62" w:type="dxa"/>
            </w:tcMar>
          </w:tcPr>
          <w:p w:rsidR="00000000" w:rsidP="00A566B7">
            <w:pPr>
              <w:pStyle w:val="BodyText"/>
              <w:rPr>
                <w:lang w:val="en-NZ"/>
              </w:rPr>
            </w:pPr>
            <w:r w:rsidRPr="00A566B7">
              <w:t>3.1</w:t>
            </w:r>
          </w:p>
        </w:tc>
        <w:tc>
          <w:tcPr>
            <w:tcW w:w="5610" w:type="dxa"/>
            <w:tcBorders>
              <w:top w:val="nil"/>
              <w:left w:val="nil"/>
              <w:bottom w:val="nil"/>
              <w:right w:val="nil"/>
            </w:tcBorders>
            <w:tcMar>
              <w:top w:w="0" w:type="dxa"/>
              <w:left w:w="62" w:type="dxa"/>
              <w:bottom w:w="0" w:type="dxa"/>
              <w:right w:w="62" w:type="dxa"/>
            </w:tcMar>
          </w:tcPr>
          <w:p w:rsidR="00000000" w:rsidP="00A566B7">
            <w:pPr>
              <w:pStyle w:val="BodyText"/>
              <w:rPr>
                <w:lang w:val="en-NZ"/>
              </w:rPr>
            </w:pPr>
            <w:r w:rsidRPr="00A566B7">
              <w:t>Existing best practice solutions to comparable access and use issues are reviewed and opt</w:t>
            </w:r>
            <w:r w:rsidRPr="00A566B7">
              <w:t>ions selected for possible application to issue at hand.</w:t>
            </w:r>
          </w:p>
        </w:tc>
      </w:tr>
      <w:tr w:rsidTr="00A566B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566B7">
            <w:pPr>
              <w:pStyle w:val="BodyText"/>
              <w:rPr>
                <w:lang w:val="en-NZ"/>
              </w:rPr>
            </w:pPr>
            <w:r w:rsidRPr="00A566B7">
              <w:t>3.2</w:t>
            </w:r>
          </w:p>
        </w:tc>
        <w:tc>
          <w:tcPr>
            <w:tcW w:w="5610" w:type="dxa"/>
            <w:tcBorders>
              <w:top w:val="nil"/>
              <w:left w:val="nil"/>
              <w:bottom w:val="nil"/>
              <w:right w:val="nil"/>
            </w:tcBorders>
            <w:tcMar>
              <w:top w:w="0" w:type="dxa"/>
              <w:left w:w="62" w:type="dxa"/>
              <w:bottom w:w="0" w:type="dxa"/>
              <w:right w:w="62" w:type="dxa"/>
            </w:tcMar>
          </w:tcPr>
          <w:p w:rsidR="00000000" w:rsidP="00A566B7">
            <w:pPr>
              <w:pStyle w:val="BodyText"/>
              <w:rPr>
                <w:lang w:val="en-NZ"/>
              </w:rPr>
            </w:pPr>
            <w:r w:rsidRPr="00A566B7">
              <w:t>New ideas for National Construction Code (NCC)-compliant alternative solutions to access and use issues are developed, and costs and practicalities of implementation are explored.</w:t>
            </w:r>
          </w:p>
        </w:tc>
      </w:tr>
      <w:tr w:rsidTr="00A566B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566B7">
            <w:pPr>
              <w:pStyle w:val="BodyText"/>
              <w:rPr>
                <w:lang w:val="en-NZ"/>
              </w:rPr>
            </w:pPr>
            <w:r w:rsidRPr="00A566B7">
              <w:t>3.3</w:t>
            </w:r>
          </w:p>
        </w:tc>
        <w:tc>
          <w:tcPr>
            <w:tcW w:w="5610" w:type="dxa"/>
            <w:tcBorders>
              <w:top w:val="nil"/>
              <w:left w:val="nil"/>
              <w:bottom w:val="nil"/>
              <w:right w:val="nil"/>
            </w:tcBorders>
            <w:tcMar>
              <w:top w:w="0" w:type="dxa"/>
              <w:left w:w="62" w:type="dxa"/>
              <w:bottom w:w="0" w:type="dxa"/>
              <w:right w:w="62" w:type="dxa"/>
            </w:tcMar>
          </w:tcPr>
          <w:p w:rsidR="00000000" w:rsidP="00A566B7">
            <w:pPr>
              <w:pStyle w:val="BodyText"/>
              <w:rPr>
                <w:lang w:val="en-NZ"/>
              </w:rPr>
            </w:pPr>
            <w:r w:rsidRPr="00A566B7">
              <w:t>Management plans are developed to support alternative solutions, as required.</w:t>
            </w:r>
          </w:p>
        </w:tc>
      </w:tr>
      <w:tr w:rsidTr="00A566B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566B7">
            <w:pPr>
              <w:pStyle w:val="BodyText"/>
              <w:rPr>
                <w:lang w:val="en-NZ"/>
              </w:rPr>
            </w:pPr>
            <w:r w:rsidRPr="00A566B7">
              <w:t>3.4</w:t>
            </w:r>
          </w:p>
        </w:tc>
        <w:tc>
          <w:tcPr>
            <w:tcW w:w="5610" w:type="dxa"/>
            <w:tcBorders>
              <w:top w:val="nil"/>
              <w:left w:val="nil"/>
              <w:bottom w:val="nil"/>
              <w:right w:val="nil"/>
            </w:tcBorders>
            <w:tcMar>
              <w:top w:w="0" w:type="dxa"/>
              <w:left w:w="62" w:type="dxa"/>
              <w:bottom w:w="0" w:type="dxa"/>
              <w:right w:w="62" w:type="dxa"/>
            </w:tcMar>
          </w:tcPr>
          <w:p w:rsidR="00000000" w:rsidP="00A566B7">
            <w:pPr>
              <w:pStyle w:val="BodyText"/>
              <w:rPr>
                <w:lang w:val="en-NZ"/>
              </w:rPr>
            </w:pPr>
            <w:r w:rsidRPr="00A566B7">
              <w:t>Outline of solutions that could resolve access and use compliance issues is prepared and communicated to clients in appropriate format.</w:t>
            </w:r>
          </w:p>
        </w:tc>
      </w:tr>
      <w:tr w:rsidTr="00A566B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566B7">
            <w:pPr>
              <w:pStyle w:val="BodyText"/>
              <w:rPr>
                <w:lang w:val="en-NZ"/>
              </w:rPr>
            </w:pPr>
            <w:r w:rsidRPr="00A566B7">
              <w:t>3.5</w:t>
            </w:r>
          </w:p>
        </w:tc>
        <w:tc>
          <w:tcPr>
            <w:tcW w:w="5610" w:type="dxa"/>
            <w:tcBorders>
              <w:top w:val="nil"/>
              <w:left w:val="nil"/>
              <w:bottom w:val="nil"/>
              <w:right w:val="nil"/>
            </w:tcBorders>
            <w:tcMar>
              <w:top w:w="0" w:type="dxa"/>
              <w:left w:w="62" w:type="dxa"/>
              <w:bottom w:w="0" w:type="dxa"/>
              <w:right w:w="62" w:type="dxa"/>
            </w:tcMar>
          </w:tcPr>
          <w:p w:rsidR="00000000" w:rsidP="00A566B7">
            <w:pPr>
              <w:pStyle w:val="BodyText"/>
              <w:rPr>
                <w:lang w:val="en-NZ"/>
              </w:rPr>
            </w:pPr>
            <w:r w:rsidRPr="00A566B7">
              <w:t>Consultation with parties in</w:t>
            </w:r>
            <w:r w:rsidRPr="00A566B7">
              <w:t>volved in access and use issues is undertaken on behalf of the client, as requested, to negotiate acceptable solutions.</w:t>
            </w:r>
          </w:p>
        </w:tc>
      </w:tr>
      <w:tr w:rsidTr="00A566B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566B7">
            <w:pPr>
              <w:pStyle w:val="BodyText"/>
              <w:rPr>
                <w:lang w:val="en-NZ"/>
              </w:rPr>
            </w:pPr>
            <w:r w:rsidRPr="00A566B7">
              <w:t>3.6</w:t>
            </w:r>
          </w:p>
        </w:tc>
        <w:tc>
          <w:tcPr>
            <w:tcW w:w="5610" w:type="dxa"/>
            <w:tcBorders>
              <w:top w:val="nil"/>
              <w:left w:val="nil"/>
              <w:bottom w:val="nil"/>
              <w:right w:val="nil"/>
            </w:tcBorders>
            <w:tcMar>
              <w:top w:w="0" w:type="dxa"/>
              <w:left w:w="62" w:type="dxa"/>
              <w:bottom w:w="0" w:type="dxa"/>
              <w:right w:w="62" w:type="dxa"/>
            </w:tcMar>
          </w:tcPr>
          <w:p w:rsidR="00000000" w:rsidP="00A566B7">
            <w:pPr>
              <w:pStyle w:val="BodyText"/>
              <w:rPr>
                <w:lang w:val="en-NZ"/>
              </w:rPr>
            </w:pPr>
            <w:r w:rsidRPr="00A566B7">
              <w:t>Impact of different solutions is discussed with clients and best solution is selected.</w:t>
            </w:r>
          </w:p>
        </w:tc>
      </w:tr>
      <w:tr w:rsidTr="00A566B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566B7">
            <w:pPr>
              <w:pStyle w:val="BodyText"/>
              <w:rPr>
                <w:lang w:val="en-NZ"/>
              </w:rPr>
            </w:pPr>
            <w:r w:rsidRPr="00A566B7">
              <w:t>3.7</w:t>
            </w:r>
          </w:p>
        </w:tc>
        <w:tc>
          <w:tcPr>
            <w:tcW w:w="5610" w:type="dxa"/>
            <w:tcBorders>
              <w:top w:val="nil"/>
              <w:left w:val="nil"/>
              <w:bottom w:val="nil"/>
              <w:right w:val="nil"/>
            </w:tcBorders>
            <w:tcMar>
              <w:top w:w="0" w:type="dxa"/>
              <w:left w:w="62" w:type="dxa"/>
              <w:bottom w:w="0" w:type="dxa"/>
              <w:right w:w="62" w:type="dxa"/>
            </w:tcMar>
          </w:tcPr>
          <w:p w:rsidR="00000000" w:rsidRPr="00A566B7" w:rsidP="00A566B7">
            <w:pPr>
              <w:pStyle w:val="BodyText"/>
            </w:pPr>
            <w:r w:rsidRPr="00A566B7">
              <w:t xml:space="preserve">Conflicts between statutory compliance requirements are analysed and expert opinion is provided to resolve issues. </w:t>
            </w:r>
          </w:p>
        </w:tc>
      </w:tr>
    </w:tbl>
    <w:p w:rsidR="00000000" w:rsidRPr="00A566B7" w:rsidP="00A566B7">
      <w:pPr>
        <w:pStyle w:val="BodyText"/>
      </w:pPr>
    </w:p>
    <w:tbl>
      <w:tblPr>
        <w:tblW w:w="0" w:type="auto"/>
        <w:tblLayout w:type="fixed"/>
        <w:tblCellMar>
          <w:left w:w="62" w:type="dxa"/>
          <w:right w:w="62" w:type="dxa"/>
        </w:tblCellMar>
        <w:tblLook w:val="0000"/>
      </w:tblPr>
      <w:tblGrid>
        <w:gridCol w:w="678"/>
        <w:gridCol w:w="1962"/>
        <w:gridCol w:w="770"/>
        <w:gridCol w:w="5610"/>
      </w:tblGrid>
      <w:tr w:rsidTr="00A566B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A566B7">
            <w:pPr>
              <w:pStyle w:val="BodyText"/>
              <w:rPr>
                <w:lang w:val="en-NZ"/>
              </w:rPr>
            </w:pPr>
            <w:r w:rsidRPr="00A566B7">
              <w:t>4</w:t>
            </w:r>
          </w:p>
        </w:tc>
        <w:tc>
          <w:tcPr>
            <w:tcW w:w="1962" w:type="dxa"/>
            <w:vMerge w:val="restart"/>
            <w:tcBorders>
              <w:top w:val="nil"/>
              <w:left w:val="nil"/>
              <w:bottom w:val="nil"/>
              <w:right w:val="nil"/>
            </w:tcBorders>
            <w:tcMar>
              <w:top w:w="0" w:type="dxa"/>
              <w:left w:w="62" w:type="dxa"/>
              <w:bottom w:w="0" w:type="dxa"/>
              <w:right w:w="62" w:type="dxa"/>
            </w:tcMar>
          </w:tcPr>
          <w:p w:rsidR="00000000" w:rsidP="00A566B7">
            <w:pPr>
              <w:pStyle w:val="BodyText"/>
              <w:rPr>
                <w:lang w:val="en-NZ"/>
              </w:rPr>
            </w:pPr>
            <w:r w:rsidRPr="00A566B7">
              <w:t>Formalise advice on access and use issues.</w:t>
            </w:r>
          </w:p>
        </w:tc>
        <w:tc>
          <w:tcPr>
            <w:tcW w:w="770" w:type="dxa"/>
            <w:tcBorders>
              <w:top w:val="nil"/>
              <w:left w:val="nil"/>
              <w:bottom w:val="nil"/>
              <w:right w:val="nil"/>
            </w:tcBorders>
            <w:tcMar>
              <w:top w:w="0" w:type="dxa"/>
              <w:left w:w="62" w:type="dxa"/>
              <w:bottom w:w="0" w:type="dxa"/>
              <w:right w:w="62" w:type="dxa"/>
            </w:tcMar>
          </w:tcPr>
          <w:p w:rsidR="00000000" w:rsidP="00A566B7">
            <w:pPr>
              <w:pStyle w:val="BodyText"/>
              <w:rPr>
                <w:lang w:val="en-NZ"/>
              </w:rPr>
            </w:pPr>
            <w:r w:rsidRPr="00A566B7">
              <w:t>4.1</w:t>
            </w:r>
          </w:p>
        </w:tc>
        <w:tc>
          <w:tcPr>
            <w:tcW w:w="5610" w:type="dxa"/>
            <w:tcBorders>
              <w:top w:val="nil"/>
              <w:left w:val="nil"/>
              <w:bottom w:val="nil"/>
              <w:right w:val="nil"/>
            </w:tcBorders>
            <w:tcMar>
              <w:top w:w="0" w:type="dxa"/>
              <w:left w:w="62" w:type="dxa"/>
              <w:bottom w:w="0" w:type="dxa"/>
              <w:right w:w="62" w:type="dxa"/>
            </w:tcMar>
          </w:tcPr>
          <w:p w:rsidR="00000000" w:rsidP="00A566B7">
            <w:pPr>
              <w:pStyle w:val="BodyText"/>
              <w:rPr>
                <w:lang w:val="en-NZ"/>
              </w:rPr>
            </w:pPr>
            <w:r w:rsidRPr="00A566B7">
              <w:t xml:space="preserve">Report is prepared on scope and implications of access and use issues, with reference to </w:t>
            </w:r>
            <w:r w:rsidRPr="00A566B7">
              <w:t>access and use principles and technical and compliance requirements.</w:t>
            </w:r>
          </w:p>
        </w:tc>
      </w:tr>
      <w:tr w:rsidTr="00A566B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566B7">
            <w:pPr>
              <w:pStyle w:val="BodyText"/>
              <w:rPr>
                <w:lang w:val="en-NZ"/>
              </w:rPr>
            </w:pPr>
            <w:r w:rsidRPr="00A566B7">
              <w:t>4.2</w:t>
            </w:r>
          </w:p>
        </w:tc>
        <w:tc>
          <w:tcPr>
            <w:tcW w:w="5610" w:type="dxa"/>
            <w:tcBorders>
              <w:top w:val="nil"/>
              <w:left w:val="nil"/>
              <w:bottom w:val="nil"/>
              <w:right w:val="nil"/>
            </w:tcBorders>
            <w:tcMar>
              <w:top w:w="0" w:type="dxa"/>
              <w:left w:w="62" w:type="dxa"/>
              <w:bottom w:w="0" w:type="dxa"/>
              <w:right w:w="62" w:type="dxa"/>
            </w:tcMar>
          </w:tcPr>
          <w:p w:rsidR="00000000" w:rsidP="00A566B7">
            <w:pPr>
              <w:pStyle w:val="BodyText"/>
              <w:rPr>
                <w:lang w:val="en-NZ"/>
              </w:rPr>
            </w:pPr>
            <w:r w:rsidRPr="00A566B7">
              <w:t>Strengths and weaknesses of options considered for resolving access and use issues are recorded and rationale for selection of solution is explained.</w:t>
            </w:r>
          </w:p>
        </w:tc>
      </w:tr>
      <w:tr w:rsidTr="00A566B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566B7">
            <w:pPr>
              <w:pStyle w:val="BodyText"/>
              <w:rPr>
                <w:lang w:val="en-NZ"/>
              </w:rPr>
            </w:pPr>
            <w:r w:rsidRPr="00A566B7">
              <w:t>4.3</w:t>
            </w:r>
          </w:p>
        </w:tc>
        <w:tc>
          <w:tcPr>
            <w:tcW w:w="5610" w:type="dxa"/>
            <w:tcBorders>
              <w:top w:val="nil"/>
              <w:left w:val="nil"/>
              <w:bottom w:val="nil"/>
              <w:right w:val="nil"/>
            </w:tcBorders>
            <w:tcMar>
              <w:top w:w="0" w:type="dxa"/>
              <w:left w:w="62" w:type="dxa"/>
              <w:bottom w:w="0" w:type="dxa"/>
              <w:right w:w="62" w:type="dxa"/>
            </w:tcMar>
          </w:tcPr>
          <w:p w:rsidR="00000000" w:rsidP="00A566B7">
            <w:pPr>
              <w:pStyle w:val="BodyText"/>
              <w:rPr>
                <w:lang w:val="en-NZ"/>
              </w:rPr>
            </w:pPr>
            <w:r w:rsidRPr="00A566B7">
              <w:t>Specifications for selected solution are prepared in consultation with other relevant technical professionals, as required.</w:t>
            </w:r>
          </w:p>
        </w:tc>
      </w:tr>
      <w:tr w:rsidTr="00A566B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566B7">
            <w:pPr>
              <w:pStyle w:val="BodyText"/>
              <w:rPr>
                <w:lang w:val="en-NZ"/>
              </w:rPr>
            </w:pPr>
            <w:r w:rsidRPr="00A566B7">
              <w:t>4.4</w:t>
            </w:r>
          </w:p>
        </w:tc>
        <w:tc>
          <w:tcPr>
            <w:tcW w:w="5610" w:type="dxa"/>
            <w:tcBorders>
              <w:top w:val="nil"/>
              <w:left w:val="nil"/>
              <w:bottom w:val="nil"/>
              <w:right w:val="nil"/>
            </w:tcBorders>
            <w:tcMar>
              <w:top w:w="0" w:type="dxa"/>
              <w:left w:w="62" w:type="dxa"/>
              <w:bottom w:w="0" w:type="dxa"/>
              <w:right w:w="62" w:type="dxa"/>
            </w:tcMar>
          </w:tcPr>
          <w:p w:rsidR="00000000" w:rsidP="00A566B7">
            <w:pPr>
              <w:pStyle w:val="BodyText"/>
              <w:rPr>
                <w:lang w:val="en-NZ"/>
              </w:rPr>
            </w:pPr>
            <w:r w:rsidRPr="00A566B7">
              <w:t>Risks and liabilities associated with implementing or not implementing solutions to access and use issues are clearly defined</w:t>
            </w:r>
            <w:r w:rsidRPr="00A566B7">
              <w:t>.</w:t>
            </w:r>
          </w:p>
        </w:tc>
      </w:tr>
      <w:tr w:rsidTr="00A566B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566B7">
            <w:pPr>
              <w:pStyle w:val="BodyText"/>
              <w:rPr>
                <w:lang w:val="en-NZ"/>
              </w:rPr>
            </w:pPr>
            <w:r w:rsidRPr="00A566B7">
              <w:t>4.5</w:t>
            </w:r>
          </w:p>
        </w:tc>
        <w:tc>
          <w:tcPr>
            <w:tcW w:w="5610" w:type="dxa"/>
            <w:tcBorders>
              <w:top w:val="nil"/>
              <w:left w:val="nil"/>
              <w:bottom w:val="nil"/>
              <w:right w:val="nil"/>
            </w:tcBorders>
            <w:tcMar>
              <w:top w:w="0" w:type="dxa"/>
              <w:left w:w="62" w:type="dxa"/>
              <w:bottom w:w="0" w:type="dxa"/>
              <w:right w:w="62" w:type="dxa"/>
            </w:tcMar>
          </w:tcPr>
          <w:p w:rsidR="00000000" w:rsidRPr="00A566B7" w:rsidP="00A566B7">
            <w:pPr>
              <w:pStyle w:val="BodyText"/>
            </w:pPr>
            <w:r w:rsidRPr="00A566B7">
              <w:t>Formal report is compiled and submitted in appropriate format to client and other parties as required.</w:t>
            </w:r>
          </w:p>
        </w:tc>
      </w:tr>
    </w:tbl>
    <w:p w:rsidR="00000000" w:rsidRPr="00A566B7" w:rsidP="00A566B7">
      <w:pPr>
        <w:pStyle w:val="BodyText"/>
      </w:pPr>
    </w:p>
    <w:tbl>
      <w:tblPr>
        <w:tblW w:w="0" w:type="auto"/>
        <w:tblLayout w:type="fixed"/>
        <w:tblCellMar>
          <w:left w:w="62" w:type="dxa"/>
          <w:right w:w="62" w:type="dxa"/>
        </w:tblCellMar>
        <w:tblLook w:val="0000"/>
      </w:tblPr>
      <w:tblGrid>
        <w:gridCol w:w="678"/>
        <w:gridCol w:w="1962"/>
        <w:gridCol w:w="770"/>
        <w:gridCol w:w="5610"/>
      </w:tblGrid>
      <w:tr w:rsidTr="00A566B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A566B7">
            <w:pPr>
              <w:pStyle w:val="BodyText"/>
              <w:rPr>
                <w:lang w:val="en-NZ"/>
              </w:rPr>
            </w:pPr>
            <w:r w:rsidRPr="00A566B7">
              <w:t>5</w:t>
            </w:r>
          </w:p>
        </w:tc>
        <w:tc>
          <w:tcPr>
            <w:tcW w:w="1962" w:type="dxa"/>
            <w:vMerge w:val="restart"/>
            <w:tcBorders>
              <w:top w:val="nil"/>
              <w:left w:val="nil"/>
              <w:bottom w:val="nil"/>
              <w:right w:val="nil"/>
            </w:tcBorders>
            <w:tcMar>
              <w:top w:w="0" w:type="dxa"/>
              <w:left w:w="62" w:type="dxa"/>
              <w:bottom w:w="0" w:type="dxa"/>
              <w:right w:w="62" w:type="dxa"/>
            </w:tcMar>
          </w:tcPr>
          <w:p w:rsidR="00000000" w:rsidP="00A566B7">
            <w:pPr>
              <w:pStyle w:val="BodyText"/>
              <w:rPr>
                <w:lang w:val="en-NZ"/>
              </w:rPr>
            </w:pPr>
            <w:r w:rsidRPr="00A566B7">
              <w:t>Provide ongoing advice and support.</w:t>
            </w:r>
          </w:p>
        </w:tc>
        <w:tc>
          <w:tcPr>
            <w:tcW w:w="770" w:type="dxa"/>
            <w:tcBorders>
              <w:top w:val="nil"/>
              <w:left w:val="nil"/>
              <w:bottom w:val="nil"/>
              <w:right w:val="nil"/>
            </w:tcBorders>
            <w:tcMar>
              <w:top w:w="0" w:type="dxa"/>
              <w:left w:w="62" w:type="dxa"/>
              <w:bottom w:w="0" w:type="dxa"/>
              <w:right w:w="62" w:type="dxa"/>
            </w:tcMar>
          </w:tcPr>
          <w:p w:rsidR="00000000" w:rsidP="00A566B7">
            <w:pPr>
              <w:pStyle w:val="BodyText"/>
              <w:rPr>
                <w:lang w:val="en-NZ"/>
              </w:rPr>
            </w:pPr>
            <w:r w:rsidRPr="00A566B7">
              <w:t>5.1</w:t>
            </w:r>
          </w:p>
        </w:tc>
        <w:tc>
          <w:tcPr>
            <w:tcW w:w="5610" w:type="dxa"/>
            <w:tcBorders>
              <w:top w:val="nil"/>
              <w:left w:val="nil"/>
              <w:bottom w:val="nil"/>
              <w:right w:val="nil"/>
            </w:tcBorders>
            <w:tcMar>
              <w:top w:w="0" w:type="dxa"/>
              <w:left w:w="62" w:type="dxa"/>
              <w:bottom w:w="0" w:type="dxa"/>
              <w:right w:w="62" w:type="dxa"/>
            </w:tcMar>
          </w:tcPr>
          <w:p w:rsidR="00000000" w:rsidP="00A566B7">
            <w:pPr>
              <w:pStyle w:val="BodyText"/>
              <w:rPr>
                <w:lang w:val="en-NZ"/>
              </w:rPr>
            </w:pPr>
            <w:r w:rsidRPr="00A566B7">
              <w:t>Explanation of elements of formal report is provided, within scope of agreed service level.</w:t>
            </w:r>
          </w:p>
        </w:tc>
      </w:tr>
      <w:tr w:rsidTr="00A566B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566B7">
            <w:pPr>
              <w:pStyle w:val="BodyText"/>
              <w:rPr>
                <w:lang w:val="en-NZ"/>
              </w:rPr>
            </w:pPr>
            <w:r w:rsidRPr="00A566B7">
              <w:t>5.2</w:t>
            </w:r>
          </w:p>
        </w:tc>
        <w:tc>
          <w:tcPr>
            <w:tcW w:w="5610" w:type="dxa"/>
            <w:tcBorders>
              <w:top w:val="nil"/>
              <w:left w:val="nil"/>
              <w:bottom w:val="nil"/>
              <w:right w:val="nil"/>
            </w:tcBorders>
            <w:tcMar>
              <w:top w:w="0" w:type="dxa"/>
              <w:left w:w="62" w:type="dxa"/>
              <w:bottom w:w="0" w:type="dxa"/>
              <w:right w:w="62" w:type="dxa"/>
            </w:tcMar>
          </w:tcPr>
          <w:p w:rsidR="00000000" w:rsidP="00A566B7">
            <w:pPr>
              <w:pStyle w:val="BodyText"/>
              <w:rPr>
                <w:lang w:val="en-NZ"/>
              </w:rPr>
            </w:pPr>
            <w:r w:rsidRPr="00A566B7">
              <w:t>Additional agreements for providing ongoing advice and support are negotiated and finalised with clients.</w:t>
            </w:r>
          </w:p>
        </w:tc>
      </w:tr>
      <w:tr w:rsidTr="00A566B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566B7">
            <w:pPr>
              <w:pStyle w:val="BodyText"/>
              <w:rPr>
                <w:lang w:val="en-NZ"/>
              </w:rPr>
            </w:pPr>
            <w:r w:rsidRPr="00A566B7">
              <w:t>5.3</w:t>
            </w:r>
          </w:p>
        </w:tc>
        <w:tc>
          <w:tcPr>
            <w:tcW w:w="5610" w:type="dxa"/>
            <w:tcBorders>
              <w:top w:val="nil"/>
              <w:left w:val="nil"/>
              <w:bottom w:val="nil"/>
              <w:right w:val="nil"/>
            </w:tcBorders>
            <w:tcMar>
              <w:top w:w="0" w:type="dxa"/>
              <w:left w:w="62" w:type="dxa"/>
              <w:bottom w:w="0" w:type="dxa"/>
              <w:right w:w="62" w:type="dxa"/>
            </w:tcMar>
          </w:tcPr>
          <w:p w:rsidR="00000000" w:rsidRPr="00A566B7" w:rsidP="00A566B7">
            <w:pPr>
              <w:pStyle w:val="BodyText"/>
            </w:pPr>
            <w:r w:rsidRPr="00A566B7">
              <w:t>Detailed advice on elements of the formal report is provided on request throughout planning and implementation of the solution, within scope of</w:t>
            </w:r>
            <w:r w:rsidRPr="00A566B7">
              <w:t xml:space="preserve"> service agreement.</w:t>
            </w:r>
          </w:p>
        </w:tc>
      </w:tr>
    </w:tbl>
    <w:p w:rsidR="001E767D" w:rsidP="00A566B7">
      <w:pPr>
        <w:pStyle w:val="BodyText"/>
      </w:pPr>
    </w:p>
    <w:p w:rsidR="001E767D" w:rsidP="00A566B7">
      <w:pPr>
        <w:pStyle w:val="BodyText"/>
      </w:pPr>
    </w:p>
    <w:p w:rsidR="00000000" w:rsidRPr="00A566B7" w:rsidP="00A566B7">
      <w:pPr>
        <w:pStyle w:val="Heading1"/>
      </w:pPr>
      <w:bookmarkStart w:id="9" w:name="O_453118"/>
      <w:bookmarkEnd w:id="9"/>
      <w:r w:rsidRPr="00A566B7">
        <w:t>Required Skills and Knowledge</w:t>
      </w:r>
    </w:p>
    <w:tbl>
      <w:tblPr>
        <w:tblW w:w="0" w:type="auto"/>
        <w:tblLayout w:type="fixed"/>
        <w:tblCellMar>
          <w:left w:w="62" w:type="dxa"/>
          <w:right w:w="62" w:type="dxa"/>
        </w:tblCellMar>
        <w:tblLook w:val="0000"/>
      </w:tblPr>
      <w:tblGrid>
        <w:gridCol w:w="9179"/>
      </w:tblGrid>
      <w:tr w:rsidTr="00A566B7">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P="00A566B7">
            <w:pPr>
              <w:pStyle w:val="BodyText"/>
              <w:rPr>
                <w:lang w:val="en-NZ"/>
              </w:rPr>
            </w:pPr>
            <w:r w:rsidRPr="00A566B7">
              <w:t>This section describes the skills and knowledge required for this unit.</w:t>
            </w:r>
          </w:p>
        </w:tc>
      </w:tr>
      <w:tr w:rsidTr="00A566B7">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P="00A566B7">
            <w:pPr>
              <w:pStyle w:val="BodyText"/>
              <w:rPr>
                <w:lang w:val="en-NZ"/>
              </w:rPr>
            </w:pPr>
            <w:r w:rsidRPr="00A566B7">
              <w:rPr>
                <w:rStyle w:val="SpecialBold"/>
              </w:rPr>
              <w:t>Required skills</w:t>
            </w:r>
          </w:p>
        </w:tc>
      </w:tr>
      <w:tr w:rsidTr="00A566B7">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RPr="00A566B7" w:rsidP="00A566B7">
            <w:pPr>
              <w:pStyle w:val="ListBullet"/>
            </w:pPr>
            <w:r w:rsidRPr="00A566B7">
              <w:t xml:space="preserve">communication skills to interpret non-verbal communication, such as facial signs </w:t>
            </w:r>
            <w:r w:rsidRPr="00A566B7">
              <w:t>indicating lack of understanding</w:t>
            </w:r>
          </w:p>
          <w:p w:rsidR="00000000" w:rsidRPr="00A566B7" w:rsidP="00A566B7">
            <w:pPr>
              <w:pStyle w:val="ListBullet"/>
            </w:pPr>
            <w:r w:rsidRPr="00A566B7">
              <w:t>initiative and enterprise skills to:</w:t>
            </w:r>
          </w:p>
          <w:p w:rsidR="00000000" w:rsidRPr="00A566B7" w:rsidP="00A566B7">
            <w:pPr>
              <w:pStyle w:val="ListBullet2"/>
            </w:pPr>
            <w:r w:rsidRPr="00A566B7">
              <w:t>apply knowledge of disabilities to access and use issues</w:t>
            </w:r>
          </w:p>
          <w:p w:rsidR="00000000" w:rsidRPr="00A566B7" w:rsidP="00A566B7">
            <w:pPr>
              <w:pStyle w:val="ListBullet2"/>
            </w:pPr>
            <w:r w:rsidRPr="00A566B7">
              <w:t>conceptualise creative and practical access solutions</w:t>
            </w:r>
          </w:p>
          <w:p w:rsidR="00000000" w:rsidRPr="00A566B7" w:rsidP="00A566B7">
            <w:pPr>
              <w:pStyle w:val="ListBullet2"/>
            </w:pPr>
            <w:r w:rsidRPr="00A566B7">
              <w:t>develop strategies for risk management</w:t>
            </w:r>
          </w:p>
          <w:p w:rsidR="00000000" w:rsidRPr="00A566B7" w:rsidP="00A566B7">
            <w:pPr>
              <w:pStyle w:val="ListBullet"/>
            </w:pPr>
            <w:r w:rsidRPr="00A566B7">
              <w:t>language and literacy skills to:</w:t>
            </w:r>
          </w:p>
          <w:p w:rsidR="00000000" w:rsidRPr="00A566B7" w:rsidP="00A566B7">
            <w:pPr>
              <w:pStyle w:val="ListBullet2"/>
            </w:pPr>
            <w:r w:rsidRPr="00A566B7">
              <w:t>exchange complex information with people from diverse backgrounds using relevant language and format, such as:</w:t>
            </w:r>
          </w:p>
          <w:p w:rsidR="00000000" w:rsidRPr="00A566B7" w:rsidP="00A566B7">
            <w:pPr>
              <w:pStyle w:val="ListBullet3"/>
            </w:pPr>
            <w:r w:rsidRPr="00A566B7">
              <w:t>advice notes on interpretation of standards</w:t>
            </w:r>
          </w:p>
          <w:p w:rsidR="00000000" w:rsidRPr="00A566B7" w:rsidP="00A566B7">
            <w:pPr>
              <w:pStyle w:val="ListBullet3"/>
            </w:pPr>
            <w:r w:rsidRPr="00A566B7">
              <w:t>expert opinion reports</w:t>
            </w:r>
          </w:p>
          <w:p w:rsidR="00000000" w:rsidRPr="00A566B7" w:rsidP="00A566B7">
            <w:pPr>
              <w:pStyle w:val="ListBullet3"/>
            </w:pPr>
            <w:r w:rsidRPr="00A566B7">
              <w:t>technical reports</w:t>
            </w:r>
          </w:p>
          <w:p w:rsidR="00000000" w:rsidRPr="00A566B7" w:rsidP="00A566B7">
            <w:pPr>
              <w:pStyle w:val="ListBullet2"/>
            </w:pPr>
            <w:r w:rsidRPr="00A566B7">
              <w:t>interpret complex legal and technical documents regarding accessibility, for example:</w:t>
            </w:r>
          </w:p>
          <w:p w:rsidR="00000000" w:rsidRPr="00A566B7" w:rsidP="00A566B7">
            <w:pPr>
              <w:pStyle w:val="ListBullet3"/>
            </w:pPr>
            <w:r w:rsidRPr="00A566B7">
              <w:t>Australian and international standards</w:t>
            </w:r>
          </w:p>
          <w:p w:rsidR="00000000" w:rsidRPr="00A566B7" w:rsidP="00A566B7">
            <w:pPr>
              <w:pStyle w:val="ListBullet3"/>
            </w:pPr>
            <w:r w:rsidRPr="00A566B7">
              <w:t>NCC</w:t>
            </w:r>
          </w:p>
          <w:p w:rsidR="00000000" w:rsidRPr="00A566B7" w:rsidP="00A566B7">
            <w:pPr>
              <w:pStyle w:val="ListBullet3"/>
            </w:pPr>
            <w:r w:rsidRPr="00A566B7">
              <w:t>legislation</w:t>
            </w:r>
          </w:p>
          <w:p w:rsidR="00000000" w:rsidRPr="00A566B7" w:rsidP="00A566B7">
            <w:pPr>
              <w:pStyle w:val="ListBullet3"/>
            </w:pPr>
            <w:r w:rsidRPr="00A566B7">
              <w:t>specifications</w:t>
            </w:r>
          </w:p>
          <w:p w:rsidR="00000000" w:rsidRPr="00A566B7" w:rsidP="00A566B7">
            <w:pPr>
              <w:pStyle w:val="ListBullet2"/>
            </w:pPr>
            <w:r w:rsidRPr="00A566B7">
              <w:t>present information in a range of formal and informal settings</w:t>
            </w:r>
          </w:p>
          <w:p w:rsidR="00000000" w:rsidRPr="00A566B7" w:rsidP="00A566B7">
            <w:pPr>
              <w:pStyle w:val="ListBullet"/>
            </w:pPr>
            <w:r w:rsidRPr="00A566B7">
              <w:t>learning skills to:</w:t>
            </w:r>
          </w:p>
          <w:p w:rsidR="00000000" w:rsidRPr="00A566B7" w:rsidP="00A566B7">
            <w:pPr>
              <w:pStyle w:val="ListBullet2"/>
            </w:pPr>
            <w:r w:rsidRPr="00A566B7">
              <w:t>participate in debate on interpretation of compliance requirements</w:t>
            </w:r>
          </w:p>
          <w:p w:rsidR="00000000" w:rsidRPr="00A566B7" w:rsidP="00A566B7">
            <w:pPr>
              <w:pStyle w:val="ListBullet2"/>
            </w:pPr>
            <w:r w:rsidRPr="00A566B7">
              <w:t>undertake appropriate professional development, including maintaining own knowledge base</w:t>
            </w:r>
          </w:p>
          <w:p w:rsidR="00000000" w:rsidRPr="00A566B7" w:rsidP="00A566B7">
            <w:pPr>
              <w:pStyle w:val="ListBullet"/>
            </w:pPr>
            <w:r w:rsidRPr="00A566B7">
              <w:t>numeracy skills to test cost-effectiveness of access and use solutions</w:t>
            </w:r>
          </w:p>
          <w:p w:rsidR="00000000" w:rsidRPr="00A566B7" w:rsidP="00A566B7">
            <w:pPr>
              <w:pStyle w:val="ListBullet"/>
            </w:pPr>
            <w:r w:rsidRPr="00A566B7">
              <w:t>planning and organising skil</w:t>
            </w:r>
            <w:r w:rsidRPr="00A566B7">
              <w:t>ls to:</w:t>
            </w:r>
          </w:p>
          <w:p w:rsidR="00000000" w:rsidRPr="00A566B7" w:rsidP="00A566B7">
            <w:pPr>
              <w:pStyle w:val="ListBullet2"/>
            </w:pPr>
            <w:r w:rsidRPr="00A566B7">
              <w:t>develop and manage business processes relating to the provision of advice</w:t>
            </w:r>
          </w:p>
          <w:p w:rsidR="00000000" w:rsidRPr="00A566B7" w:rsidP="00A566B7">
            <w:pPr>
              <w:pStyle w:val="ListBullet2"/>
            </w:pPr>
            <w:r w:rsidRPr="00A566B7">
              <w:t>ensure completeness of compliance requirement analysis, including organising diverse references</w:t>
            </w:r>
          </w:p>
          <w:p w:rsidR="00000000" w:rsidRPr="00A566B7" w:rsidP="00A566B7">
            <w:pPr>
              <w:pStyle w:val="ListBullet2"/>
            </w:pPr>
            <w:r w:rsidRPr="00A566B7">
              <w:t>provide accurate and timely advice</w:t>
            </w:r>
          </w:p>
          <w:p w:rsidR="00000000" w:rsidRPr="00A566B7" w:rsidP="00A566B7">
            <w:pPr>
              <w:pStyle w:val="ListBullet"/>
            </w:pPr>
            <w:r w:rsidRPr="00A566B7">
              <w:t>problem-solving skills to:</w:t>
            </w:r>
          </w:p>
          <w:p w:rsidR="00000000" w:rsidRPr="00A566B7" w:rsidP="00A566B7">
            <w:pPr>
              <w:pStyle w:val="ListBullet2"/>
            </w:pPr>
            <w:r w:rsidRPr="00A566B7">
              <w:t>analyse and ap</w:t>
            </w:r>
            <w:r w:rsidRPr="00A566B7">
              <w:t>ply compliance requirements to develop buildable and cost-effective solutions</w:t>
            </w:r>
          </w:p>
          <w:p w:rsidR="00000000" w:rsidRPr="00A566B7" w:rsidP="00A566B7">
            <w:pPr>
              <w:pStyle w:val="ListBullet2"/>
            </w:pPr>
            <w:r w:rsidRPr="00A566B7">
              <w:t>negotiate, persuade and resolve conflicts between parties involved in access and use issues and promote practical and cost-effective access solutions</w:t>
            </w:r>
          </w:p>
          <w:p w:rsidR="00000000" w:rsidRPr="00A566B7" w:rsidP="00A566B7">
            <w:pPr>
              <w:pStyle w:val="ListBullet"/>
            </w:pPr>
            <w:r w:rsidRPr="00A566B7">
              <w:t xml:space="preserve">self-management skills to: </w:t>
            </w:r>
          </w:p>
          <w:p w:rsidR="00000000" w:rsidRPr="00A566B7" w:rsidP="00A566B7">
            <w:pPr>
              <w:pStyle w:val="ListBullet2"/>
            </w:pPr>
            <w:r w:rsidRPr="00A566B7">
              <w:t>apply diplomacy, professional judgement, empathy and patience to build and manage client relationships</w:t>
            </w:r>
          </w:p>
          <w:p w:rsidR="00000000" w:rsidRPr="00A566B7" w:rsidP="00A566B7">
            <w:pPr>
              <w:pStyle w:val="ListBullet2"/>
            </w:pPr>
            <w:r w:rsidRPr="00A566B7">
              <w:t>maintain task orientation and focus on complex access and use issues</w:t>
            </w:r>
          </w:p>
          <w:p w:rsidR="00000000" w:rsidP="00A566B7">
            <w:pPr>
              <w:pStyle w:val="ListBullet"/>
              <w:rPr>
                <w:lang w:val="en-NZ"/>
              </w:rPr>
            </w:pPr>
            <w:r w:rsidRPr="00A566B7">
              <w:t>technical skills to sketch design solutions</w:t>
            </w:r>
          </w:p>
        </w:tc>
      </w:tr>
      <w:tr w:rsidTr="00A566B7">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P="00A566B7">
            <w:pPr>
              <w:pStyle w:val="BodyText"/>
              <w:rPr>
                <w:lang w:val="en-NZ"/>
              </w:rPr>
            </w:pPr>
          </w:p>
        </w:tc>
      </w:tr>
      <w:tr w:rsidTr="00A566B7">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P="00A566B7">
            <w:pPr>
              <w:pStyle w:val="BodyText"/>
              <w:rPr>
                <w:lang w:val="en-NZ"/>
              </w:rPr>
            </w:pPr>
            <w:r w:rsidRPr="00A566B7">
              <w:rPr>
                <w:rStyle w:val="SpecialBold"/>
              </w:rPr>
              <w:t>Required knowledge</w:t>
            </w:r>
          </w:p>
        </w:tc>
      </w:tr>
      <w:tr w:rsidTr="00A566B7">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RPr="00A566B7" w:rsidP="00A566B7">
            <w:pPr>
              <w:pStyle w:val="ListBullet"/>
            </w:pPr>
            <w:r w:rsidRPr="00A566B7">
              <w:t>access and use compliance requirements, including but not restricted to:</w:t>
            </w:r>
          </w:p>
          <w:p w:rsidR="00000000" w:rsidRPr="00A566B7" w:rsidP="00A566B7">
            <w:pPr>
              <w:pStyle w:val="ListBullet2"/>
            </w:pPr>
            <w:r w:rsidRPr="00A566B7">
              <w:t>codes</w:t>
            </w:r>
          </w:p>
          <w:p w:rsidR="00000000" w:rsidRPr="00A566B7" w:rsidP="00A566B7">
            <w:pPr>
              <w:pStyle w:val="ListBullet2"/>
            </w:pPr>
            <w:r w:rsidRPr="00A566B7">
              <w:t>guidelines</w:t>
            </w:r>
          </w:p>
          <w:p w:rsidR="00000000" w:rsidRPr="00A566B7" w:rsidP="00A566B7">
            <w:pPr>
              <w:pStyle w:val="ListBullet2"/>
            </w:pPr>
            <w:r w:rsidRPr="00A566B7">
              <w:t>legislation</w:t>
            </w:r>
          </w:p>
          <w:p w:rsidR="00000000" w:rsidRPr="00A566B7" w:rsidP="00A566B7">
            <w:pPr>
              <w:pStyle w:val="ListBullet2"/>
            </w:pPr>
            <w:r w:rsidRPr="00A566B7">
              <w:t>local authority policies</w:t>
            </w:r>
          </w:p>
          <w:p w:rsidR="00000000" w:rsidRPr="00A566B7" w:rsidP="00A566B7">
            <w:pPr>
              <w:pStyle w:val="ListBullet2"/>
            </w:pPr>
            <w:r w:rsidRPr="00A566B7">
              <w:t>protocols</w:t>
            </w:r>
          </w:p>
          <w:p w:rsidR="00000000" w:rsidRPr="00A566B7" w:rsidP="00A566B7">
            <w:pPr>
              <w:pStyle w:val="ListBullet2"/>
            </w:pPr>
            <w:r w:rsidRPr="00A566B7">
              <w:t>regulations</w:t>
            </w:r>
          </w:p>
          <w:p w:rsidR="00000000" w:rsidRPr="00A566B7" w:rsidP="00A566B7">
            <w:pPr>
              <w:pStyle w:val="ListBullet2"/>
            </w:pPr>
            <w:r w:rsidRPr="00A566B7">
              <w:t>standards</w:t>
            </w:r>
          </w:p>
          <w:p w:rsidR="00000000" w:rsidRPr="00A566B7" w:rsidP="00A566B7">
            <w:pPr>
              <w:pStyle w:val="ListBullet"/>
            </w:pPr>
            <w:r w:rsidRPr="00A566B7">
              <w:t>accessibility requirements relating to equipment used by people with disabilities, such as:</w:t>
            </w:r>
          </w:p>
          <w:p w:rsidR="00000000" w:rsidRPr="00A566B7" w:rsidP="00A566B7">
            <w:pPr>
              <w:pStyle w:val="ListBullet2"/>
            </w:pPr>
            <w:r w:rsidRPr="00A566B7">
              <w:t>as</w:t>
            </w:r>
            <w:r w:rsidRPr="00A566B7">
              <w:t>sistance animals</w:t>
            </w:r>
          </w:p>
          <w:p w:rsidR="00000000" w:rsidRPr="00A566B7" w:rsidP="00A566B7">
            <w:pPr>
              <w:pStyle w:val="ListBullet2"/>
            </w:pPr>
            <w:r w:rsidRPr="00A566B7">
              <w:t>audio frequency induction loops</w:t>
            </w:r>
          </w:p>
          <w:p w:rsidR="00000000" w:rsidRPr="00A566B7" w:rsidP="00A566B7">
            <w:pPr>
              <w:pStyle w:val="ListBullet2"/>
            </w:pPr>
            <w:r w:rsidRPr="00A566B7">
              <w:t>braille and tactile signage</w:t>
            </w:r>
          </w:p>
          <w:p w:rsidR="00000000" w:rsidRPr="00A566B7" w:rsidP="00A566B7">
            <w:pPr>
              <w:pStyle w:val="ListBullet2"/>
            </w:pPr>
            <w:r w:rsidRPr="00A566B7">
              <w:t>long white canes</w:t>
            </w:r>
          </w:p>
          <w:p w:rsidR="00000000" w:rsidRPr="00A566B7" w:rsidP="00A566B7">
            <w:pPr>
              <w:pStyle w:val="ListBullet2"/>
            </w:pPr>
            <w:r w:rsidRPr="00A566B7">
              <w:t>TTY telephones</w:t>
            </w:r>
          </w:p>
          <w:p w:rsidR="00000000" w:rsidRPr="00A566B7" w:rsidP="00A566B7">
            <w:pPr>
              <w:pStyle w:val="ListBullet2"/>
            </w:pPr>
            <w:r w:rsidRPr="00A566B7">
              <w:t>walking frames</w:t>
            </w:r>
          </w:p>
          <w:p w:rsidR="00000000" w:rsidRPr="00A566B7" w:rsidP="00A566B7">
            <w:pPr>
              <w:pStyle w:val="ListBullet2"/>
            </w:pPr>
            <w:r w:rsidRPr="00A566B7">
              <w:t>wheelchairs</w:t>
            </w:r>
          </w:p>
          <w:p w:rsidR="00000000" w:rsidRPr="00A566B7" w:rsidP="00A566B7">
            <w:pPr>
              <w:pStyle w:val="ListBullet"/>
            </w:pPr>
            <w:r w:rsidRPr="00A566B7">
              <w:t xml:space="preserve">best practices in access and use, including measures that exceed compliance requirements </w:t>
            </w:r>
          </w:p>
          <w:p w:rsidR="00000000" w:rsidRPr="00A566B7" w:rsidP="00A566B7">
            <w:pPr>
              <w:pStyle w:val="ListBullet"/>
            </w:pPr>
            <w:r w:rsidRPr="00A566B7">
              <w:t>building and construction industry processes, roles and terminology</w:t>
            </w:r>
          </w:p>
          <w:p w:rsidR="00000000" w:rsidRPr="00A566B7" w:rsidP="00A566B7">
            <w:pPr>
              <w:pStyle w:val="ListBullet"/>
            </w:pPr>
            <w:r w:rsidRPr="00A566B7">
              <w:t>gaps and trends in, interrelation of, and conflict between compliance requirements</w:t>
            </w:r>
          </w:p>
          <w:p w:rsidR="00000000" w:rsidRPr="00A566B7" w:rsidP="00A566B7">
            <w:pPr>
              <w:pStyle w:val="ListBullet"/>
            </w:pPr>
            <w:r w:rsidRPr="00A566B7">
              <w:t>policy development, legislative and regulatory frameworks relating to access to and use of the built envi</w:t>
            </w:r>
            <w:r w:rsidRPr="00A566B7">
              <w:t>ronment</w:t>
            </w:r>
          </w:p>
          <w:p w:rsidR="00000000" w:rsidRPr="00A566B7" w:rsidP="00A566B7">
            <w:pPr>
              <w:pStyle w:val="ListBullet"/>
            </w:pPr>
            <w:r w:rsidRPr="00A566B7">
              <w:t>principles of access to and use of the built environment, including:</w:t>
            </w:r>
          </w:p>
          <w:p w:rsidR="00000000" w:rsidRPr="00A566B7" w:rsidP="00A566B7">
            <w:pPr>
              <w:pStyle w:val="ListBullet2"/>
            </w:pPr>
            <w:r w:rsidRPr="00A566B7">
              <w:t>adaptable design</w:t>
            </w:r>
          </w:p>
          <w:p w:rsidR="00000000" w:rsidRPr="00A566B7" w:rsidP="00A566B7">
            <w:pPr>
              <w:pStyle w:val="ListBullet2"/>
            </w:pPr>
            <w:r w:rsidRPr="00A566B7">
              <w:t>best practice solutions to access and use requirements</w:t>
            </w:r>
          </w:p>
          <w:p w:rsidR="00000000" w:rsidRPr="00A566B7" w:rsidP="00A566B7">
            <w:pPr>
              <w:pStyle w:val="ListBullet"/>
            </w:pPr>
            <w:r w:rsidRPr="00A566B7">
              <w:t>principles of risk management and strategies for the management of risk associated with giving compliance</w:t>
            </w:r>
            <w:r w:rsidRPr="00A566B7">
              <w:t xml:space="preserve"> advice</w:t>
            </w:r>
          </w:p>
          <w:p w:rsidR="00000000" w:rsidRPr="00A566B7" w:rsidP="00A566B7">
            <w:pPr>
              <w:pStyle w:val="ListBullet"/>
            </w:pPr>
            <w:r w:rsidRPr="00A566B7">
              <w:t>requirements of people with different disabilities, and the aids and solutions available to meet them, such as:</w:t>
            </w:r>
          </w:p>
          <w:p w:rsidR="00000000" w:rsidRPr="00A566B7" w:rsidP="00A566B7">
            <w:pPr>
              <w:pStyle w:val="ListBullet2"/>
            </w:pPr>
            <w:r w:rsidRPr="00A566B7">
              <w:t>audio frequency induction loop systems to enhance communication for people with hearing impairment</w:t>
            </w:r>
          </w:p>
          <w:p w:rsidR="00000000" w:rsidRPr="00A566B7" w:rsidP="00A566B7">
            <w:pPr>
              <w:pStyle w:val="ListBullet2"/>
            </w:pPr>
            <w:r w:rsidRPr="00A566B7">
              <w:t xml:space="preserve">passenger lifts for vertical access </w:t>
            </w:r>
            <w:r w:rsidRPr="00A566B7">
              <w:t>for people with mobility impairment</w:t>
            </w:r>
          </w:p>
          <w:p w:rsidR="00000000" w:rsidRPr="00A566B7" w:rsidP="00A566B7">
            <w:pPr>
              <w:pStyle w:val="ListBullet2"/>
            </w:pPr>
            <w:r w:rsidRPr="00A566B7">
              <w:t>tactile ground surface indicators for vision orientation</w:t>
            </w:r>
          </w:p>
          <w:p w:rsidR="00000000" w:rsidRPr="00A566B7" w:rsidP="00A566B7">
            <w:pPr>
              <w:pStyle w:val="ListBullet"/>
            </w:pPr>
            <w:r w:rsidRPr="00A566B7">
              <w:t>scope of functions of the human body, including:</w:t>
            </w:r>
          </w:p>
          <w:p w:rsidR="00000000" w:rsidRPr="00A566B7" w:rsidP="00A566B7">
            <w:pPr>
              <w:pStyle w:val="ListBullet2"/>
            </w:pPr>
            <w:r w:rsidRPr="00A566B7">
              <w:t>auditory and visual processing</w:t>
            </w:r>
          </w:p>
          <w:p w:rsidR="00000000" w:rsidRPr="00A566B7" w:rsidP="00A566B7">
            <w:pPr>
              <w:pStyle w:val="ListBullet2"/>
            </w:pPr>
            <w:r w:rsidRPr="00A566B7">
              <w:t>cognitive functions</w:t>
            </w:r>
          </w:p>
          <w:p w:rsidR="00000000" w:rsidRPr="00A566B7" w:rsidP="00A566B7">
            <w:pPr>
              <w:pStyle w:val="ListBullet2"/>
            </w:pPr>
            <w:r w:rsidRPr="00A566B7">
              <w:t>mobility</w:t>
            </w:r>
          </w:p>
          <w:p w:rsidR="00000000" w:rsidRPr="00A566B7" w:rsidP="00A566B7">
            <w:pPr>
              <w:pStyle w:val="ListBullet2"/>
            </w:pPr>
            <w:r w:rsidRPr="00A566B7">
              <w:t>psychiatric conditions</w:t>
            </w:r>
          </w:p>
          <w:p w:rsidR="00000000" w:rsidRPr="00A566B7" w:rsidP="00A566B7">
            <w:pPr>
              <w:pStyle w:val="ListBullet"/>
            </w:pPr>
            <w:r w:rsidRPr="00A566B7">
              <w:t>types of disabilities and combinations of disabilities and related range of functional limitations, including:</w:t>
            </w:r>
          </w:p>
          <w:p w:rsidR="00000000" w:rsidRPr="00A566B7" w:rsidP="00A566B7">
            <w:pPr>
              <w:pStyle w:val="ListBullet2"/>
            </w:pPr>
            <w:r w:rsidRPr="00A566B7">
              <w:t>auditory</w:t>
            </w:r>
          </w:p>
          <w:p w:rsidR="00000000" w:rsidRPr="00A566B7" w:rsidP="00A566B7">
            <w:pPr>
              <w:pStyle w:val="ListBullet2"/>
            </w:pPr>
            <w:r w:rsidRPr="00A566B7">
              <w:t>cognitive</w:t>
            </w:r>
          </w:p>
          <w:p w:rsidR="00000000" w:rsidRPr="00A566B7" w:rsidP="00A566B7">
            <w:pPr>
              <w:pStyle w:val="ListBullet2"/>
            </w:pPr>
            <w:r w:rsidRPr="00A566B7">
              <w:t>mobility</w:t>
            </w:r>
          </w:p>
          <w:p w:rsidR="00000000" w:rsidRPr="00A566B7" w:rsidP="00A566B7">
            <w:pPr>
              <w:pStyle w:val="ListBullet2"/>
            </w:pPr>
            <w:r w:rsidRPr="00A566B7">
              <w:t>muscle wasting and weakness</w:t>
            </w:r>
          </w:p>
          <w:p w:rsidR="00000000" w:rsidRPr="00A566B7" w:rsidP="00A566B7">
            <w:pPr>
              <w:pStyle w:val="ListBullet2"/>
            </w:pPr>
            <w:r w:rsidRPr="00A566B7">
              <w:t>psychiatric</w:t>
            </w:r>
          </w:p>
          <w:p w:rsidR="00000000" w:rsidRPr="00A566B7" w:rsidP="00A566B7">
            <w:pPr>
              <w:pStyle w:val="ListBullet2"/>
            </w:pPr>
            <w:r w:rsidRPr="00A566B7">
              <w:t>vision</w:t>
            </w:r>
          </w:p>
        </w:tc>
      </w:tr>
    </w:tbl>
    <w:p w:rsidR="001E767D" w:rsidP="00A566B7">
      <w:pPr>
        <w:pStyle w:val="BodyText"/>
      </w:pPr>
    </w:p>
    <w:p w:rsidR="001E767D" w:rsidP="00A566B7">
      <w:pPr>
        <w:pStyle w:val="BodyText"/>
      </w:pPr>
    </w:p>
    <w:p w:rsidR="00000000" w:rsidRPr="00A566B7" w:rsidP="00A566B7">
      <w:pPr>
        <w:pStyle w:val="Heading1"/>
      </w:pPr>
      <w:bookmarkStart w:id="10" w:name="O_453119"/>
      <w:bookmarkEnd w:id="10"/>
      <w:r w:rsidRPr="00A566B7">
        <w:t>Evidence Guide</w:t>
      </w:r>
    </w:p>
    <w:tbl>
      <w:tblPr>
        <w:tblW w:w="0" w:type="auto"/>
        <w:tblLayout w:type="fixed"/>
        <w:tblCellMar>
          <w:left w:w="62" w:type="dxa"/>
          <w:right w:w="62" w:type="dxa"/>
        </w:tblCellMar>
        <w:tblLook w:val="0000"/>
      </w:tblPr>
      <w:tblGrid>
        <w:gridCol w:w="2738"/>
        <w:gridCol w:w="6441"/>
      </w:tblGrid>
      <w:tr w:rsidTr="00A566B7">
        <w:tblPrEx>
          <w:tblW w:w="0" w:type="auto"/>
          <w:tblLayout w:type="fixed"/>
          <w:tblCellMar>
            <w:left w:w="62" w:type="dxa"/>
            <w:right w:w="62" w:type="dxa"/>
          </w:tblCellMar>
          <w:tblLook w:val="0000"/>
        </w:tblPrEx>
        <w:tc>
          <w:tcPr>
            <w:tcW w:w="9179"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A566B7">
            <w:pPr>
              <w:pStyle w:val="BodyText"/>
              <w:rPr>
                <w:lang w:val="en-NZ"/>
              </w:rPr>
            </w:pPr>
            <w:r w:rsidRPr="00A566B7">
              <w:t>The evidence guide provides advice on assessment and must be read in conjunction with the performance criteria, required skills and knowledge, range statement and the Assessment Guidelines for the Training Package.</w:t>
            </w:r>
          </w:p>
        </w:tc>
      </w:tr>
      <w:tr w:rsidTr="00A566B7">
        <w:tblPrEx>
          <w:tblW w:w="0" w:type="auto"/>
          <w:tblLayout w:type="fixed"/>
          <w:tblCellMar>
            <w:left w:w="62" w:type="dxa"/>
            <w:right w:w="62" w:type="dxa"/>
          </w:tblCellMar>
          <w:tblLook w:val="0000"/>
        </w:tblPrEx>
        <w:tc>
          <w:tcPr>
            <w:tcW w:w="27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66B7">
            <w:pPr>
              <w:pStyle w:val="BodyText"/>
              <w:rPr>
                <w:lang w:val="en-NZ"/>
              </w:rPr>
            </w:pPr>
            <w:r w:rsidRPr="00A566B7">
              <w:rPr>
                <w:rStyle w:val="SpecialBold"/>
              </w:rPr>
              <w:t>Critical aspects for assessment and evidence required to demonstrate competency in this unit</w:t>
            </w:r>
          </w:p>
        </w:tc>
        <w:tc>
          <w:tcPr>
            <w:tcW w:w="64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66B7" w:rsidP="00A566B7">
            <w:pPr>
              <w:pStyle w:val="BodyText"/>
            </w:pPr>
            <w:r w:rsidRPr="00A566B7">
              <w:t>A person who demonstrates competency in this unit must be able to provide evidence of the required skills and knowledge specified in this unit.</w:t>
            </w:r>
          </w:p>
          <w:p w:rsidR="00000000" w:rsidRPr="00A566B7" w:rsidP="00A566B7">
            <w:pPr>
              <w:pStyle w:val="BodyText"/>
            </w:pPr>
            <w:r w:rsidRPr="00A566B7">
              <w:t xml:space="preserve">In particular, the </w:t>
            </w:r>
            <w:r w:rsidRPr="00A566B7">
              <w:t>person should demonstrate the ability to:</w:t>
            </w:r>
          </w:p>
          <w:p w:rsidR="00000000" w:rsidRPr="00A566B7" w:rsidP="00A566B7">
            <w:pPr>
              <w:pStyle w:val="ListBullet"/>
            </w:pPr>
            <w:r w:rsidRPr="00A566B7">
              <w:t>define scope of advice to be offered and develop risk management strategies</w:t>
            </w:r>
          </w:p>
          <w:p w:rsidR="00000000" w:rsidRPr="00A566B7" w:rsidP="00A566B7">
            <w:pPr>
              <w:pStyle w:val="ListBullet"/>
            </w:pPr>
            <w:r w:rsidRPr="00A566B7">
              <w:t>provide consultation and give advice on at least five different access and use issues according to agreed service levels</w:t>
            </w:r>
          </w:p>
          <w:p w:rsidR="00000000" w:rsidRPr="00A566B7" w:rsidP="00A566B7">
            <w:pPr>
              <w:pStyle w:val="ListBullet"/>
            </w:pPr>
            <w:r w:rsidRPr="00A566B7">
              <w:t>provide alternat</w:t>
            </w:r>
            <w:r w:rsidRPr="00A566B7">
              <w:t>ive solutions to access and use issues where relevant</w:t>
            </w:r>
          </w:p>
          <w:p w:rsidR="00000000" w:rsidP="00A566B7">
            <w:pPr>
              <w:pStyle w:val="ListBullet"/>
              <w:rPr>
                <w:lang w:val="en-NZ"/>
              </w:rPr>
            </w:pPr>
            <w:r w:rsidRPr="00A566B7">
              <w:t>provide detailed reports on access and use issues and proposed solutions.</w:t>
            </w:r>
          </w:p>
        </w:tc>
      </w:tr>
      <w:tr w:rsidTr="00A566B7">
        <w:tblPrEx>
          <w:tblW w:w="0" w:type="auto"/>
          <w:tblLayout w:type="fixed"/>
          <w:tblCellMar>
            <w:left w:w="62" w:type="dxa"/>
            <w:right w:w="62" w:type="dxa"/>
          </w:tblCellMar>
          <w:tblLook w:val="0000"/>
        </w:tblPrEx>
        <w:tc>
          <w:tcPr>
            <w:tcW w:w="27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66B7">
            <w:pPr>
              <w:pStyle w:val="BodyText"/>
              <w:rPr>
                <w:lang w:val="en-NZ"/>
              </w:rPr>
            </w:pPr>
            <w:r w:rsidRPr="00A566B7">
              <w:rPr>
                <w:rStyle w:val="SpecialBold"/>
              </w:rPr>
              <w:t>Context of and specific resources for assessment</w:t>
            </w:r>
          </w:p>
        </w:tc>
        <w:tc>
          <w:tcPr>
            <w:tcW w:w="64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66B7" w:rsidP="00A566B7">
            <w:pPr>
              <w:pStyle w:val="BodyText"/>
            </w:pPr>
            <w:r w:rsidRPr="00A566B7">
              <w:t>Assessment of essential underpinning knowledge may be conducted in an off-site context and is to comply with regulatory and Australian standards’ requirements.</w:t>
            </w:r>
          </w:p>
          <w:p w:rsidR="00000000" w:rsidRPr="00A566B7" w:rsidP="00A566B7">
            <w:pPr>
              <w:pStyle w:val="BodyText"/>
            </w:pPr>
            <w:r w:rsidRPr="00A566B7">
              <w:t>Resource implications for assessment include access to:</w:t>
            </w:r>
          </w:p>
          <w:p w:rsidR="00000000" w:rsidRPr="00A566B7" w:rsidP="00A566B7">
            <w:pPr>
              <w:pStyle w:val="ListBullet"/>
            </w:pPr>
            <w:r w:rsidRPr="00A566B7">
              <w:t xml:space="preserve">documentation outlining access and use </w:t>
            </w:r>
            <w:r w:rsidRPr="00A566B7">
              <w:t>issues for five different types of issues</w:t>
            </w:r>
          </w:p>
          <w:p w:rsidR="00000000" w:rsidRPr="00A566B7" w:rsidP="00A566B7">
            <w:pPr>
              <w:pStyle w:val="ListBullet"/>
            </w:pPr>
            <w:r w:rsidRPr="00A566B7">
              <w:t>relevant legislation, codes, standards and guidelines</w:t>
            </w:r>
          </w:p>
          <w:p w:rsidR="00000000" w:rsidP="00A566B7">
            <w:pPr>
              <w:pStyle w:val="ListBullet"/>
              <w:rPr>
                <w:lang w:val="en-NZ"/>
              </w:rPr>
            </w:pPr>
            <w:r w:rsidRPr="00A566B7">
              <w:t>relevant specialists.</w:t>
            </w:r>
          </w:p>
        </w:tc>
      </w:tr>
      <w:tr w:rsidTr="00A566B7">
        <w:tblPrEx>
          <w:tblW w:w="0" w:type="auto"/>
          <w:tblLayout w:type="fixed"/>
          <w:tblCellMar>
            <w:left w:w="62" w:type="dxa"/>
            <w:right w:w="62" w:type="dxa"/>
          </w:tblCellMar>
          <w:tblLook w:val="0000"/>
        </w:tblPrEx>
        <w:tc>
          <w:tcPr>
            <w:tcW w:w="27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66B7">
            <w:pPr>
              <w:pStyle w:val="BodyText"/>
              <w:rPr>
                <w:lang w:val="en-NZ"/>
              </w:rPr>
            </w:pPr>
            <w:r w:rsidRPr="00A566B7">
              <w:rPr>
                <w:rStyle w:val="SpecialBold"/>
              </w:rPr>
              <w:t>Method of assessment</w:t>
            </w:r>
          </w:p>
        </w:tc>
        <w:tc>
          <w:tcPr>
            <w:tcW w:w="64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66B7" w:rsidP="00A566B7">
            <w:pPr>
              <w:pStyle w:val="BodyText"/>
            </w:pPr>
            <w:r w:rsidRPr="00A566B7">
              <w:t>Assessment methods must:</w:t>
            </w:r>
          </w:p>
          <w:p w:rsidR="00000000" w:rsidRPr="00A566B7" w:rsidP="00A566B7">
            <w:pPr>
              <w:pStyle w:val="ListBullet"/>
            </w:pPr>
            <w:r w:rsidRPr="00A566B7">
              <w:t>satisfy the endorsed Assessment Guidelines of the CPP07 Property Services Training Package</w:t>
            </w:r>
          </w:p>
          <w:p w:rsidR="00000000" w:rsidRPr="00A566B7" w:rsidP="00A566B7">
            <w:pPr>
              <w:pStyle w:val="ListBullet"/>
            </w:pPr>
            <w:r w:rsidRPr="00A566B7">
              <w:t>include direct observation of tasks in real or simulated work conditions, with questioning to confirm the ability to consistently identify and correctly interpret the essential underpinning knowledge required for practical application</w:t>
            </w:r>
          </w:p>
          <w:p w:rsidR="00000000" w:rsidRPr="00A566B7" w:rsidP="00A566B7">
            <w:pPr>
              <w:pStyle w:val="ListBullet"/>
            </w:pPr>
            <w:r w:rsidRPr="00A566B7">
              <w:t>reinforce the integr</w:t>
            </w:r>
            <w:r w:rsidRPr="00A566B7">
              <w:t>ation of employability skills with workplace tasks and job roles</w:t>
            </w:r>
          </w:p>
          <w:p w:rsidR="00000000" w:rsidP="00A566B7">
            <w:pPr>
              <w:pStyle w:val="ListBullet"/>
              <w:rPr>
                <w:lang w:val="en-NZ"/>
              </w:rPr>
            </w:pPr>
            <w:r w:rsidRPr="00A566B7">
              <w:t>confirm that competency is verified and able to be transferred to other circumstances and environments.</w:t>
            </w:r>
          </w:p>
        </w:tc>
      </w:tr>
      <w:tr w:rsidTr="00A566B7">
        <w:tblPrEx>
          <w:tblW w:w="0" w:type="auto"/>
          <w:tblLayout w:type="fixed"/>
          <w:tblCellMar>
            <w:left w:w="62" w:type="dxa"/>
            <w:right w:w="62" w:type="dxa"/>
          </w:tblCellMar>
          <w:tblLook w:val="0000"/>
        </w:tblPrEx>
        <w:tc>
          <w:tcPr>
            <w:tcW w:w="27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66B7">
            <w:pPr>
              <w:pStyle w:val="BodyText"/>
              <w:rPr>
                <w:lang w:val="en-NZ"/>
              </w:rPr>
            </w:pPr>
            <w:r w:rsidRPr="00A566B7">
              <w:rPr>
                <w:rStyle w:val="SpecialBold"/>
              </w:rPr>
              <w:t>Guidance information for assessment</w:t>
            </w:r>
          </w:p>
        </w:tc>
        <w:tc>
          <w:tcPr>
            <w:tcW w:w="64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66B7" w:rsidP="00A566B7">
            <w:pPr>
              <w:pStyle w:val="BodyText"/>
            </w:pPr>
            <w:r w:rsidRPr="00A566B7">
              <w:t>This unit could be assessed on its own or in combination with other units relevant to the job function.</w:t>
            </w:r>
          </w:p>
          <w:p w:rsidR="00000000" w:rsidRPr="00A566B7" w:rsidP="00A566B7">
            <w:pPr>
              <w:pStyle w:val="BodyText"/>
            </w:pPr>
            <w:r w:rsidRPr="00A566B7">
              <w:t>Reasonable adjustments for people with disabilities must be made to assessment processes where required. This could include access to modified equipment</w:t>
            </w:r>
            <w:r w:rsidRPr="00A566B7">
              <w:t xml:space="preserve"> and other physical resources, and the provision of appropriate assessment support.</w:t>
            </w:r>
          </w:p>
          <w:p w:rsidR="00000000" w:rsidRPr="00A566B7" w:rsidP="00A566B7">
            <w:pPr>
              <w:pStyle w:val="BodyText"/>
            </w:pPr>
            <w:r w:rsidRPr="00A566B7">
              <w:t>Assessment processes and techniques should, as far as is practical, take into account the language, literacy and numeracy capacity of the candidate in relation to the compe</w:t>
            </w:r>
            <w:r w:rsidRPr="00A566B7">
              <w:t>tency being assessed.</w:t>
            </w:r>
          </w:p>
        </w:tc>
      </w:tr>
    </w:tbl>
    <w:p w:rsidR="001E767D" w:rsidP="00A566B7">
      <w:pPr>
        <w:pStyle w:val="BodyText"/>
      </w:pPr>
    </w:p>
    <w:p w:rsidR="001E767D" w:rsidP="00A566B7">
      <w:pPr>
        <w:pStyle w:val="BodyText"/>
      </w:pPr>
    </w:p>
    <w:p w:rsidR="00000000" w:rsidRPr="00A566B7" w:rsidP="00A566B7">
      <w:pPr>
        <w:pStyle w:val="Heading1"/>
      </w:pPr>
      <w:bookmarkStart w:id="11" w:name="O_453120"/>
      <w:bookmarkEnd w:id="11"/>
      <w:r w:rsidRPr="00A566B7">
        <w:t>Range Statement</w:t>
      </w:r>
    </w:p>
    <w:tbl>
      <w:tblPr>
        <w:tblW w:w="0" w:type="auto"/>
        <w:tblLayout w:type="fixed"/>
        <w:tblCellMar>
          <w:left w:w="62" w:type="dxa"/>
          <w:right w:w="62" w:type="dxa"/>
        </w:tblCellMar>
        <w:tblLook w:val="0000"/>
      </w:tblPr>
      <w:tblGrid>
        <w:gridCol w:w="2704"/>
        <w:gridCol w:w="6475"/>
      </w:tblGrid>
      <w:tr w:rsidTr="00A566B7">
        <w:tblPrEx>
          <w:tblW w:w="0" w:type="auto"/>
          <w:tblLayout w:type="fixed"/>
          <w:tblCellMar>
            <w:left w:w="62" w:type="dxa"/>
            <w:right w:w="62" w:type="dxa"/>
          </w:tblCellMar>
          <w:tblLook w:val="0000"/>
        </w:tblPrEx>
        <w:tc>
          <w:tcPr>
            <w:tcW w:w="9179"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A566B7">
            <w:pPr>
              <w:pStyle w:val="BodyText"/>
              <w:rPr>
                <w:lang w:val="en-NZ"/>
              </w:rPr>
            </w:pPr>
            <w:r w:rsidRPr="00A566B7">
              <w:t>The range statement relates to the unit of competency as a whole. It allows for different work environments and situations that may affect performance. Bold italicised wording, if used in the perfor</w:t>
            </w:r>
            <w:r w:rsidRPr="00A566B7">
              <w:t>mance criteria, is detailed below. Essential operating conditions that may be present with training and assessment (depending on the work situation, needs of the candidate, accessibility of the item, and local industry and regional contexts) may also be in</w:t>
            </w:r>
            <w:r w:rsidRPr="00A566B7">
              <w:t>cluded.</w:t>
            </w:r>
          </w:p>
        </w:tc>
      </w:tr>
      <w:tr w:rsidTr="00A566B7">
        <w:tblPrEx>
          <w:tblW w:w="0" w:type="auto"/>
          <w:tblLayout w:type="fixed"/>
          <w:tblCellMar>
            <w:left w:w="62" w:type="dxa"/>
            <w:right w:w="62" w:type="dxa"/>
          </w:tblCellMar>
          <w:tblLook w:val="0000"/>
        </w:tblPrEx>
        <w:tc>
          <w:tcPr>
            <w:tcW w:w="27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66B7">
            <w:pPr>
              <w:pStyle w:val="BodyText"/>
              <w:rPr>
                <w:lang w:val="en-NZ"/>
              </w:rPr>
            </w:pPr>
            <w:r w:rsidRPr="00A566B7">
              <w:rPr>
                <w:rStyle w:val="BoldandItalics"/>
              </w:rPr>
              <w:t>Advice offered by access consultants</w:t>
            </w:r>
            <w:r w:rsidRPr="00A566B7">
              <w:t xml:space="preserve"> may include:</w:t>
            </w:r>
          </w:p>
        </w:tc>
        <w:tc>
          <w:tcPr>
            <w:tcW w:w="64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66B7" w:rsidP="00A566B7">
            <w:pPr>
              <w:pStyle w:val="ListBullet"/>
            </w:pPr>
            <w:r w:rsidRPr="00A566B7">
              <w:t>appropriate means of overcoming existing barriers to access and use identified during access audits</w:t>
            </w:r>
          </w:p>
          <w:p w:rsidR="00000000" w:rsidRPr="00A566B7" w:rsidP="00A566B7">
            <w:pPr>
              <w:pStyle w:val="ListBullet"/>
            </w:pPr>
            <w:r w:rsidRPr="00A566B7">
              <w:t>cases referred by Australian Human Rights Commission (AHRC)</w:t>
            </w:r>
          </w:p>
          <w:p w:rsidR="00000000" w:rsidRPr="00A566B7" w:rsidP="00A566B7">
            <w:pPr>
              <w:pStyle w:val="ListBullet"/>
            </w:pPr>
            <w:r w:rsidRPr="00A566B7">
              <w:t>correct application of access and use design principles, relevant legislation and codes</w:t>
            </w:r>
          </w:p>
          <w:p w:rsidR="00000000" w:rsidRPr="00A566B7" w:rsidP="00A566B7">
            <w:pPr>
              <w:pStyle w:val="ListBullet"/>
            </w:pPr>
            <w:r w:rsidRPr="00A566B7">
              <w:t>expert judgment as defined by the NCC</w:t>
            </w:r>
          </w:p>
          <w:p w:rsidR="00000000" w:rsidRPr="00A566B7" w:rsidP="00A566B7">
            <w:pPr>
              <w:pStyle w:val="ListBullet"/>
            </w:pPr>
            <w:r w:rsidRPr="00A566B7">
              <w:t>home modifications suitable for individuals with disabilities</w:t>
            </w:r>
          </w:p>
          <w:p w:rsidR="00000000" w:rsidRPr="00A566B7" w:rsidP="00A566B7">
            <w:pPr>
              <w:pStyle w:val="ListBullet"/>
            </w:pPr>
            <w:r w:rsidRPr="00A566B7">
              <w:t>information to assist clients in resolving disputes about the applic</w:t>
            </w:r>
            <w:r w:rsidRPr="00A566B7">
              <w:t>ation of the NCC as it applies to building accessibility</w:t>
            </w:r>
          </w:p>
          <w:p w:rsidR="00000000" w:rsidRPr="00A566B7" w:rsidP="00A566B7">
            <w:pPr>
              <w:pStyle w:val="ListBullet"/>
            </w:pPr>
            <w:r w:rsidRPr="00A566B7">
              <w:t>reasonable adjustments to workplaces for people with specific disabilities</w:t>
            </w:r>
          </w:p>
          <w:p w:rsidR="00000000" w:rsidP="00A566B7">
            <w:pPr>
              <w:pStyle w:val="ListBullet"/>
              <w:rPr>
                <w:lang w:val="en-NZ"/>
              </w:rPr>
            </w:pPr>
            <w:r w:rsidRPr="00A566B7">
              <w:t>renovations of commercial and domestic buildings to meet compliance requirements.</w:t>
            </w:r>
          </w:p>
        </w:tc>
      </w:tr>
      <w:tr w:rsidTr="00A566B7">
        <w:tblPrEx>
          <w:tblW w:w="0" w:type="auto"/>
          <w:tblLayout w:type="fixed"/>
          <w:tblCellMar>
            <w:left w:w="62" w:type="dxa"/>
            <w:right w:w="62" w:type="dxa"/>
          </w:tblCellMar>
          <w:tblLook w:val="0000"/>
        </w:tblPrEx>
        <w:tc>
          <w:tcPr>
            <w:tcW w:w="27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66B7">
            <w:pPr>
              <w:pStyle w:val="BodyText"/>
              <w:rPr>
                <w:lang w:val="en-NZ"/>
              </w:rPr>
            </w:pPr>
            <w:r w:rsidRPr="00A566B7">
              <w:rPr>
                <w:rStyle w:val="BoldandItalics"/>
              </w:rPr>
              <w:t>Specialist fields</w:t>
            </w:r>
            <w:r w:rsidRPr="00A566B7">
              <w:t xml:space="preserve"> may include:</w:t>
            </w:r>
          </w:p>
        </w:tc>
        <w:tc>
          <w:tcPr>
            <w:tcW w:w="64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66B7" w:rsidP="00A566B7">
            <w:pPr>
              <w:pStyle w:val="ListBullet"/>
            </w:pPr>
            <w:r w:rsidRPr="00A566B7">
              <w:t>access pr</w:t>
            </w:r>
            <w:r w:rsidRPr="00A566B7">
              <w:t>oduct supply</w:t>
            </w:r>
          </w:p>
          <w:p w:rsidR="00000000" w:rsidRPr="00A566B7" w:rsidP="00A566B7">
            <w:pPr>
              <w:pStyle w:val="ListBullet"/>
            </w:pPr>
            <w:r w:rsidRPr="00A566B7">
              <w:t>architecture</w:t>
            </w:r>
          </w:p>
          <w:p w:rsidR="00000000" w:rsidRPr="00A566B7" w:rsidP="00A566B7">
            <w:pPr>
              <w:pStyle w:val="ListBullet"/>
            </w:pPr>
            <w:r w:rsidRPr="00A566B7">
              <w:t>building design</w:t>
            </w:r>
          </w:p>
          <w:p w:rsidR="00000000" w:rsidRPr="00A566B7" w:rsidP="00A566B7">
            <w:pPr>
              <w:pStyle w:val="ListBullet"/>
            </w:pPr>
            <w:r w:rsidRPr="00A566B7">
              <w:t>building surveying</w:t>
            </w:r>
          </w:p>
          <w:p w:rsidR="00000000" w:rsidRPr="00A566B7" w:rsidP="00A566B7">
            <w:pPr>
              <w:pStyle w:val="ListBullet"/>
            </w:pPr>
            <w:r w:rsidRPr="00A566B7">
              <w:t>education provision</w:t>
            </w:r>
          </w:p>
          <w:p w:rsidR="00000000" w:rsidRPr="00A566B7" w:rsidP="00A566B7">
            <w:pPr>
              <w:pStyle w:val="ListBullet"/>
            </w:pPr>
            <w:r w:rsidRPr="00A566B7">
              <w:t>engineering</w:t>
            </w:r>
          </w:p>
          <w:p w:rsidR="00000000" w:rsidRPr="00A566B7" w:rsidP="00A566B7">
            <w:pPr>
              <w:pStyle w:val="ListBullet"/>
            </w:pPr>
            <w:r w:rsidRPr="00A566B7">
              <w:t>ergonomics</w:t>
            </w:r>
          </w:p>
          <w:p w:rsidR="00000000" w:rsidRPr="00A566B7" w:rsidP="00A566B7">
            <w:pPr>
              <w:pStyle w:val="ListBullet"/>
            </w:pPr>
            <w:r w:rsidRPr="00A566B7">
              <w:t>human movement</w:t>
            </w:r>
          </w:p>
          <w:p w:rsidR="00000000" w:rsidRPr="00A566B7" w:rsidP="00A566B7">
            <w:pPr>
              <w:pStyle w:val="ListBullet"/>
            </w:pPr>
            <w:r w:rsidRPr="00A566B7">
              <w:t>law</w:t>
            </w:r>
          </w:p>
          <w:p w:rsidR="00000000" w:rsidRPr="00A566B7" w:rsidP="00A566B7">
            <w:pPr>
              <w:pStyle w:val="ListBullet"/>
            </w:pPr>
            <w:r w:rsidRPr="00A566B7">
              <w:t>medicine</w:t>
            </w:r>
          </w:p>
          <w:p w:rsidR="00000000" w:rsidRPr="00A566B7" w:rsidP="00A566B7">
            <w:pPr>
              <w:pStyle w:val="ListBullet"/>
            </w:pPr>
            <w:r w:rsidRPr="00A566B7">
              <w:t>mobility</w:t>
            </w:r>
          </w:p>
          <w:p w:rsidR="00000000" w:rsidRPr="00A566B7" w:rsidP="00A566B7">
            <w:pPr>
              <w:pStyle w:val="ListBullet"/>
            </w:pPr>
            <w:r w:rsidRPr="00A566B7">
              <w:t>occupational therapy</w:t>
            </w:r>
          </w:p>
          <w:p w:rsidR="00000000" w:rsidRPr="00A566B7" w:rsidP="00A566B7">
            <w:pPr>
              <w:pStyle w:val="ListBullet"/>
            </w:pPr>
            <w:r w:rsidRPr="00A566B7">
              <w:t>orientation</w:t>
            </w:r>
          </w:p>
          <w:p w:rsidR="00000000" w:rsidRPr="00A566B7" w:rsidP="00A566B7">
            <w:pPr>
              <w:pStyle w:val="ListBullet"/>
            </w:pPr>
            <w:r w:rsidRPr="00A566B7">
              <w:t>vision orientation</w:t>
            </w:r>
          </w:p>
          <w:p w:rsidR="00000000" w:rsidP="00A566B7">
            <w:pPr>
              <w:pStyle w:val="ListBullet"/>
              <w:rPr>
                <w:lang w:val="en-NZ"/>
              </w:rPr>
            </w:pPr>
            <w:r w:rsidRPr="00A566B7">
              <w:t>wayfinding.</w:t>
            </w:r>
          </w:p>
        </w:tc>
      </w:tr>
      <w:tr w:rsidTr="00A566B7">
        <w:tblPrEx>
          <w:tblW w:w="0" w:type="auto"/>
          <w:tblLayout w:type="fixed"/>
          <w:tblCellMar>
            <w:left w:w="62" w:type="dxa"/>
            <w:right w:w="62" w:type="dxa"/>
          </w:tblCellMar>
          <w:tblLook w:val="0000"/>
        </w:tblPrEx>
        <w:tc>
          <w:tcPr>
            <w:tcW w:w="27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66B7">
            <w:pPr>
              <w:pStyle w:val="BodyText"/>
              <w:rPr>
                <w:lang w:val="en-NZ"/>
              </w:rPr>
            </w:pPr>
            <w:r w:rsidRPr="00A566B7">
              <w:rPr>
                <w:rStyle w:val="BoldandItalics"/>
              </w:rPr>
              <w:t>Individuals and organisations</w:t>
            </w:r>
            <w:r w:rsidRPr="00A566B7">
              <w:t xml:space="preserve"> may include:</w:t>
            </w:r>
          </w:p>
        </w:tc>
        <w:tc>
          <w:tcPr>
            <w:tcW w:w="64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66B7" w:rsidP="00A566B7">
            <w:pPr>
              <w:pStyle w:val="ListBullet"/>
            </w:pPr>
            <w:r w:rsidRPr="00A566B7">
              <w:t>access officers</w:t>
            </w:r>
          </w:p>
          <w:p w:rsidR="00000000" w:rsidRPr="00A566B7" w:rsidP="00A566B7">
            <w:pPr>
              <w:pStyle w:val="ListBullet"/>
            </w:pPr>
            <w:r w:rsidRPr="00A566B7">
              <w:t>access and equity officers</w:t>
            </w:r>
          </w:p>
          <w:p w:rsidR="00000000" w:rsidRPr="00A566B7" w:rsidP="00A566B7">
            <w:pPr>
              <w:pStyle w:val="ListBullet"/>
            </w:pPr>
            <w:r w:rsidRPr="00A566B7">
              <w:t>architects</w:t>
            </w:r>
          </w:p>
          <w:p w:rsidR="00000000" w:rsidRPr="00A566B7" w:rsidP="00A566B7">
            <w:pPr>
              <w:pStyle w:val="ListBullet"/>
            </w:pPr>
            <w:r w:rsidRPr="00A566B7">
              <w:t>builders</w:t>
            </w:r>
          </w:p>
          <w:p w:rsidR="00000000" w:rsidRPr="00A566B7" w:rsidP="00A566B7">
            <w:pPr>
              <w:pStyle w:val="ListBullet"/>
            </w:pPr>
            <w:r w:rsidRPr="00A566B7">
              <w:t>building designers</w:t>
            </w:r>
          </w:p>
          <w:p w:rsidR="00000000" w:rsidRPr="00A566B7" w:rsidP="00A566B7">
            <w:pPr>
              <w:pStyle w:val="ListBullet"/>
            </w:pPr>
            <w:r w:rsidRPr="00A566B7">
              <w:t>building surveyors</w:t>
            </w:r>
          </w:p>
          <w:p w:rsidR="00000000" w:rsidRPr="00A566B7" w:rsidP="00A566B7">
            <w:pPr>
              <w:pStyle w:val="ListBullet"/>
            </w:pPr>
            <w:r w:rsidRPr="00A566B7">
              <w:t>councils</w:t>
            </w:r>
          </w:p>
          <w:p w:rsidR="00000000" w:rsidRPr="00A566B7" w:rsidP="00A566B7">
            <w:pPr>
              <w:pStyle w:val="ListBullet"/>
            </w:pPr>
            <w:r w:rsidRPr="00A566B7">
              <w:t>developers</w:t>
            </w:r>
          </w:p>
          <w:p w:rsidR="00000000" w:rsidRPr="00A566B7" w:rsidP="00A566B7">
            <w:pPr>
              <w:pStyle w:val="ListBullet"/>
            </w:pPr>
            <w:r w:rsidRPr="00A566B7">
              <w:t>engineers</w:t>
            </w:r>
          </w:p>
          <w:p w:rsidR="00000000" w:rsidRPr="00A566B7" w:rsidP="00A566B7">
            <w:pPr>
              <w:pStyle w:val="ListBullet"/>
            </w:pPr>
            <w:r w:rsidRPr="00A566B7">
              <w:t>lawyers</w:t>
            </w:r>
          </w:p>
          <w:p w:rsidR="00000000" w:rsidRPr="00A566B7" w:rsidP="00A566B7">
            <w:pPr>
              <w:pStyle w:val="ListBullet"/>
            </w:pPr>
            <w:r w:rsidRPr="00A566B7">
              <w:t>occupational therapists</w:t>
            </w:r>
          </w:p>
          <w:p w:rsidR="00000000" w:rsidRPr="00A566B7" w:rsidP="00A566B7">
            <w:pPr>
              <w:pStyle w:val="ListBullet"/>
            </w:pPr>
            <w:r w:rsidRPr="00A566B7">
              <w:t>owners and managers</w:t>
            </w:r>
          </w:p>
          <w:p w:rsidR="00000000" w:rsidRPr="00A566B7" w:rsidP="00A566B7">
            <w:pPr>
              <w:pStyle w:val="ListBullet"/>
            </w:pPr>
            <w:r w:rsidRPr="00A566B7">
              <w:t>planners</w:t>
            </w:r>
          </w:p>
          <w:p w:rsidR="00000000" w:rsidRPr="00A566B7" w:rsidP="00A566B7">
            <w:pPr>
              <w:pStyle w:val="ListBullet"/>
            </w:pPr>
            <w:r w:rsidRPr="00A566B7">
              <w:t>policy makers</w:t>
            </w:r>
          </w:p>
          <w:p w:rsidR="00000000" w:rsidRPr="00A566B7" w:rsidP="00A566B7">
            <w:pPr>
              <w:pStyle w:val="ListBullet"/>
            </w:pPr>
            <w:r w:rsidRPr="00A566B7">
              <w:t>surveyors</w:t>
            </w:r>
          </w:p>
          <w:p w:rsidR="00000000" w:rsidRPr="00A566B7" w:rsidP="00A566B7">
            <w:pPr>
              <w:pStyle w:val="ListBullet"/>
            </w:pPr>
            <w:r w:rsidRPr="00A566B7">
              <w:t>users of the built environment</w:t>
            </w:r>
          </w:p>
          <w:p w:rsidR="00000000" w:rsidP="00A566B7">
            <w:pPr>
              <w:pStyle w:val="ListBullet"/>
              <w:rPr>
                <w:lang w:val="en-NZ"/>
              </w:rPr>
            </w:pPr>
            <w:r w:rsidRPr="00A566B7">
              <w:t>welfare rights and advocacy groups.</w:t>
            </w:r>
          </w:p>
        </w:tc>
      </w:tr>
      <w:tr w:rsidTr="00A566B7">
        <w:tblPrEx>
          <w:tblW w:w="0" w:type="auto"/>
          <w:tblLayout w:type="fixed"/>
          <w:tblCellMar>
            <w:left w:w="62" w:type="dxa"/>
            <w:right w:w="62" w:type="dxa"/>
          </w:tblCellMar>
          <w:tblLook w:val="0000"/>
        </w:tblPrEx>
        <w:tc>
          <w:tcPr>
            <w:tcW w:w="27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66B7">
            <w:pPr>
              <w:pStyle w:val="BodyText"/>
              <w:rPr>
                <w:lang w:val="en-NZ"/>
              </w:rPr>
            </w:pPr>
            <w:r w:rsidRPr="00A566B7">
              <w:rPr>
                <w:rStyle w:val="SpecialBold"/>
              </w:rPr>
              <w:t xml:space="preserve">Risk management </w:t>
            </w:r>
            <w:r w:rsidRPr="00A566B7">
              <w:t>may include</w:t>
            </w:r>
            <w:r w:rsidRPr="00A566B7">
              <w:rPr>
                <w:rStyle w:val="SpecialBold"/>
              </w:rPr>
              <w:t>:</w:t>
            </w:r>
          </w:p>
        </w:tc>
        <w:tc>
          <w:tcPr>
            <w:tcW w:w="64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66B7" w:rsidP="00A566B7">
            <w:pPr>
              <w:pStyle w:val="ListBullet"/>
            </w:pPr>
            <w:r w:rsidRPr="00A566B7">
              <w:t>applying quality assurance systems</w:t>
            </w:r>
          </w:p>
          <w:p w:rsidR="00000000" w:rsidRPr="00A566B7" w:rsidP="00A566B7">
            <w:pPr>
              <w:pStyle w:val="ListBullet"/>
            </w:pPr>
            <w:r w:rsidRPr="00A566B7">
              <w:t>declining to give advice</w:t>
            </w:r>
          </w:p>
          <w:p w:rsidR="00000000" w:rsidP="00A566B7">
            <w:pPr>
              <w:pStyle w:val="ListBullet"/>
              <w:rPr>
                <w:lang w:val="en-NZ"/>
              </w:rPr>
            </w:pPr>
            <w:r w:rsidRPr="00A566B7">
              <w:t>obtaining third-party advice.</w:t>
            </w:r>
          </w:p>
        </w:tc>
      </w:tr>
      <w:tr w:rsidTr="00A566B7">
        <w:tblPrEx>
          <w:tblW w:w="0" w:type="auto"/>
          <w:tblLayout w:type="fixed"/>
          <w:tblCellMar>
            <w:left w:w="62" w:type="dxa"/>
            <w:right w:w="62" w:type="dxa"/>
          </w:tblCellMar>
          <w:tblLook w:val="0000"/>
        </w:tblPrEx>
        <w:tc>
          <w:tcPr>
            <w:tcW w:w="27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66B7">
            <w:pPr>
              <w:pStyle w:val="BodyText"/>
              <w:rPr>
                <w:lang w:val="en-NZ"/>
              </w:rPr>
            </w:pPr>
            <w:r w:rsidRPr="00A566B7">
              <w:rPr>
                <w:rStyle w:val="BoldandItalics"/>
              </w:rPr>
              <w:t>Appropriate insurance</w:t>
            </w:r>
            <w:r w:rsidRPr="00A566B7">
              <w:t xml:space="preserve"> may include:</w:t>
            </w:r>
          </w:p>
        </w:tc>
        <w:tc>
          <w:tcPr>
            <w:tcW w:w="64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66B7" w:rsidP="00A566B7">
            <w:pPr>
              <w:pStyle w:val="ListBullet"/>
            </w:pPr>
            <w:r w:rsidRPr="00A566B7">
              <w:t>business risk policies, such as loss of profits</w:t>
            </w:r>
          </w:p>
          <w:p w:rsidR="00000000" w:rsidRPr="00A566B7" w:rsidP="00A566B7">
            <w:pPr>
              <w:pStyle w:val="ListBullet"/>
            </w:pPr>
            <w:r w:rsidRPr="00A566B7">
              <w:t xml:space="preserve">personal accident and injury </w:t>
            </w:r>
          </w:p>
          <w:p w:rsidR="00000000" w:rsidRPr="00A566B7" w:rsidP="00A566B7">
            <w:pPr>
              <w:pStyle w:val="ListBullet"/>
            </w:pPr>
            <w:r w:rsidRPr="00A566B7">
              <w:t>professional indemnity</w:t>
            </w:r>
          </w:p>
          <w:p w:rsidR="00000000" w:rsidRPr="00A566B7" w:rsidP="00A566B7">
            <w:pPr>
              <w:pStyle w:val="ListBullet"/>
            </w:pPr>
            <w:r w:rsidRPr="00A566B7">
              <w:t>public liability</w:t>
            </w:r>
          </w:p>
          <w:p w:rsidR="00000000" w:rsidRPr="00A566B7" w:rsidP="00A566B7">
            <w:pPr>
              <w:pStyle w:val="ListBullet"/>
            </w:pPr>
            <w:r w:rsidRPr="00A566B7">
              <w:t xml:space="preserve">vehicle </w:t>
            </w:r>
          </w:p>
          <w:p w:rsidR="00000000" w:rsidP="00A566B7">
            <w:pPr>
              <w:pStyle w:val="ListBullet"/>
              <w:rPr>
                <w:lang w:val="en-NZ"/>
              </w:rPr>
            </w:pPr>
            <w:r w:rsidRPr="00A566B7">
              <w:t>workers compensation.</w:t>
            </w:r>
          </w:p>
        </w:tc>
      </w:tr>
      <w:tr w:rsidTr="00A566B7">
        <w:tblPrEx>
          <w:tblW w:w="0" w:type="auto"/>
          <w:tblLayout w:type="fixed"/>
          <w:tblCellMar>
            <w:left w:w="62" w:type="dxa"/>
            <w:right w:w="62" w:type="dxa"/>
          </w:tblCellMar>
          <w:tblLook w:val="0000"/>
        </w:tblPrEx>
        <w:tc>
          <w:tcPr>
            <w:tcW w:w="27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66B7">
            <w:pPr>
              <w:pStyle w:val="BodyText"/>
              <w:rPr>
                <w:lang w:val="en-NZ"/>
              </w:rPr>
            </w:pPr>
            <w:r w:rsidRPr="00A566B7">
              <w:rPr>
                <w:rStyle w:val="BoldandItalics"/>
              </w:rPr>
              <w:t>Legislation, codes and standards</w:t>
            </w:r>
            <w:r w:rsidRPr="00A566B7">
              <w:t xml:space="preserve"> may include:</w:t>
            </w:r>
          </w:p>
        </w:tc>
        <w:tc>
          <w:tcPr>
            <w:tcW w:w="64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66B7" w:rsidP="00A566B7">
            <w:pPr>
              <w:pStyle w:val="ListBullet"/>
            </w:pPr>
            <w:r w:rsidRPr="00A566B7">
              <w:t>Australian and international standards</w:t>
            </w:r>
          </w:p>
          <w:p w:rsidR="00000000" w:rsidRPr="00A566B7" w:rsidP="00A566B7">
            <w:pPr>
              <w:pStyle w:val="ListBullet"/>
            </w:pPr>
            <w:r w:rsidRPr="00A566B7">
              <w:t>Australian and international guideline documents</w:t>
            </w:r>
          </w:p>
          <w:p w:rsidR="00000000" w:rsidRPr="00A566B7" w:rsidP="00A566B7">
            <w:pPr>
              <w:pStyle w:val="ListBullet"/>
            </w:pPr>
            <w:r w:rsidRPr="00A566B7">
              <w:t>Disability (Access to Premises – Buildings) Standards, known as the Premises Standards (PS)</w:t>
            </w:r>
          </w:p>
          <w:p w:rsidR="00000000" w:rsidRPr="00A566B7" w:rsidP="00A566B7">
            <w:pPr>
              <w:pStyle w:val="ListBullet"/>
            </w:pPr>
            <w:r w:rsidRPr="00A566B7">
              <w:t>Disability Discrimination Act and regulations and amendments</w:t>
            </w:r>
          </w:p>
          <w:p w:rsidR="00000000" w:rsidRPr="00A566B7" w:rsidP="00A566B7">
            <w:pPr>
              <w:pStyle w:val="ListBullet"/>
            </w:pPr>
            <w:r w:rsidRPr="00A566B7">
              <w:t>Disability Standards for Accessible Public Transport (DSAPT)</w:t>
            </w:r>
          </w:p>
          <w:p w:rsidR="00000000" w:rsidRPr="00A566B7" w:rsidP="00A566B7">
            <w:pPr>
              <w:pStyle w:val="ListBullet"/>
            </w:pPr>
            <w:r w:rsidRPr="00A566B7">
              <w:t>Disability Standards for Education</w:t>
            </w:r>
          </w:p>
          <w:p w:rsidR="00000000" w:rsidRPr="00A566B7" w:rsidP="00A566B7">
            <w:pPr>
              <w:pStyle w:val="ListBullet"/>
            </w:pPr>
            <w:r w:rsidRPr="00A566B7">
              <w:t>NCC</w:t>
            </w:r>
          </w:p>
          <w:p w:rsidR="00000000" w:rsidRPr="00A566B7" w:rsidP="00A566B7">
            <w:pPr>
              <w:pStyle w:val="ListBullet"/>
            </w:pPr>
            <w:r w:rsidRPr="00A566B7">
              <w:t>sta</w:t>
            </w:r>
            <w:r w:rsidRPr="00A566B7">
              <w:t>te, territory and local authority legislation, regulations and planning requirements.</w:t>
            </w:r>
          </w:p>
        </w:tc>
      </w:tr>
    </w:tbl>
    <w:p w:rsidR="001E767D" w:rsidP="00A566B7">
      <w:pPr>
        <w:pStyle w:val="BodyText"/>
      </w:pPr>
    </w:p>
    <w:p w:rsidR="001E767D" w:rsidP="00A566B7">
      <w:pPr>
        <w:pStyle w:val="BodyText"/>
      </w:pPr>
    </w:p>
    <w:p w:rsidR="00000000" w:rsidRPr="00A566B7" w:rsidP="00A566B7">
      <w:pPr>
        <w:pStyle w:val="Heading1"/>
      </w:pPr>
      <w:bookmarkStart w:id="12" w:name="O_453121"/>
      <w:bookmarkEnd w:id="12"/>
      <w:r w:rsidRPr="00A566B7">
        <w:t>Unit Sector(s)</w:t>
      </w:r>
    </w:p>
    <w:p w:rsidR="00000000" w:rsidRPr="00A566B7" w:rsidP="00A566B7">
      <w:pPr>
        <w:pStyle w:val="BodyText"/>
      </w:pPr>
      <w:r w:rsidRPr="00A566B7">
        <w:t>Access consulting</w:t>
      </w:r>
    </w:p>
    <w:p w:rsidR="00000000" w:rsidRPr="00A566B7" w:rsidP="00A566B7">
      <w:pPr>
        <w:pStyle w:val="AllowPageBreak"/>
      </w:pPr>
    </w:p>
    <w:p w:rsidR="00000000" w:rsidRPr="00A566B7" w:rsidP="00A566B7">
      <w:pPr>
        <w:pStyle w:val="Heading1"/>
      </w:pPr>
      <w:bookmarkStart w:id="13" w:name="O_453122"/>
      <w:bookmarkEnd w:id="13"/>
      <w:r w:rsidRPr="00A566B7">
        <w:t>Custom Content Section</w:t>
      </w:r>
    </w:p>
    <w:p w:rsidR="00000000" w:rsidRPr="00A566B7" w:rsidP="00A566B7">
      <w:pPr>
        <w:pStyle w:val="BodyText"/>
      </w:pPr>
      <w:r w:rsidRPr="00A566B7">
        <w:t>Not applicable.</w:t>
      </w:r>
    </w:p>
    <w:p w:rsidR="00000000" w:rsidRPr="00A566B7" w:rsidP="00A566B7"/>
    <w:sectPr w:rsidSect="00A566B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66B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E767D" w:rsidP="001E767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66B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767D" w:rsidP="00A566B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1E767D" w:rsidP="00A566B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1E767D" w:rsidP="00A566B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66B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E767D" w:rsidP="001E767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66B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767D" w:rsidP="00A566B7">
    <w:pPr>
      <w:pStyle w:val="Header"/>
      <w:framePr w:wrap="around"/>
    </w:pPr>
    <w:r>
      <w:fldChar w:fldCharType="begin"/>
    </w:r>
    <w:r>
      <w:instrText xml:space="preserve"> TITLE   \* MERGEFORMAT </w:instrText>
    </w:r>
    <w:r>
      <w:fldChar w:fldCharType="separate"/>
    </w:r>
    <w:r>
      <w:t>CPPACC8003A Provide advice on solutions to access and use issues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1E767D" w:rsidP="00A566B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1FE056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6388E9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8E8F05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66B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566B7"/>
    <w:pPr>
      <w:spacing w:before="360" w:after="60"/>
      <w:outlineLvl w:val="0"/>
    </w:pPr>
    <w:rPr>
      <w:sz w:val="32"/>
    </w:rPr>
  </w:style>
  <w:style w:type="paragraph" w:styleId="Heading2">
    <w:name w:val="heading 2"/>
    <w:basedOn w:val="HeadingBase"/>
    <w:next w:val="BodyText"/>
    <w:link w:val="Heading2Char"/>
    <w:qFormat/>
    <w:rsid w:val="00A566B7"/>
    <w:pPr>
      <w:keepLines/>
      <w:spacing w:before="240" w:after="120"/>
      <w:outlineLvl w:val="1"/>
    </w:pPr>
    <w:rPr>
      <w:sz w:val="28"/>
      <w:szCs w:val="40"/>
    </w:rPr>
  </w:style>
  <w:style w:type="paragraph" w:styleId="Heading3">
    <w:name w:val="heading 3"/>
    <w:basedOn w:val="HeadingBase"/>
    <w:next w:val="BodyText"/>
    <w:link w:val="Heading3Char"/>
    <w:qFormat/>
    <w:rsid w:val="00A566B7"/>
    <w:pPr>
      <w:spacing w:before="180" w:after="120"/>
      <w:outlineLvl w:val="2"/>
    </w:pPr>
    <w:rPr>
      <w:spacing w:val="-10"/>
      <w:kern w:val="32"/>
    </w:rPr>
  </w:style>
  <w:style w:type="paragraph" w:styleId="Heading4">
    <w:name w:val="heading 4"/>
    <w:basedOn w:val="HeadingBase"/>
    <w:next w:val="BodyText"/>
    <w:link w:val="Heading4Char"/>
    <w:qFormat/>
    <w:rsid w:val="00A566B7"/>
    <w:pPr>
      <w:spacing w:before="160" w:after="120"/>
      <w:outlineLvl w:val="3"/>
    </w:pPr>
    <w:rPr>
      <w:sz w:val="22"/>
    </w:rPr>
  </w:style>
  <w:style w:type="paragraph" w:styleId="Heading5">
    <w:name w:val="heading 5"/>
    <w:basedOn w:val="HeadingBase"/>
    <w:next w:val="Normal"/>
    <w:link w:val="Heading5Char"/>
    <w:qFormat/>
    <w:rsid w:val="00A566B7"/>
    <w:pPr>
      <w:spacing w:before="80"/>
      <w:outlineLvl w:val="4"/>
    </w:pPr>
    <w:rPr>
      <w:color w:val="918585"/>
      <w:sz w:val="20"/>
    </w:rPr>
  </w:style>
  <w:style w:type="paragraph" w:styleId="Heading6">
    <w:name w:val="heading 6"/>
    <w:basedOn w:val="HeadingBase"/>
    <w:next w:val="Normal"/>
    <w:link w:val="Heading6Char"/>
    <w:qFormat/>
    <w:rsid w:val="00A566B7"/>
    <w:pPr>
      <w:spacing w:before="60"/>
      <w:outlineLvl w:val="5"/>
    </w:pPr>
    <w:rPr>
      <w:color w:val="918585"/>
      <w:sz w:val="20"/>
    </w:rPr>
  </w:style>
  <w:style w:type="paragraph" w:styleId="Heading7">
    <w:name w:val="heading 7"/>
    <w:basedOn w:val="Normal"/>
    <w:next w:val="Normal"/>
    <w:link w:val="Heading7Char"/>
    <w:qFormat/>
    <w:rsid w:val="00A566B7"/>
    <w:pPr>
      <w:ind w:left="720"/>
      <w:outlineLvl w:val="6"/>
    </w:pPr>
    <w:rPr>
      <w:i/>
    </w:rPr>
  </w:style>
  <w:style w:type="paragraph" w:styleId="Heading8">
    <w:name w:val="heading 8"/>
    <w:basedOn w:val="Normal"/>
    <w:next w:val="Normal"/>
    <w:link w:val="Heading8Char"/>
    <w:qFormat/>
    <w:rsid w:val="00A566B7"/>
    <w:pPr>
      <w:ind w:left="720"/>
      <w:outlineLvl w:val="7"/>
    </w:pPr>
    <w:rPr>
      <w:i/>
    </w:rPr>
  </w:style>
  <w:style w:type="paragraph" w:styleId="Heading9">
    <w:name w:val="heading 9"/>
    <w:basedOn w:val="Normal"/>
    <w:next w:val="Normal"/>
    <w:link w:val="Heading9Char"/>
    <w:qFormat/>
    <w:rsid w:val="00A566B7"/>
    <w:pPr>
      <w:ind w:left="720"/>
      <w:outlineLvl w:val="8"/>
    </w:pPr>
    <w:rPr>
      <w:i/>
    </w:rPr>
  </w:style>
  <w:style w:type="character" w:default="1" w:styleId="DefaultParagraphFont">
    <w:name w:val="Default Paragraph Font"/>
    <w:uiPriority w:val="1"/>
    <w:unhideWhenUsed/>
    <w:rsid w:val="00A566B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566B7"/>
  </w:style>
  <w:style w:type="character" w:customStyle="1" w:styleId="Heading1Char">
    <w:name w:val="Heading 1 Char"/>
    <w:basedOn w:val="DefaultParagraphFont"/>
    <w:link w:val="Heading1"/>
    <w:rsid w:val="00A566B7"/>
    <w:rPr>
      <w:rFonts w:ascii="Times New Roman" w:eastAsia="Times New Roman" w:hAnsi="Times New Roman" w:cs="Times New Roman"/>
      <w:b/>
      <w:sz w:val="32"/>
      <w:szCs w:val="20"/>
      <w:lang w:eastAsia="en-US"/>
    </w:rPr>
  </w:style>
  <w:style w:type="paragraph" w:styleId="BodyText">
    <w:name w:val="Body Text"/>
    <w:basedOn w:val="Normal"/>
    <w:link w:val="BodyTextChar"/>
    <w:rsid w:val="00A566B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566B7"/>
    <w:rPr>
      <w:rFonts w:ascii="Times New Roman" w:eastAsia="Times New Roman" w:hAnsi="Times New Roman" w:cs="Times New Roman"/>
      <w:sz w:val="24"/>
      <w:lang w:val="en-US" w:eastAsia="en-US"/>
    </w:rPr>
  </w:style>
  <w:style w:type="paragraph" w:styleId="Footer">
    <w:name w:val="footer"/>
    <w:basedOn w:val="Normal"/>
    <w:link w:val="FooterChar"/>
    <w:rsid w:val="00A566B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566B7"/>
    <w:rPr>
      <w:rFonts w:ascii="Times New Roman" w:eastAsia="Times New Roman" w:hAnsi="Times New Roman" w:cs="Times New Roman"/>
      <w:sz w:val="16"/>
      <w:lang w:val="en-US" w:eastAsia="en-US"/>
    </w:rPr>
  </w:style>
  <w:style w:type="paragraph" w:styleId="ListBullet">
    <w:name w:val="List Bullet"/>
    <w:basedOn w:val="List"/>
    <w:rsid w:val="00A566B7"/>
    <w:pPr>
      <w:numPr>
        <w:numId w:val="14"/>
      </w:numPr>
      <w:tabs>
        <w:tab w:val="clear" w:pos="340"/>
      </w:tabs>
      <w:spacing w:before="40" w:after="40"/>
    </w:pPr>
  </w:style>
  <w:style w:type="character" w:customStyle="1" w:styleId="SpecialBold">
    <w:name w:val="Special Bold"/>
    <w:basedOn w:val="DefaultParagraphFont"/>
    <w:rsid w:val="00A566B7"/>
    <w:rPr>
      <w:b/>
      <w:spacing w:val="0"/>
    </w:rPr>
  </w:style>
  <w:style w:type="paragraph" w:styleId="ListBullet2">
    <w:name w:val="List Bullet 2"/>
    <w:basedOn w:val="List2"/>
    <w:rsid w:val="00A566B7"/>
    <w:pPr>
      <w:numPr>
        <w:numId w:val="15"/>
      </w:numPr>
      <w:tabs>
        <w:tab w:val="clear" w:pos="680"/>
      </w:tabs>
    </w:pPr>
  </w:style>
  <w:style w:type="paragraph" w:styleId="Header">
    <w:name w:val="header"/>
    <w:basedOn w:val="Normal"/>
    <w:link w:val="HeaderChar"/>
    <w:rsid w:val="00A566B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566B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566B7"/>
    <w:pPr>
      <w:spacing w:before="240" w:after="120"/>
      <w:outlineLvl w:val="0"/>
    </w:pPr>
    <w:rPr>
      <w:rFonts w:ascii="Times New Roman" w:hAnsi="Times New Roman"/>
      <w:b/>
      <w:sz w:val="28"/>
    </w:rPr>
  </w:style>
  <w:style w:type="paragraph" w:customStyle="1" w:styleId="AllowPageBreak">
    <w:name w:val="AllowPageBreak"/>
    <w:rsid w:val="00A566B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A566B7"/>
    <w:pPr>
      <w:numPr>
        <w:numId w:val="3"/>
      </w:numPr>
      <w:tabs>
        <w:tab w:val="clear" w:pos="1021"/>
      </w:tabs>
      <w:ind w:left="1037" w:hanging="357"/>
    </w:pPr>
  </w:style>
  <w:style w:type="character" w:customStyle="1" w:styleId="BoldandItalics">
    <w:name w:val="Bold and Italics"/>
    <w:qFormat/>
    <w:rsid w:val="00A566B7"/>
    <w:rPr>
      <w:b/>
      <w:i/>
      <w:u w:val="none"/>
    </w:rPr>
  </w:style>
  <w:style w:type="character" w:customStyle="1" w:styleId="Heading2Char">
    <w:name w:val="Heading 2 Char"/>
    <w:basedOn w:val="DefaultParagraphFont"/>
    <w:link w:val="Heading2"/>
    <w:rsid w:val="00A566B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566B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566B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566B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566B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566B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566B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566B7"/>
    <w:rPr>
      <w:rFonts w:ascii="Courier New" w:eastAsia="Times New Roman" w:hAnsi="Courier New" w:cs="Times New Roman"/>
      <w:i/>
      <w:szCs w:val="20"/>
      <w:lang w:val="en-US" w:eastAsia="en-US"/>
    </w:rPr>
  </w:style>
  <w:style w:type="paragraph" w:customStyle="1" w:styleId="HeadingBase">
    <w:name w:val="Heading Base"/>
    <w:rsid w:val="00A566B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566B7"/>
    <w:pPr>
      <w:tabs>
        <w:tab w:val="right" w:leader="dot" w:pos="9072"/>
      </w:tabs>
      <w:ind w:left="567"/>
    </w:pPr>
    <w:rPr>
      <w:szCs w:val="22"/>
    </w:rPr>
  </w:style>
  <w:style w:type="paragraph" w:customStyle="1" w:styleId="TOCBase">
    <w:name w:val="TOC Base"/>
    <w:rsid w:val="00A566B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566B7"/>
    <w:pPr>
      <w:tabs>
        <w:tab w:val="right" w:leader="dot" w:pos="9072"/>
      </w:tabs>
      <w:spacing w:before="40" w:after="40"/>
      <w:ind w:left="284"/>
    </w:pPr>
    <w:rPr>
      <w:rFonts w:ascii="Times New Roman" w:hAnsi="Times New Roman"/>
    </w:rPr>
  </w:style>
  <w:style w:type="paragraph" w:styleId="TOC1">
    <w:name w:val="toc 1"/>
    <w:basedOn w:val="TOCBase"/>
    <w:next w:val="Normal"/>
    <w:rsid w:val="00A566B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566B7"/>
    <w:pPr>
      <w:spacing w:before="5040"/>
      <w:jc w:val="center"/>
    </w:pPr>
    <w:rPr>
      <w:sz w:val="48"/>
      <w:szCs w:val="72"/>
      <w:lang w:val="en-US"/>
    </w:rPr>
  </w:style>
  <w:style w:type="character" w:customStyle="1" w:styleId="TitleChar">
    <w:name w:val="Title Char"/>
    <w:basedOn w:val="DefaultParagraphFont"/>
    <w:link w:val="Title"/>
    <w:rsid w:val="00A566B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566B7"/>
    <w:pPr>
      <w:tabs>
        <w:tab w:val="left" w:pos="3600"/>
        <w:tab w:val="left" w:pos="3958"/>
      </w:tabs>
    </w:pPr>
  </w:style>
  <w:style w:type="paragraph" w:styleId="List">
    <w:name w:val="List"/>
    <w:basedOn w:val="BodyText"/>
    <w:next w:val="BodyText"/>
    <w:rsid w:val="00A566B7"/>
    <w:pPr>
      <w:tabs>
        <w:tab w:val="left" w:pos="340"/>
      </w:tabs>
      <w:spacing w:before="60" w:after="60"/>
      <w:ind w:left="340" w:hanging="340"/>
    </w:pPr>
  </w:style>
  <w:style w:type="paragraph" w:customStyle="1" w:styleId="Note">
    <w:name w:val="Note"/>
    <w:basedOn w:val="BodyText"/>
    <w:rsid w:val="00A566B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566B7"/>
    <w:pPr>
      <w:framePr w:wrap="auto" w:hAnchor="text" w:y="6049"/>
    </w:pPr>
    <w:rPr>
      <w:color w:val="000000"/>
      <w:sz w:val="40"/>
    </w:rPr>
  </w:style>
  <w:style w:type="paragraph" w:customStyle="1" w:styleId="TOCTitle">
    <w:name w:val="TOCTitle"/>
    <w:basedOn w:val="Heading1"/>
    <w:rsid w:val="00A566B7"/>
    <w:pPr>
      <w:spacing w:after="240"/>
      <w:jc w:val="center"/>
      <w:outlineLvl w:val="9"/>
    </w:pPr>
    <w:rPr>
      <w:caps/>
    </w:rPr>
  </w:style>
  <w:style w:type="paragraph" w:customStyle="1" w:styleId="Version">
    <w:name w:val="Version"/>
    <w:rsid w:val="00A566B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566B7"/>
    <w:pPr>
      <w:keepNext w:val="0"/>
      <w:tabs>
        <w:tab w:val="right" w:pos="4176"/>
      </w:tabs>
      <w:ind w:left="198" w:hanging="198"/>
    </w:pPr>
    <w:rPr>
      <w:rFonts w:ascii="Garamond" w:hAnsi="Garamond"/>
    </w:rPr>
  </w:style>
  <w:style w:type="paragraph" w:styleId="IndexHeading">
    <w:name w:val="index heading"/>
    <w:basedOn w:val="Normal"/>
    <w:next w:val="Index1"/>
    <w:semiHidden/>
    <w:rsid w:val="00A566B7"/>
    <w:pPr>
      <w:spacing w:before="120" w:after="120"/>
    </w:pPr>
    <w:rPr>
      <w:rFonts w:ascii="Arial" w:hAnsi="Arial"/>
      <w:b/>
      <w:color w:val="918585"/>
      <w:sz w:val="24"/>
    </w:rPr>
  </w:style>
  <w:style w:type="paragraph" w:customStyle="1" w:styleId="Chapter">
    <w:name w:val="Chapter"/>
    <w:basedOn w:val="Normal"/>
    <w:rsid w:val="00A566B7"/>
    <w:pPr>
      <w:spacing w:before="240"/>
    </w:pPr>
    <w:rPr>
      <w:rFonts w:ascii="Times New Roman" w:hAnsi="Times New Roman"/>
      <w:smallCaps/>
      <w:spacing w:val="80"/>
      <w:sz w:val="28"/>
    </w:rPr>
  </w:style>
  <w:style w:type="paragraph" w:customStyle="1" w:styleId="InChapter">
    <w:name w:val="InChapter"/>
    <w:basedOn w:val="Heading3"/>
    <w:rsid w:val="00A566B7"/>
    <w:pPr>
      <w:spacing w:after="240"/>
      <w:outlineLvl w:val="9"/>
    </w:pPr>
    <w:rPr>
      <w:noProof/>
    </w:rPr>
  </w:style>
  <w:style w:type="paragraph" w:styleId="Index2">
    <w:name w:val="index 2"/>
    <w:basedOn w:val="Normal"/>
    <w:next w:val="Normal"/>
    <w:semiHidden/>
    <w:rsid w:val="00A566B7"/>
    <w:pPr>
      <w:tabs>
        <w:tab w:val="right" w:pos="4176"/>
      </w:tabs>
      <w:ind w:left="568" w:hanging="284"/>
    </w:pPr>
    <w:rPr>
      <w:rFonts w:ascii="Garamond" w:hAnsi="Garamond"/>
    </w:rPr>
  </w:style>
  <w:style w:type="paragraph" w:customStyle="1" w:styleId="Byline">
    <w:name w:val="Byline"/>
    <w:rsid w:val="00A566B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566B7"/>
    <w:pPr>
      <w:tabs>
        <w:tab w:val="clear" w:pos="3600"/>
        <w:tab w:val="clear" w:pos="3958"/>
      </w:tabs>
      <w:jc w:val="right"/>
    </w:pPr>
  </w:style>
  <w:style w:type="character" w:styleId="Emphasis">
    <w:name w:val="Emphasis"/>
    <w:basedOn w:val="DefaultParagraphFont"/>
    <w:qFormat/>
    <w:rsid w:val="00A566B7"/>
    <w:rPr>
      <w:i/>
    </w:rPr>
  </w:style>
  <w:style w:type="paragraph" w:styleId="Caption">
    <w:name w:val="caption"/>
    <w:basedOn w:val="BodyText"/>
    <w:next w:val="Normal"/>
    <w:qFormat/>
    <w:rsid w:val="00A566B7"/>
    <w:pPr>
      <w:framePr w:w="2268" w:hSpace="181" w:vSpace="181" w:wrap="around" w:vAnchor="text" w:hAnchor="page" w:x="1135" w:y="285" w:anchorLock="1"/>
    </w:pPr>
    <w:rPr>
      <w:i/>
    </w:rPr>
  </w:style>
  <w:style w:type="paragraph" w:customStyle="1" w:styleId="MiniTOCTitle">
    <w:name w:val="MiniTOCTitle"/>
    <w:basedOn w:val="Heading4"/>
    <w:rsid w:val="00A566B7"/>
    <w:pPr>
      <w:spacing w:before="240"/>
      <w:outlineLvl w:val="9"/>
    </w:pPr>
    <w:rPr>
      <w:noProof/>
      <w:sz w:val="24"/>
    </w:rPr>
  </w:style>
  <w:style w:type="paragraph" w:customStyle="1" w:styleId="MiniTOCItem">
    <w:name w:val="MiniTOCItem"/>
    <w:basedOn w:val="ListBullet"/>
    <w:rsid w:val="00A566B7"/>
    <w:pPr>
      <w:numPr>
        <w:numId w:val="0"/>
      </w:numPr>
      <w:tabs>
        <w:tab w:val="right" w:leader="dot" w:pos="6521"/>
      </w:tabs>
      <w:spacing w:before="0" w:after="0"/>
    </w:pPr>
  </w:style>
  <w:style w:type="paragraph" w:customStyle="1" w:styleId="TOFTitle">
    <w:name w:val="TOFTitle"/>
    <w:basedOn w:val="TOCTitle"/>
    <w:rsid w:val="00A566B7"/>
  </w:style>
  <w:style w:type="paragraph" w:styleId="TableofFigures">
    <w:name w:val="table of figures"/>
    <w:basedOn w:val="Normal"/>
    <w:next w:val="Normal"/>
    <w:semiHidden/>
    <w:rsid w:val="00A566B7"/>
    <w:pPr>
      <w:tabs>
        <w:tab w:val="right" w:leader="dot" w:pos="9072"/>
      </w:tabs>
      <w:ind w:left="970" w:hanging="403"/>
    </w:pPr>
    <w:rPr>
      <w:rFonts w:ascii="Times New Roman" w:hAnsi="Times New Roman"/>
      <w:b/>
    </w:rPr>
  </w:style>
  <w:style w:type="paragraph" w:styleId="ListNumber">
    <w:name w:val="List Number"/>
    <w:basedOn w:val="List"/>
    <w:rsid w:val="00A566B7"/>
    <w:pPr>
      <w:numPr>
        <w:numId w:val="12"/>
      </w:numPr>
    </w:pPr>
  </w:style>
  <w:style w:type="character" w:customStyle="1" w:styleId="WingdingSymbols">
    <w:name w:val="Wingding Symbols"/>
    <w:rsid w:val="00A566B7"/>
    <w:rPr>
      <w:rFonts w:ascii="Wingdings" w:hAnsi="Wingdings"/>
    </w:rPr>
  </w:style>
  <w:style w:type="paragraph" w:customStyle="1" w:styleId="TableHeading">
    <w:name w:val="Table Heading"/>
    <w:basedOn w:val="HeadingBase"/>
    <w:rsid w:val="00A566B7"/>
    <w:pPr>
      <w:keepLines/>
      <w:pBdr>
        <w:bottom w:val="single" w:sz="6" w:space="1" w:color="918585"/>
      </w:pBdr>
      <w:spacing w:before="240"/>
    </w:pPr>
  </w:style>
  <w:style w:type="character" w:customStyle="1" w:styleId="HotSpot">
    <w:name w:val="HotSpot"/>
    <w:rsid w:val="00A566B7"/>
    <w:rPr>
      <w:color w:val="0033CC"/>
      <w:u w:val="none"/>
    </w:rPr>
  </w:style>
  <w:style w:type="paragraph" w:customStyle="1" w:styleId="BodyTextRight">
    <w:name w:val="Body Text Right"/>
    <w:basedOn w:val="BodyText"/>
    <w:rsid w:val="00A566B7"/>
    <w:pPr>
      <w:spacing w:before="0" w:after="0"/>
      <w:jc w:val="right"/>
    </w:pPr>
  </w:style>
  <w:style w:type="paragraph" w:styleId="Index3">
    <w:name w:val="index 3"/>
    <w:basedOn w:val="ListNumber2"/>
    <w:next w:val="Normal"/>
    <w:semiHidden/>
    <w:rsid w:val="00A566B7"/>
    <w:pPr>
      <w:numPr>
        <w:numId w:val="0"/>
      </w:numPr>
      <w:tabs>
        <w:tab w:val="right" w:leader="dot" w:pos="4176"/>
      </w:tabs>
    </w:pPr>
  </w:style>
  <w:style w:type="paragraph" w:styleId="ListNumber2">
    <w:name w:val="List Number 2"/>
    <w:basedOn w:val="List2"/>
    <w:rsid w:val="00A566B7"/>
    <w:pPr>
      <w:numPr>
        <w:numId w:val="11"/>
      </w:numPr>
      <w:tabs>
        <w:tab w:val="clear" w:pos="1060"/>
      </w:tabs>
    </w:pPr>
  </w:style>
  <w:style w:type="paragraph" w:customStyle="1" w:styleId="MarginNote">
    <w:name w:val="Margin Note"/>
    <w:basedOn w:val="BodyText"/>
    <w:rsid w:val="00A566B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566B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566B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566B7"/>
    <w:rPr>
      <w:sz w:val="32"/>
    </w:rPr>
  </w:style>
  <w:style w:type="paragraph" w:customStyle="1" w:styleId="HeadingProcedure">
    <w:name w:val="Heading Procedure"/>
    <w:basedOn w:val="HeadingBase"/>
    <w:next w:val="Normal"/>
    <w:rsid w:val="00A566B7"/>
    <w:pPr>
      <w:tabs>
        <w:tab w:val="left" w:pos="0"/>
      </w:tabs>
      <w:spacing w:before="120" w:after="60"/>
    </w:pPr>
    <w:rPr>
      <w:i/>
      <w:color w:val="918585"/>
      <w:sz w:val="22"/>
    </w:rPr>
  </w:style>
  <w:style w:type="paragraph" w:customStyle="1" w:styleId="TableBodyText">
    <w:name w:val="Table Body Text"/>
    <w:basedOn w:val="BodyText"/>
    <w:rsid w:val="00A566B7"/>
    <w:pPr>
      <w:spacing w:before="60" w:after="60"/>
    </w:pPr>
  </w:style>
  <w:style w:type="paragraph" w:styleId="ListContinue">
    <w:name w:val="List Continue"/>
    <w:basedOn w:val="List"/>
    <w:rsid w:val="00A566B7"/>
    <w:pPr>
      <w:ind w:firstLine="0"/>
    </w:pPr>
  </w:style>
  <w:style w:type="paragraph" w:customStyle="1" w:styleId="ListNote">
    <w:name w:val="List Note"/>
    <w:basedOn w:val="List"/>
    <w:rsid w:val="00A566B7"/>
    <w:pPr>
      <w:pBdr>
        <w:top w:val="single" w:sz="6" w:space="2" w:color="918585"/>
        <w:bottom w:val="single" w:sz="6" w:space="2" w:color="918585"/>
      </w:pBdr>
      <w:tabs>
        <w:tab w:val="left" w:pos="1021"/>
      </w:tabs>
      <w:ind w:firstLine="0"/>
    </w:pPr>
  </w:style>
  <w:style w:type="paragraph" w:customStyle="1" w:styleId="Warning">
    <w:name w:val="Warning"/>
    <w:basedOn w:val="BodyText"/>
    <w:rsid w:val="00A566B7"/>
    <w:pPr>
      <w:shd w:val="clear" w:color="auto" w:fill="D9D9D9"/>
      <w:tabs>
        <w:tab w:val="left" w:pos="992"/>
      </w:tabs>
      <w:ind w:left="119" w:right="119"/>
    </w:pPr>
    <w:rPr>
      <w:sz w:val="20"/>
    </w:rPr>
  </w:style>
  <w:style w:type="paragraph" w:customStyle="1" w:styleId="MarginIcons">
    <w:name w:val="Margin Icons"/>
    <w:basedOn w:val="BodyText"/>
    <w:rsid w:val="00A566B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566B7"/>
    <w:rPr>
      <w:rFonts w:ascii="Courier New" w:hAnsi="Courier New"/>
    </w:rPr>
  </w:style>
  <w:style w:type="paragraph" w:customStyle="1" w:styleId="NoteBullet">
    <w:name w:val="Note Bullet"/>
    <w:basedOn w:val="Note"/>
    <w:rsid w:val="00A566B7"/>
    <w:pPr>
      <w:tabs>
        <w:tab w:val="clear" w:pos="680"/>
      </w:tabs>
      <w:spacing w:before="60" w:after="60"/>
    </w:pPr>
  </w:style>
  <w:style w:type="paragraph" w:customStyle="1" w:styleId="SubHeading2">
    <w:name w:val="SubHeading2"/>
    <w:basedOn w:val="HeadingBase"/>
    <w:rsid w:val="00A566B7"/>
    <w:pPr>
      <w:spacing w:before="240" w:after="60"/>
    </w:pPr>
    <w:rPr>
      <w:sz w:val="20"/>
    </w:rPr>
  </w:style>
  <w:style w:type="paragraph" w:customStyle="1" w:styleId="SubHeading1">
    <w:name w:val="SubHeading1"/>
    <w:basedOn w:val="HeadingBase"/>
    <w:rsid w:val="00A566B7"/>
    <w:pPr>
      <w:spacing w:before="240" w:after="60"/>
    </w:pPr>
    <w:rPr>
      <w:color w:val="918585"/>
      <w:sz w:val="22"/>
    </w:rPr>
  </w:style>
  <w:style w:type="paragraph" w:customStyle="1" w:styleId="SideHeading">
    <w:name w:val="Side Heading"/>
    <w:basedOn w:val="HeadingBase"/>
    <w:rsid w:val="00A566B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566B7"/>
    <w:pPr>
      <w:numPr>
        <w:numId w:val="13"/>
      </w:numPr>
    </w:pPr>
  </w:style>
  <w:style w:type="paragraph" w:styleId="PlainText">
    <w:name w:val="Plain Text"/>
    <w:basedOn w:val="Normal"/>
    <w:link w:val="PlainTextChar"/>
    <w:rsid w:val="00A566B7"/>
    <w:rPr>
      <w:sz w:val="20"/>
    </w:rPr>
  </w:style>
  <w:style w:type="character" w:customStyle="1" w:styleId="PlainTextChar">
    <w:name w:val="Plain Text Char"/>
    <w:basedOn w:val="DefaultParagraphFont"/>
    <w:link w:val="PlainText"/>
    <w:rsid w:val="00A566B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566B7"/>
    <w:rPr>
      <w:b/>
      <w:smallCaps/>
    </w:rPr>
  </w:style>
  <w:style w:type="paragraph" w:customStyle="1" w:styleId="TableListNumber">
    <w:name w:val="Table List Number"/>
    <w:basedOn w:val="ListNumber"/>
    <w:rsid w:val="00A566B7"/>
    <w:pPr>
      <w:numPr>
        <w:numId w:val="0"/>
      </w:numPr>
    </w:pPr>
  </w:style>
  <w:style w:type="paragraph" w:styleId="TOC4">
    <w:name w:val="toc 4"/>
    <w:basedOn w:val="TOCBase"/>
    <w:next w:val="Normal"/>
    <w:semiHidden/>
    <w:rsid w:val="00A566B7"/>
    <w:pPr>
      <w:tabs>
        <w:tab w:val="right" w:leader="dot" w:pos="9071"/>
      </w:tabs>
      <w:ind w:left="1701"/>
    </w:pPr>
  </w:style>
  <w:style w:type="paragraph" w:customStyle="1" w:styleId="ListAlpha">
    <w:name w:val="List Alpha"/>
    <w:basedOn w:val="List"/>
    <w:rsid w:val="00A566B7"/>
    <w:pPr>
      <w:numPr>
        <w:numId w:val="10"/>
      </w:numPr>
    </w:pPr>
  </w:style>
  <w:style w:type="paragraph" w:customStyle="1" w:styleId="ListAlpha2">
    <w:name w:val="List Alpha 2"/>
    <w:basedOn w:val="List2"/>
    <w:rsid w:val="00A566B7"/>
    <w:pPr>
      <w:numPr>
        <w:numId w:val="9"/>
      </w:numPr>
    </w:pPr>
  </w:style>
  <w:style w:type="paragraph" w:styleId="List2">
    <w:name w:val="List 2"/>
    <w:basedOn w:val="BodyText"/>
    <w:rsid w:val="00A566B7"/>
    <w:pPr>
      <w:tabs>
        <w:tab w:val="left" w:pos="680"/>
      </w:tabs>
      <w:spacing w:before="60" w:after="60"/>
      <w:ind w:left="680" w:hanging="340"/>
    </w:pPr>
  </w:style>
  <w:style w:type="paragraph" w:styleId="List3">
    <w:name w:val="List 3"/>
    <w:basedOn w:val="BodyText"/>
    <w:rsid w:val="00A566B7"/>
    <w:pPr>
      <w:tabs>
        <w:tab w:val="left" w:pos="1021"/>
      </w:tabs>
      <w:spacing w:before="60" w:after="60"/>
      <w:ind w:left="1020" w:hanging="340"/>
    </w:pPr>
  </w:style>
  <w:style w:type="paragraph" w:styleId="List4">
    <w:name w:val="List 4"/>
    <w:basedOn w:val="BodyText"/>
    <w:rsid w:val="00A566B7"/>
    <w:pPr>
      <w:tabs>
        <w:tab w:val="left" w:pos="1361"/>
      </w:tabs>
      <w:spacing w:before="60" w:after="60"/>
      <w:ind w:left="1361" w:hanging="340"/>
    </w:pPr>
  </w:style>
  <w:style w:type="paragraph" w:styleId="List5">
    <w:name w:val="List 5"/>
    <w:basedOn w:val="BodyText"/>
    <w:rsid w:val="00A566B7"/>
    <w:pPr>
      <w:tabs>
        <w:tab w:val="left" w:pos="1701"/>
      </w:tabs>
      <w:spacing w:before="60" w:after="60"/>
      <w:ind w:left="1701" w:hanging="340"/>
    </w:pPr>
  </w:style>
  <w:style w:type="paragraph" w:styleId="ListBullet4">
    <w:name w:val="List Bullet 4"/>
    <w:basedOn w:val="List4"/>
    <w:rsid w:val="00A566B7"/>
    <w:pPr>
      <w:numPr>
        <w:numId w:val="4"/>
      </w:numPr>
    </w:pPr>
  </w:style>
  <w:style w:type="paragraph" w:styleId="ListBullet5">
    <w:name w:val="List Bullet 5"/>
    <w:basedOn w:val="List5"/>
    <w:rsid w:val="00A566B7"/>
    <w:pPr>
      <w:numPr>
        <w:numId w:val="5"/>
      </w:numPr>
    </w:pPr>
  </w:style>
  <w:style w:type="paragraph" w:styleId="ListContinue2">
    <w:name w:val="List Continue 2"/>
    <w:basedOn w:val="List2"/>
    <w:rsid w:val="00A566B7"/>
    <w:pPr>
      <w:ind w:firstLine="0"/>
    </w:pPr>
  </w:style>
  <w:style w:type="paragraph" w:styleId="ListContinue3">
    <w:name w:val="List Continue 3"/>
    <w:basedOn w:val="List3"/>
    <w:rsid w:val="00A566B7"/>
    <w:pPr>
      <w:ind w:left="1021" w:firstLine="0"/>
    </w:pPr>
  </w:style>
  <w:style w:type="paragraph" w:styleId="ListContinue4">
    <w:name w:val="List Continue 4"/>
    <w:basedOn w:val="List4"/>
    <w:rsid w:val="00A566B7"/>
    <w:pPr>
      <w:ind w:firstLine="0"/>
    </w:pPr>
  </w:style>
  <w:style w:type="paragraph" w:styleId="ListContinue5">
    <w:name w:val="List Continue 5"/>
    <w:basedOn w:val="List5"/>
    <w:rsid w:val="00A566B7"/>
    <w:pPr>
      <w:ind w:firstLine="0"/>
    </w:pPr>
  </w:style>
  <w:style w:type="paragraph" w:styleId="ListNumber3">
    <w:name w:val="List Number 3"/>
    <w:basedOn w:val="List3"/>
    <w:rsid w:val="00A566B7"/>
    <w:pPr>
      <w:numPr>
        <w:numId w:val="6"/>
      </w:numPr>
    </w:pPr>
  </w:style>
  <w:style w:type="paragraph" w:styleId="ListNumber4">
    <w:name w:val="List Number 4"/>
    <w:basedOn w:val="List4"/>
    <w:rsid w:val="00A566B7"/>
    <w:pPr>
      <w:numPr>
        <w:numId w:val="7"/>
      </w:numPr>
    </w:pPr>
  </w:style>
  <w:style w:type="paragraph" w:styleId="ListNumber5">
    <w:name w:val="List Number 5"/>
    <w:basedOn w:val="List5"/>
    <w:rsid w:val="00A566B7"/>
    <w:pPr>
      <w:numPr>
        <w:numId w:val="8"/>
      </w:numPr>
    </w:pPr>
  </w:style>
  <w:style w:type="paragraph" w:styleId="BlockText">
    <w:name w:val="Block Text"/>
    <w:basedOn w:val="Normal"/>
    <w:rsid w:val="00A566B7"/>
    <w:pPr>
      <w:spacing w:after="120"/>
      <w:ind w:left="1440" w:right="1440"/>
    </w:pPr>
  </w:style>
  <w:style w:type="character" w:customStyle="1" w:styleId="Subscript">
    <w:name w:val="Subscript"/>
    <w:basedOn w:val="DefaultParagraphFont"/>
    <w:rsid w:val="00A566B7"/>
    <w:rPr>
      <w:sz w:val="16"/>
      <w:vertAlign w:val="subscript"/>
    </w:rPr>
  </w:style>
  <w:style w:type="character" w:customStyle="1" w:styleId="Superscript">
    <w:name w:val="Superscript"/>
    <w:basedOn w:val="DefaultParagraphFont"/>
    <w:rsid w:val="00A566B7"/>
    <w:rPr>
      <w:sz w:val="16"/>
      <w:vertAlign w:val="superscript"/>
    </w:rPr>
  </w:style>
  <w:style w:type="character" w:customStyle="1" w:styleId="Symbols">
    <w:name w:val="Symbols"/>
    <w:basedOn w:val="DefaultParagraphFont"/>
    <w:rsid w:val="00A566B7"/>
    <w:rPr>
      <w:rFonts w:ascii="Symbol" w:hAnsi="Symbol"/>
    </w:rPr>
  </w:style>
  <w:style w:type="character" w:customStyle="1" w:styleId="MenuOptions">
    <w:name w:val="Menu Options"/>
    <w:basedOn w:val="DefaultParagraphFont"/>
    <w:rsid w:val="00A566B7"/>
    <w:rPr>
      <w:rFonts w:ascii="Arial Narrow" w:hAnsi="Arial Narrow"/>
      <w:smallCaps/>
    </w:rPr>
  </w:style>
  <w:style w:type="character" w:customStyle="1" w:styleId="Buttons">
    <w:name w:val="Buttons"/>
    <w:basedOn w:val="DefaultParagraphFont"/>
    <w:rsid w:val="00A566B7"/>
    <w:rPr>
      <w:b/>
    </w:rPr>
  </w:style>
  <w:style w:type="character" w:customStyle="1" w:styleId="Underlined">
    <w:name w:val="Underlined"/>
    <w:basedOn w:val="DefaultParagraphFont"/>
    <w:rsid w:val="00A566B7"/>
    <w:rPr>
      <w:u w:val="single"/>
    </w:rPr>
  </w:style>
  <w:style w:type="paragraph" w:customStyle="1" w:styleId="TableBodyTextRight">
    <w:name w:val="Table Body Text Right"/>
    <w:basedOn w:val="TableBodyText"/>
    <w:rsid w:val="00A566B7"/>
    <w:pPr>
      <w:widowControl w:val="0"/>
      <w:autoSpaceDE w:val="0"/>
      <w:autoSpaceDN w:val="0"/>
      <w:adjustRightInd w:val="0"/>
      <w:jc w:val="right"/>
    </w:pPr>
    <w:rPr>
      <w:rFonts w:cs="Arial"/>
      <w:szCs w:val="18"/>
    </w:rPr>
  </w:style>
  <w:style w:type="paragraph" w:customStyle="1" w:styleId="CopyrightText">
    <w:name w:val="Copyright Text"/>
    <w:basedOn w:val="BodyText"/>
    <w:rsid w:val="00A566B7"/>
    <w:rPr>
      <w:sz w:val="18"/>
    </w:rPr>
  </w:style>
  <w:style w:type="paragraph" w:customStyle="1" w:styleId="BodySmallRight">
    <w:name w:val="Body Small Right"/>
    <w:basedOn w:val="BodyTextRight"/>
    <w:rsid w:val="00A566B7"/>
    <w:rPr>
      <w:sz w:val="18"/>
      <w:szCs w:val="18"/>
    </w:rPr>
  </w:style>
  <w:style w:type="paragraph" w:customStyle="1" w:styleId="MarginEdition">
    <w:name w:val="Margin Edition"/>
    <w:basedOn w:val="MarginNote"/>
    <w:rsid w:val="00A566B7"/>
    <w:pPr>
      <w:spacing w:before="0" w:after="0"/>
    </w:pPr>
    <w:rPr>
      <w:rFonts w:ascii="Times New Roman" w:hAnsi="Times New Roman"/>
      <w:color w:val="999999"/>
    </w:rPr>
  </w:style>
  <w:style w:type="paragraph" w:customStyle="1" w:styleId="Spacer">
    <w:name w:val="Spacer"/>
    <w:basedOn w:val="Normal"/>
    <w:rsid w:val="00A566B7"/>
    <w:rPr>
      <w:sz w:val="2"/>
      <w:szCs w:val="2"/>
    </w:rPr>
  </w:style>
  <w:style w:type="character" w:customStyle="1" w:styleId="Small">
    <w:name w:val="Small"/>
    <w:basedOn w:val="DefaultParagraphFont"/>
    <w:rsid w:val="00A566B7"/>
    <w:rPr>
      <w:sz w:val="16"/>
    </w:rPr>
  </w:style>
  <w:style w:type="paragraph" w:customStyle="1" w:styleId="WideTable">
    <w:name w:val="Wide Table"/>
    <w:basedOn w:val="Normal"/>
    <w:rsid w:val="00A566B7"/>
    <w:pPr>
      <w:ind w:left="-1418"/>
    </w:pPr>
    <w:rPr>
      <w:sz w:val="2"/>
      <w:szCs w:val="2"/>
    </w:rPr>
  </w:style>
  <w:style w:type="character" w:styleId="PageNumber">
    <w:name w:val="page number"/>
    <w:basedOn w:val="DefaultParagraphFont"/>
    <w:rsid w:val="00A566B7"/>
  </w:style>
  <w:style w:type="paragraph" w:styleId="Quote">
    <w:name w:val="Quote"/>
    <w:basedOn w:val="Heading1"/>
    <w:link w:val="QuoteChar"/>
    <w:qFormat/>
    <w:rsid w:val="00A566B7"/>
    <w:rPr>
      <w:b w:val="0"/>
      <w:sz w:val="72"/>
      <w:szCs w:val="72"/>
      <w:lang w:val="en-NZ"/>
    </w:rPr>
  </w:style>
  <w:style w:type="character" w:customStyle="1" w:styleId="QuoteChar">
    <w:name w:val="Quote Char"/>
    <w:basedOn w:val="DefaultParagraphFont"/>
    <w:link w:val="Quote"/>
    <w:rsid w:val="00A566B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566B7"/>
    <w:pPr>
      <w:pageBreakBefore/>
    </w:pPr>
  </w:style>
  <w:style w:type="paragraph" w:customStyle="1" w:styleId="Border">
    <w:name w:val="Border"/>
    <w:basedOn w:val="Normal"/>
    <w:qFormat/>
    <w:rsid w:val="00A566B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566B7"/>
    <w:rPr>
      <w:b/>
      <w:bCs/>
      <w:i/>
      <w:iCs/>
      <w:color w:val="auto"/>
    </w:rPr>
  </w:style>
  <w:style w:type="paragraph" w:styleId="IntenseQuote">
    <w:name w:val="Intense Quote"/>
    <w:basedOn w:val="Normal"/>
    <w:next w:val="Normal"/>
    <w:link w:val="IntenseQuoteChar"/>
    <w:uiPriority w:val="30"/>
    <w:qFormat/>
    <w:rsid w:val="00A566B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566B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566B7"/>
    <w:rPr>
      <w:smallCaps/>
      <w:color w:val="auto"/>
      <w:u w:val="single"/>
    </w:rPr>
  </w:style>
  <w:style w:type="character" w:styleId="IntenseReference">
    <w:name w:val="Intense Reference"/>
    <w:basedOn w:val="DefaultParagraphFont"/>
    <w:uiPriority w:val="32"/>
    <w:qFormat/>
    <w:rsid w:val="00A566B7"/>
    <w:rPr>
      <w:b/>
      <w:bCs/>
      <w:smallCaps/>
      <w:color w:val="auto"/>
      <w:spacing w:val="5"/>
      <w:u w:val="single"/>
    </w:rPr>
  </w:style>
  <w:style w:type="paragraph" w:customStyle="1" w:styleId="2ColumnHeading">
    <w:name w:val="2Column Heading"/>
    <w:basedOn w:val="BodyText"/>
    <w:qFormat/>
    <w:rsid w:val="00A566B7"/>
    <w:pPr>
      <w:spacing w:after="60"/>
      <w:ind w:left="-2268"/>
    </w:pPr>
    <w:rPr>
      <w:b/>
    </w:rPr>
  </w:style>
  <w:style w:type="paragraph" w:customStyle="1" w:styleId="Heading1TOC">
    <w:name w:val="Heading1 TOC"/>
    <w:basedOn w:val="Normal"/>
    <w:qFormat/>
    <w:rsid w:val="00A566B7"/>
    <w:pPr>
      <w:spacing w:before="240" w:after="120"/>
    </w:pPr>
    <w:rPr>
      <w:rFonts w:ascii="Times New Roman" w:hAnsi="Times New Roman"/>
      <w:b/>
      <w:sz w:val="32"/>
    </w:rPr>
  </w:style>
  <w:style w:type="paragraph" w:customStyle="1" w:styleId="Heading2TOC">
    <w:name w:val="Heading2 TOC"/>
    <w:basedOn w:val="Normal"/>
    <w:qFormat/>
    <w:rsid w:val="00A566B7"/>
    <w:pPr>
      <w:spacing w:before="240" w:after="60"/>
    </w:pPr>
    <w:rPr>
      <w:rFonts w:ascii="Times New Roman" w:hAnsi="Times New Roman"/>
      <w:b/>
      <w:sz w:val="28"/>
    </w:rPr>
  </w:style>
  <w:style w:type="character" w:customStyle="1" w:styleId="Underline">
    <w:name w:val="Underline"/>
    <w:basedOn w:val="DefaultParagraphFont"/>
    <w:qFormat/>
    <w:rsid w:val="00A566B7"/>
    <w:rPr>
      <w:u w:val="single"/>
    </w:rPr>
  </w:style>
  <w:style w:type="paragraph" w:styleId="BalloonText">
    <w:name w:val="Balloon Text"/>
    <w:basedOn w:val="Normal"/>
    <w:link w:val="BalloonTextChar"/>
    <w:rsid w:val="00A566B7"/>
    <w:rPr>
      <w:rFonts w:ascii="Tahoma" w:hAnsi="Tahoma" w:cs="Tahoma"/>
      <w:sz w:val="16"/>
      <w:szCs w:val="16"/>
    </w:rPr>
  </w:style>
  <w:style w:type="character" w:customStyle="1" w:styleId="BalloonTextChar">
    <w:name w:val="Balloon Text Char"/>
    <w:basedOn w:val="DefaultParagraphFont"/>
    <w:link w:val="BalloonText"/>
    <w:rsid w:val="00A566B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566B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566B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1912</Words>
  <Characters>12065</Characters>
  <Application>Microsoft Office Word</Application>
  <DocSecurity>0</DocSecurity>
  <Lines>452</Lines>
  <Paragraphs>251</Paragraphs>
  <ScaleCrop>false</ScaleCrop>
  <Company>Author-it Software Corporation Ltd.</Company>
  <LinksUpToDate>false</LinksUpToDate>
  <CharactersWithSpaces>13872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CPPACC8003A Provide advice on solutions to access and use issues</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2012-05-26T05:58:00Z</dcterms:created>
  <dcterms:modified xsi:type="dcterms:W3CDTF">2012-05-26T05:58:00Z</dcterms:modified>
</cp:coreProperties>
</file>