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508" w:rsidP="00BA3508">
      <w:pPr>
        <w:pStyle w:val="Title"/>
      </w:pPr>
      <w:bookmarkStart w:id="0" w:name="_GoBack"/>
      <w:bookmarkEnd w:id="0"/>
      <w:r>
        <w:fldChar w:fldCharType="begin"/>
      </w:r>
      <w:r>
        <w:instrText xml:space="preserve"> TITLE   \* MERGEFORMAT </w:instrText>
      </w:r>
      <w:r>
        <w:fldChar w:fldCharType="separate"/>
      </w:r>
      <w:r>
        <w:t>CPPACC8002A Research and analyse access solutions for the built environment</w:t>
      </w:r>
      <w:r>
        <w:fldChar w:fldCharType="end"/>
      </w:r>
    </w:p>
    <w:p w:rsidR="00BA3508" w:rsidP="00BA3508">
      <w:pPr>
        <w:pStyle w:val="Version"/>
        <w:sectPr w:rsidSect="00517E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EDD" w:rsidP="00517EDD">
      <w:pPr>
        <w:pStyle w:val="SuperHeading"/>
      </w:pPr>
      <w:r w:rsidRPr="00517EDD">
        <w:t>CPPACC8002A Research and analyse access solutions for the built environment</w:t>
      </w:r>
    </w:p>
    <w:p w:rsidR="00000000" w:rsidRPr="00517EDD" w:rsidP="00517EDD">
      <w:pPr>
        <w:pStyle w:val="Heading1"/>
      </w:pPr>
      <w:bookmarkStart w:id="1" w:name="O_453095"/>
      <w:bookmarkEnd w:id="1"/>
      <w:r w:rsidRPr="00517EDD">
        <w:t>Modification History</w:t>
      </w:r>
    </w:p>
    <w:p w:rsidR="00000000" w:rsidRPr="00517EDD" w:rsidP="00517EDD">
      <w:pPr>
        <w:pStyle w:val="BodyText"/>
      </w:pPr>
      <w:r w:rsidRPr="00517EDD">
        <w:t>New unit</w:t>
      </w:r>
    </w:p>
    <w:p w:rsidR="00000000" w:rsidRPr="00517EDD" w:rsidP="00517EDD">
      <w:pPr>
        <w:pStyle w:val="AllowPageBreak"/>
      </w:pPr>
    </w:p>
    <w:p w:rsidR="00000000" w:rsidRPr="00517EDD" w:rsidP="00517EDD">
      <w:pPr>
        <w:pStyle w:val="Heading1"/>
      </w:pPr>
      <w:bookmarkStart w:id="2" w:name="O_453096"/>
      <w:bookmarkEnd w:id="2"/>
      <w:r w:rsidRPr="00517EDD">
        <w:t>Unit Descriptor</w:t>
      </w:r>
    </w:p>
    <w:p w:rsidR="00000000" w:rsidRPr="00517EDD" w:rsidP="00517EDD">
      <w:pPr>
        <w:pStyle w:val="BodyText"/>
      </w:pPr>
      <w:r w:rsidRPr="00517EDD">
        <w:t>This unit o</w:t>
      </w:r>
      <w:r w:rsidRPr="00517EDD">
        <w:t xml:space="preserve">f competency specifies the outcomes required by access consultants to research and analyse a broad range of complex and highly specialised information that is required in order to provide effective advice and influence design solutions that provide lawful </w:t>
      </w:r>
      <w:r w:rsidRPr="00517EDD">
        <w:t xml:space="preserve">access and inclusive use of the built environment for all people, including those with disabilities. Maintaining the currency of information is fundamental to the role. </w:t>
      </w:r>
    </w:p>
    <w:p w:rsidR="00BA3508" w:rsidP="00517EDD">
      <w:pPr>
        <w:pStyle w:val="BodyText"/>
      </w:pPr>
      <w:r w:rsidRPr="00517EDD">
        <w:t>The unit covers the application of ergonomics and the human geometry of people with di</w:t>
      </w:r>
      <w:r w:rsidRPr="00517EDD">
        <w:t>sabilities to access provision; the analysis of built environment issues with positive and negative impacts on people with mobility, sensory and cognitive impairments; and an in-depth understanding of the range of design solutions available and how they ma</w:t>
      </w:r>
      <w:r w:rsidRPr="00517EDD">
        <w:t>y be applied to the provision of access.</w:t>
      </w:r>
    </w:p>
    <w:p w:rsidR="00BA3508" w:rsidP="00517EDD">
      <w:pPr>
        <w:pStyle w:val="BodyText"/>
      </w:pPr>
    </w:p>
    <w:p w:rsidR="00000000" w:rsidRPr="00517EDD" w:rsidP="00517EDD">
      <w:pPr>
        <w:pStyle w:val="Heading1"/>
      </w:pPr>
      <w:bookmarkStart w:id="3" w:name="O_453097"/>
      <w:bookmarkEnd w:id="3"/>
      <w:r w:rsidRPr="00517EDD">
        <w:t>Application of the Unit</w:t>
      </w:r>
    </w:p>
    <w:p w:rsidR="00000000" w:rsidRPr="00517EDD" w:rsidP="00517EDD">
      <w:pPr>
        <w:pStyle w:val="BodyText"/>
      </w:pPr>
      <w:r w:rsidRPr="00517EDD">
        <w:t>This unit of competency supports access consultants in all aspects of their work and is central to providing advice to clients regarding the development of effective solutio</w:t>
      </w:r>
      <w:r w:rsidRPr="00517EDD">
        <w:t xml:space="preserve">ns in the built environment that support access. </w:t>
      </w:r>
    </w:p>
    <w:p w:rsidR="00000000" w:rsidRPr="00517EDD" w:rsidP="00517EDD">
      <w:pPr>
        <w:pStyle w:val="AllowPageBreak"/>
      </w:pPr>
    </w:p>
    <w:p w:rsidR="00000000" w:rsidRPr="00517EDD" w:rsidP="00517EDD">
      <w:pPr>
        <w:pStyle w:val="Heading1"/>
      </w:pPr>
      <w:bookmarkStart w:id="4" w:name="O_453098"/>
      <w:bookmarkEnd w:id="4"/>
      <w:r w:rsidRPr="00517EDD">
        <w:t>Licensing/Regulatory Information</w:t>
      </w:r>
    </w:p>
    <w:p w:rsidR="00000000" w:rsidRPr="00517EDD" w:rsidP="00517EDD">
      <w:pPr>
        <w:pStyle w:val="BodyText"/>
      </w:pPr>
      <w:r w:rsidRPr="00517EDD">
        <w:t>No licensing, legislative, regulatory or certification requirements apply to this unit at the time of publication.</w:t>
      </w:r>
    </w:p>
    <w:p w:rsidR="00000000" w:rsidRPr="00517EDD" w:rsidP="00517EDD">
      <w:pPr>
        <w:pStyle w:val="AllowPageBreak"/>
      </w:pPr>
    </w:p>
    <w:p w:rsidR="00000000" w:rsidRPr="00517EDD" w:rsidP="00517EDD">
      <w:pPr>
        <w:pStyle w:val="Heading1"/>
      </w:pPr>
      <w:bookmarkStart w:id="5" w:name="O_453099"/>
      <w:bookmarkEnd w:id="5"/>
      <w:r w:rsidRPr="00517EDD">
        <w:t>Pre-Requisites</w:t>
      </w:r>
    </w:p>
    <w:p w:rsidR="00000000" w:rsidRPr="00517EDD" w:rsidP="00517EDD">
      <w:pPr>
        <w:pStyle w:val="BodyText"/>
      </w:pPr>
      <w:r w:rsidRPr="00517EDD">
        <w:t>Not applicable.</w:t>
      </w:r>
    </w:p>
    <w:p w:rsidR="00000000" w:rsidRPr="00517EDD" w:rsidP="00517EDD">
      <w:pPr>
        <w:pStyle w:val="AllowPageBreak"/>
      </w:pPr>
    </w:p>
    <w:p w:rsidR="00000000" w:rsidRPr="00517EDD" w:rsidP="00517EDD">
      <w:pPr>
        <w:pStyle w:val="Heading1"/>
      </w:pPr>
      <w:bookmarkStart w:id="6" w:name="O_453100"/>
      <w:bookmarkEnd w:id="6"/>
      <w:r w:rsidRPr="00517EDD">
        <w:t>Employability Skills Information</w:t>
      </w:r>
    </w:p>
    <w:p w:rsidR="00000000" w:rsidRPr="00517EDD" w:rsidP="00517EDD">
      <w:pPr>
        <w:pStyle w:val="BodyText"/>
      </w:pPr>
      <w:r w:rsidRPr="00517EDD">
        <w:t>This unit contains employability skills.</w:t>
      </w:r>
    </w:p>
    <w:p w:rsidR="00000000" w:rsidRPr="00517EDD" w:rsidP="00517EDD">
      <w:pPr>
        <w:pStyle w:val="AllowPageBreak"/>
      </w:pPr>
    </w:p>
    <w:p w:rsidR="00000000" w:rsidRPr="00517EDD" w:rsidP="00517EDD">
      <w:pPr>
        <w:pStyle w:val="Heading1"/>
      </w:pPr>
      <w:bookmarkStart w:id="7" w:name="O_453101"/>
      <w:bookmarkEnd w:id="7"/>
      <w:r w:rsidRPr="00517EDD">
        <w:t>Elements and Performance Criteria Pre-Content</w:t>
      </w:r>
    </w:p>
    <w:tbl>
      <w:tblPr>
        <w:tblW w:w="0" w:type="auto"/>
        <w:tblLayout w:type="fixed"/>
        <w:tblCellMar>
          <w:left w:w="62" w:type="dxa"/>
          <w:right w:w="62" w:type="dxa"/>
        </w:tblCellMar>
        <w:tblLook w:val="0000"/>
      </w:tblPr>
      <w:tblGrid>
        <w:gridCol w:w="2640"/>
        <w:gridCol w:w="6380"/>
      </w:tblGrid>
      <w:tr w:rsidTr="00517ED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17EDD" w:rsidP="00517EDD">
            <w:pPr>
              <w:pStyle w:val="BodyText"/>
            </w:pPr>
            <w:r w:rsidRPr="00517EDD">
              <w:t>Performance criteria</w:t>
            </w:r>
            <w:r w:rsidRPr="00517EDD">
              <w:t xml:space="preserve"> describe the performance needed to demonstrate achievement of the element. Where bold italicised text is used, further information is detailed in the required skills and knowledge section and the range statement. Assessment of performance is to be consist</w:t>
            </w:r>
            <w:r w:rsidRPr="00517EDD">
              <w:t>ent with the evidence guide.</w:t>
            </w:r>
          </w:p>
        </w:tc>
      </w:tr>
    </w:tbl>
    <w:p w:rsidR="00000000" w:rsidRPr="00517EDD" w:rsidP="00517EDD">
      <w:pPr>
        <w:pStyle w:val="BodyText"/>
      </w:pPr>
    </w:p>
    <w:p w:rsidR="00000000" w:rsidRPr="00517EDD" w:rsidP="00517EDD">
      <w:pPr>
        <w:pStyle w:val="AllowPageBreak"/>
      </w:pPr>
    </w:p>
    <w:p w:rsidR="00000000" w:rsidRPr="00517EDD" w:rsidP="00517EDD">
      <w:pPr>
        <w:pStyle w:val="Heading1"/>
      </w:pPr>
      <w:bookmarkStart w:id="8" w:name="O_453102"/>
      <w:bookmarkEnd w:id="8"/>
      <w:r w:rsidRPr="00517ED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17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1</w:t>
            </w:r>
          </w:p>
        </w:tc>
        <w:tc>
          <w:tcPr>
            <w:tcW w:w="1962" w:type="dxa"/>
            <w:vMerge w:val="restart"/>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Source and manage a range of information to inform consideration of access solutions.</w:t>
            </w:r>
          </w:p>
        </w:tc>
        <w:tc>
          <w:tcPr>
            <w:tcW w:w="77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1.1</w:t>
            </w:r>
          </w:p>
        </w:tc>
        <w:tc>
          <w:tcPr>
            <w:tcW w:w="561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 xml:space="preserve">Sources of information on the effects of </w:t>
            </w:r>
            <w:r w:rsidRPr="00517EDD">
              <w:rPr>
                <w:rStyle w:val="BoldandItalics"/>
              </w:rPr>
              <w:t>disabilities</w:t>
            </w:r>
            <w:r w:rsidRPr="00517EDD">
              <w:t xml:space="preserve"> and the interaction </w:t>
            </w:r>
            <w:r w:rsidRPr="00517EDD">
              <w:t xml:space="preserve">of people with disabilities and the </w:t>
            </w:r>
            <w:r w:rsidRPr="00517EDD">
              <w:rPr>
                <w:rStyle w:val="BoldandItalics"/>
              </w:rPr>
              <w:t>built environment</w:t>
            </w:r>
            <w:r w:rsidRPr="00517EDD">
              <w:t xml:space="preserve"> are researched and evaluated.</w:t>
            </w:r>
          </w:p>
        </w:tc>
      </w:tr>
      <w:tr w:rsidTr="00517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1.2</w:t>
            </w:r>
          </w:p>
        </w:tc>
        <w:tc>
          <w:tcPr>
            <w:tcW w:w="561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Sources of information on compliance requirements for access to and use of the built environment are researched and evaluated.</w:t>
            </w:r>
          </w:p>
        </w:tc>
      </w:tr>
      <w:tr w:rsidTr="00517EDD">
        <w:tblPrEx>
          <w:tblW w:w="0" w:type="auto"/>
          <w:tblLayout w:type="fixed"/>
          <w:tblCellMar>
            <w:left w:w="62" w:type="dxa"/>
            <w:right w:w="62" w:type="dxa"/>
          </w:tblCellMar>
          <w:tblLook w:val="0000"/>
        </w:tblPrEx>
        <w:trPr>
          <w:trHeight w:val="843"/>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1.3</w:t>
            </w:r>
          </w:p>
        </w:tc>
        <w:tc>
          <w:tcPr>
            <w:tcW w:w="561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Forums for discussion and debate regarding solutions for providing access to and use of the built environment are researched and evaluated.</w:t>
            </w:r>
          </w:p>
        </w:tc>
      </w:tr>
      <w:tr w:rsidTr="00517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7EDD" w:rsidP="00517EDD">
            <w:pPr>
              <w:pStyle w:val="BodyText"/>
            </w:pPr>
            <w:r w:rsidRPr="00517EDD">
              <w:t>1.4</w:t>
            </w:r>
          </w:p>
        </w:tc>
        <w:tc>
          <w:tcPr>
            <w:tcW w:w="561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rPr>
                <w:rStyle w:val="BoldandItalics"/>
              </w:rPr>
              <w:t>Processes</w:t>
            </w:r>
            <w:r w:rsidRPr="00517EDD">
              <w:t xml:space="preserve"> are put in place to ensure access to and currency of information regarding legislative </w:t>
            </w:r>
            <w:r w:rsidRPr="00517EDD">
              <w:t>changes and best practice solutions.</w:t>
            </w:r>
          </w:p>
        </w:tc>
      </w:tr>
      <w:tr w:rsidTr="00517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1.5</w:t>
            </w:r>
          </w:p>
        </w:tc>
        <w:tc>
          <w:tcPr>
            <w:tcW w:w="561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Information management system is developed and maintained to ensure currency.</w:t>
            </w:r>
          </w:p>
        </w:tc>
      </w:tr>
      <w:tr w:rsidTr="00517EDD">
        <w:tblPrEx>
          <w:tblW w:w="0" w:type="auto"/>
          <w:tblLayout w:type="fixed"/>
          <w:tblCellMar>
            <w:left w:w="62" w:type="dxa"/>
            <w:right w:w="62" w:type="dxa"/>
          </w:tblCellMar>
          <w:tblLook w:val="0000"/>
        </w:tblPrEx>
        <w:trPr>
          <w:trHeight w:val="602"/>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1.6</w:t>
            </w:r>
          </w:p>
        </w:tc>
        <w:tc>
          <w:tcPr>
            <w:tcW w:w="5610" w:type="dxa"/>
            <w:tcBorders>
              <w:top w:val="nil"/>
              <w:left w:val="nil"/>
              <w:bottom w:val="nil"/>
              <w:right w:val="nil"/>
            </w:tcBorders>
            <w:tcMar>
              <w:top w:w="0" w:type="dxa"/>
              <w:left w:w="62" w:type="dxa"/>
              <w:bottom w:w="0" w:type="dxa"/>
              <w:right w:w="62" w:type="dxa"/>
            </w:tcMar>
          </w:tcPr>
          <w:p w:rsidR="00000000" w:rsidRPr="00517EDD" w:rsidP="00517EDD">
            <w:pPr>
              <w:pStyle w:val="BodyText"/>
            </w:pPr>
            <w:r w:rsidRPr="00517EDD">
              <w:t>Information is shared and discussed with internal or external personnel as required.</w:t>
            </w:r>
          </w:p>
        </w:tc>
      </w:tr>
    </w:tbl>
    <w:p w:rsidR="00000000" w:rsidRPr="00517EDD" w:rsidP="00517EDD">
      <w:pPr>
        <w:pStyle w:val="BodyText"/>
      </w:pPr>
    </w:p>
    <w:tbl>
      <w:tblPr>
        <w:tblW w:w="0" w:type="auto"/>
        <w:tblLayout w:type="fixed"/>
        <w:tblCellMar>
          <w:left w:w="62" w:type="dxa"/>
          <w:right w:w="62" w:type="dxa"/>
        </w:tblCellMar>
        <w:tblLook w:val="0000"/>
      </w:tblPr>
      <w:tblGrid>
        <w:gridCol w:w="678"/>
        <w:gridCol w:w="1962"/>
        <w:gridCol w:w="770"/>
        <w:gridCol w:w="5610"/>
      </w:tblGrid>
      <w:tr w:rsidTr="00517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2</w:t>
            </w:r>
          </w:p>
        </w:tc>
        <w:tc>
          <w:tcPr>
            <w:tcW w:w="1962" w:type="dxa"/>
            <w:vMerge w:val="restart"/>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Analyse information to deliver access solutions in the built environment.</w:t>
            </w:r>
          </w:p>
        </w:tc>
        <w:tc>
          <w:tcPr>
            <w:tcW w:w="770" w:type="dxa"/>
            <w:tcBorders>
              <w:top w:val="nil"/>
              <w:left w:val="nil"/>
              <w:bottom w:val="nil"/>
              <w:right w:val="nil"/>
            </w:tcBorders>
            <w:tcMar>
              <w:top w:w="0" w:type="dxa"/>
              <w:left w:w="62" w:type="dxa"/>
              <w:bottom w:w="0" w:type="dxa"/>
              <w:right w:w="62" w:type="dxa"/>
            </w:tcMar>
          </w:tcPr>
          <w:p w:rsidR="00000000" w:rsidRPr="00517EDD" w:rsidP="00517EDD">
            <w:pPr>
              <w:pStyle w:val="BodyText"/>
            </w:pPr>
            <w:r w:rsidRPr="00517EDD">
              <w:t>2.1</w:t>
            </w:r>
          </w:p>
        </w:tc>
        <w:tc>
          <w:tcPr>
            <w:tcW w:w="561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rPr>
                <w:rStyle w:val="BoldandItalics"/>
              </w:rPr>
              <w:t>Best practice international and national solutions</w:t>
            </w:r>
            <w:r w:rsidRPr="00517EDD">
              <w:t xml:space="preserve"> that provide access to and use of the built environment are researched.</w:t>
            </w:r>
          </w:p>
        </w:tc>
      </w:tr>
      <w:tr w:rsidTr="00517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2.2</w:t>
            </w:r>
          </w:p>
        </w:tc>
        <w:tc>
          <w:tcPr>
            <w:tcW w:w="561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Solutions are assessed for their capacity to add</w:t>
            </w:r>
            <w:r w:rsidRPr="00517EDD">
              <w:t>ress the requirements of people with differing abilities and disabilities.</w:t>
            </w:r>
          </w:p>
        </w:tc>
      </w:tr>
      <w:tr w:rsidTr="00517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2.3</w:t>
            </w:r>
          </w:p>
        </w:tc>
        <w:tc>
          <w:tcPr>
            <w:tcW w:w="561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 xml:space="preserve">Potentially suitable solutions are assessed in relation to their cost-effectiveness and compliance with Australian </w:t>
            </w:r>
            <w:r w:rsidRPr="00517EDD">
              <w:rPr>
                <w:rStyle w:val="BoldandItalics"/>
              </w:rPr>
              <w:t>legislation, codes and standards</w:t>
            </w:r>
            <w:r w:rsidRPr="00517EDD">
              <w:t>.</w:t>
            </w:r>
          </w:p>
        </w:tc>
      </w:tr>
      <w:tr w:rsidTr="00517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2.4</w:t>
            </w:r>
          </w:p>
        </w:tc>
        <w:tc>
          <w:tcPr>
            <w:tcW w:w="5610" w:type="dxa"/>
            <w:tcBorders>
              <w:top w:val="nil"/>
              <w:left w:val="nil"/>
              <w:bottom w:val="nil"/>
              <w:right w:val="nil"/>
            </w:tcBorders>
            <w:tcMar>
              <w:top w:w="0" w:type="dxa"/>
              <w:left w:w="62" w:type="dxa"/>
              <w:bottom w:w="0" w:type="dxa"/>
              <w:right w:w="62" w:type="dxa"/>
            </w:tcMar>
          </w:tcPr>
          <w:p w:rsidR="00000000" w:rsidRPr="00517EDD" w:rsidP="00517EDD">
            <w:pPr>
              <w:pStyle w:val="BodyText"/>
            </w:pPr>
            <w:r w:rsidRPr="00517EDD">
              <w:t xml:space="preserve">New and emerging developments in design, construction </w:t>
            </w:r>
            <w:r w:rsidRPr="00517EDD">
              <w:t>and fit-out solutions are researched and monitored and relevant information is applied to analysis of requirements for access to and use of the built environment.</w:t>
            </w:r>
          </w:p>
        </w:tc>
      </w:tr>
    </w:tbl>
    <w:p w:rsidR="00000000" w:rsidRPr="00517EDD" w:rsidP="00517EDD">
      <w:pPr>
        <w:pStyle w:val="BodyText"/>
      </w:pPr>
    </w:p>
    <w:tbl>
      <w:tblPr>
        <w:tblW w:w="0" w:type="auto"/>
        <w:tblLayout w:type="fixed"/>
        <w:tblCellMar>
          <w:left w:w="62" w:type="dxa"/>
          <w:right w:w="62" w:type="dxa"/>
        </w:tblCellMar>
        <w:tblLook w:val="0000"/>
      </w:tblPr>
      <w:tblGrid>
        <w:gridCol w:w="678"/>
        <w:gridCol w:w="1962"/>
        <w:gridCol w:w="770"/>
        <w:gridCol w:w="5610"/>
      </w:tblGrid>
      <w:tr w:rsidTr="00517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3</w:t>
            </w:r>
          </w:p>
        </w:tc>
        <w:tc>
          <w:tcPr>
            <w:tcW w:w="1962" w:type="dxa"/>
            <w:vMerge w:val="restart"/>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Analyse information regarding compl</w:t>
            </w:r>
            <w:r w:rsidRPr="00517EDD">
              <w:t>iance requirements for access to and use of the built environment.</w:t>
            </w:r>
          </w:p>
        </w:tc>
        <w:tc>
          <w:tcPr>
            <w:tcW w:w="77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3.1</w:t>
            </w:r>
          </w:p>
        </w:tc>
        <w:tc>
          <w:tcPr>
            <w:tcW w:w="561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Content and application of relevant legislation, codes and standards are analysed in relation to access and use requirements of people with disabilities.</w:t>
            </w:r>
          </w:p>
        </w:tc>
      </w:tr>
      <w:tr w:rsidTr="00517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3.2</w:t>
            </w:r>
          </w:p>
        </w:tc>
        <w:tc>
          <w:tcPr>
            <w:tcW w:w="561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Content and application of relevant government policies and urban planning regulations are analysed in relation to ergonomic principles and access and use requirements of people with disabilities.</w:t>
            </w:r>
          </w:p>
        </w:tc>
      </w:tr>
      <w:tr w:rsidTr="00517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3.3</w:t>
            </w:r>
          </w:p>
        </w:tc>
        <w:tc>
          <w:tcPr>
            <w:tcW w:w="5610" w:type="dxa"/>
            <w:tcBorders>
              <w:top w:val="nil"/>
              <w:left w:val="nil"/>
              <w:bottom w:val="nil"/>
              <w:right w:val="nil"/>
            </w:tcBorders>
            <w:tcMar>
              <w:top w:w="0" w:type="dxa"/>
              <w:left w:w="62" w:type="dxa"/>
              <w:bottom w:w="0" w:type="dxa"/>
              <w:right w:w="62" w:type="dxa"/>
            </w:tcMar>
          </w:tcPr>
          <w:p w:rsidR="00000000" w:rsidRPr="00517EDD" w:rsidP="00517EDD">
            <w:pPr>
              <w:pStyle w:val="BodyText"/>
            </w:pPr>
            <w:r w:rsidRPr="00517EDD">
              <w:t xml:space="preserve">Conflicting compliance provisions and access issues </w:t>
            </w:r>
            <w:r w:rsidRPr="00517EDD">
              <w:t>that are not the subject of legislation are identified, and access solutions are analysed and critiqued.</w:t>
            </w:r>
          </w:p>
        </w:tc>
      </w:tr>
    </w:tbl>
    <w:p w:rsidR="00000000" w:rsidRPr="00517EDD" w:rsidP="00517EDD">
      <w:pPr>
        <w:pStyle w:val="BodyText"/>
      </w:pPr>
    </w:p>
    <w:tbl>
      <w:tblPr>
        <w:tblW w:w="0" w:type="auto"/>
        <w:tblLayout w:type="fixed"/>
        <w:tblCellMar>
          <w:left w:w="62" w:type="dxa"/>
          <w:right w:w="62" w:type="dxa"/>
        </w:tblCellMar>
        <w:tblLook w:val="0000"/>
      </w:tblPr>
      <w:tblGrid>
        <w:gridCol w:w="678"/>
        <w:gridCol w:w="1962"/>
        <w:gridCol w:w="770"/>
        <w:gridCol w:w="5610"/>
      </w:tblGrid>
      <w:tr w:rsidTr="00517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4</w:t>
            </w:r>
          </w:p>
        </w:tc>
        <w:tc>
          <w:tcPr>
            <w:tcW w:w="1962" w:type="dxa"/>
            <w:vMerge w:val="restart"/>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Critique information and assess its role in the provision of advice.</w:t>
            </w:r>
          </w:p>
        </w:tc>
        <w:tc>
          <w:tcPr>
            <w:tcW w:w="77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4.1</w:t>
            </w:r>
          </w:p>
        </w:tc>
        <w:tc>
          <w:tcPr>
            <w:tcW w:w="561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 xml:space="preserve">Professional judgement is used to evaluate the efficacy and efficiency of </w:t>
            </w:r>
            <w:r w:rsidRPr="00517EDD">
              <w:t>potential access solutions.</w:t>
            </w:r>
          </w:p>
        </w:tc>
      </w:tr>
      <w:tr w:rsidTr="00517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4.2</w:t>
            </w:r>
          </w:p>
        </w:tc>
        <w:tc>
          <w:tcPr>
            <w:tcW w:w="561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Professional colleagues and networks are consulted to share information and critique the efficacy and efficiency of potential access solutions.</w:t>
            </w:r>
          </w:p>
        </w:tc>
      </w:tr>
      <w:tr w:rsidTr="00517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4.3</w:t>
            </w:r>
          </w:p>
        </w:tc>
        <w:tc>
          <w:tcPr>
            <w:tcW w:w="561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Research findings on best practice access and use solutions are documented and shared with colleagues and relevant professionals.</w:t>
            </w:r>
          </w:p>
        </w:tc>
      </w:tr>
      <w:tr w:rsidTr="00517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4.4</w:t>
            </w:r>
          </w:p>
        </w:tc>
        <w:tc>
          <w:tcPr>
            <w:tcW w:w="5610" w:type="dxa"/>
            <w:tcBorders>
              <w:top w:val="nil"/>
              <w:left w:val="nil"/>
              <w:bottom w:val="nil"/>
              <w:right w:val="nil"/>
            </w:tcBorders>
            <w:tcMar>
              <w:top w:w="0" w:type="dxa"/>
              <w:left w:w="62" w:type="dxa"/>
              <w:bottom w:w="0" w:type="dxa"/>
              <w:right w:w="62" w:type="dxa"/>
            </w:tcMar>
          </w:tcPr>
          <w:p w:rsidR="00000000" w:rsidRPr="00517EDD" w:rsidP="00517EDD">
            <w:pPr>
              <w:pStyle w:val="BodyText"/>
            </w:pPr>
            <w:r w:rsidRPr="00517EDD">
              <w:t>Mechanisms are put in place to review and contribute to the updating of professional literature regarding access to the</w:t>
            </w:r>
            <w:r w:rsidRPr="00517EDD">
              <w:t xml:space="preserve"> built environment.</w:t>
            </w:r>
          </w:p>
        </w:tc>
      </w:tr>
    </w:tbl>
    <w:p w:rsidR="00BA3508" w:rsidP="00517EDD">
      <w:pPr>
        <w:pStyle w:val="BodyText"/>
      </w:pPr>
    </w:p>
    <w:p w:rsidR="00BA3508" w:rsidP="00517EDD">
      <w:pPr>
        <w:pStyle w:val="BodyText"/>
      </w:pPr>
    </w:p>
    <w:p w:rsidR="00000000" w:rsidRPr="00517EDD" w:rsidP="00517EDD">
      <w:pPr>
        <w:pStyle w:val="Heading1"/>
      </w:pPr>
      <w:bookmarkStart w:id="9" w:name="O_453103"/>
      <w:bookmarkEnd w:id="9"/>
      <w:r w:rsidRPr="00517EDD">
        <w:t>Required Skills and Knowledge</w:t>
      </w:r>
    </w:p>
    <w:tbl>
      <w:tblPr>
        <w:tblW w:w="0" w:type="auto"/>
        <w:tblLayout w:type="fixed"/>
        <w:tblCellMar>
          <w:left w:w="62" w:type="dxa"/>
          <w:right w:w="62" w:type="dxa"/>
        </w:tblCellMar>
        <w:tblLook w:val="0000"/>
      </w:tblPr>
      <w:tblGrid>
        <w:gridCol w:w="9179"/>
      </w:tblGrid>
      <w:tr w:rsidTr="00517ED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t>This section describes the skills and knowledge required for this unit.</w:t>
            </w:r>
          </w:p>
        </w:tc>
      </w:tr>
      <w:tr w:rsidTr="00517ED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rPr>
                <w:rStyle w:val="SpecialBold"/>
              </w:rPr>
              <w:t>Required skills</w:t>
            </w:r>
          </w:p>
        </w:tc>
      </w:tr>
      <w:tr w:rsidTr="00517ED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517EDD" w:rsidP="00517EDD">
            <w:pPr>
              <w:pStyle w:val="ListBullet"/>
            </w:pPr>
            <w:r w:rsidRPr="00517EDD">
              <w:t>language and literacy skills to:</w:t>
            </w:r>
          </w:p>
          <w:p w:rsidR="00000000" w:rsidRPr="00517EDD" w:rsidP="00517EDD">
            <w:pPr>
              <w:pStyle w:val="ListBullet2"/>
            </w:pPr>
            <w:r w:rsidRPr="00517EDD">
              <w:t>exchange complex information with people from diverse backgrounds using relevant language and format</w:t>
            </w:r>
          </w:p>
          <w:p w:rsidR="00000000" w:rsidRPr="00517EDD" w:rsidP="00517EDD">
            <w:pPr>
              <w:pStyle w:val="ListBullet2"/>
            </w:pPr>
            <w:r w:rsidRPr="00517EDD">
              <w:t>interpret complex legal and technical documents regarding access to and use of the built environment, such as:</w:t>
            </w:r>
          </w:p>
          <w:p w:rsidR="00000000" w:rsidRPr="00517EDD" w:rsidP="00517EDD">
            <w:pPr>
              <w:pStyle w:val="ListBullet3"/>
            </w:pPr>
            <w:r w:rsidRPr="00517EDD">
              <w:t>Australian and international standards</w:t>
            </w:r>
          </w:p>
          <w:p w:rsidR="00000000" w:rsidRPr="00517EDD" w:rsidP="00517EDD">
            <w:pPr>
              <w:pStyle w:val="ListBullet3"/>
            </w:pPr>
            <w:r w:rsidRPr="00517EDD">
              <w:t>Australian and international guideline documents</w:t>
            </w:r>
          </w:p>
          <w:p w:rsidR="00000000" w:rsidRPr="00517EDD" w:rsidP="00517EDD">
            <w:pPr>
              <w:pStyle w:val="ListBullet3"/>
            </w:pPr>
            <w:r w:rsidRPr="00517EDD">
              <w:t>National Construction Code (NCC) deemed-to-satisfy requirements, performance requirements and alternative solutions</w:t>
            </w:r>
          </w:p>
          <w:p w:rsidR="00000000" w:rsidRPr="00517EDD" w:rsidP="00517EDD">
            <w:pPr>
              <w:pStyle w:val="ListBullet3"/>
            </w:pPr>
            <w:r w:rsidRPr="00517EDD">
              <w:t>Disability (Access to Premises – Buildings) Standards, known as the Premises Standards (PS)</w:t>
            </w:r>
          </w:p>
          <w:p w:rsidR="00000000" w:rsidRPr="00517EDD" w:rsidP="00517EDD">
            <w:pPr>
              <w:pStyle w:val="ListBullet3"/>
            </w:pPr>
            <w:r w:rsidRPr="00517EDD">
              <w:t>Disability Discrimination Act</w:t>
            </w:r>
          </w:p>
          <w:p w:rsidR="00000000" w:rsidRPr="00517EDD" w:rsidP="00517EDD">
            <w:pPr>
              <w:pStyle w:val="ListBullet3"/>
            </w:pPr>
            <w:r w:rsidRPr="00517EDD">
              <w:t>research papers</w:t>
            </w:r>
          </w:p>
          <w:p w:rsidR="00000000" w:rsidRPr="00517EDD" w:rsidP="00517EDD">
            <w:pPr>
              <w:pStyle w:val="ListBullet"/>
            </w:pPr>
            <w:r w:rsidRPr="00517EDD">
              <w:t>learning skills to:</w:t>
            </w:r>
          </w:p>
          <w:p w:rsidR="00000000" w:rsidRPr="00517EDD" w:rsidP="00517EDD">
            <w:pPr>
              <w:pStyle w:val="ListBullet2"/>
            </w:pPr>
            <w:r w:rsidRPr="00517EDD">
              <w:t>maintain currency of own professional knowledge</w:t>
            </w:r>
          </w:p>
          <w:p w:rsidR="00000000" w:rsidRPr="00517EDD" w:rsidP="00517EDD">
            <w:pPr>
              <w:pStyle w:val="ListBullet2"/>
            </w:pPr>
            <w:r w:rsidRPr="00517EDD">
              <w:t>participate in debate on relevant issues</w:t>
            </w:r>
          </w:p>
          <w:p w:rsidR="00000000" w:rsidRPr="00517EDD" w:rsidP="00517EDD">
            <w:pPr>
              <w:pStyle w:val="ListBullet2"/>
            </w:pPr>
            <w:r w:rsidRPr="00517EDD">
              <w:t>undertake appropriate professional development</w:t>
            </w:r>
          </w:p>
          <w:p w:rsidR="00000000" w:rsidRPr="00517EDD" w:rsidP="00517EDD">
            <w:pPr>
              <w:pStyle w:val="ListBullet2"/>
            </w:pPr>
            <w:r w:rsidRPr="00517EDD">
              <w:t>update and manage information systems</w:t>
            </w:r>
          </w:p>
          <w:p w:rsidR="00000000" w:rsidRPr="00517EDD" w:rsidP="00517EDD">
            <w:pPr>
              <w:pStyle w:val="ListBullet"/>
            </w:pPr>
            <w:r w:rsidRPr="00517EDD">
              <w:t>numerac</w:t>
            </w:r>
            <w:r w:rsidRPr="00517EDD">
              <w:t xml:space="preserve">y skills to interpret complex technical documents regarding access to and use of the built environment </w:t>
            </w:r>
          </w:p>
          <w:p w:rsidR="00000000" w:rsidRPr="00517EDD" w:rsidP="00517EDD">
            <w:pPr>
              <w:pStyle w:val="ListBullet"/>
            </w:pPr>
            <w:r w:rsidRPr="00517EDD">
              <w:t>planning and organising skills to:</w:t>
            </w:r>
          </w:p>
          <w:p w:rsidR="00000000" w:rsidRPr="00517EDD" w:rsidP="00517EDD">
            <w:pPr>
              <w:pStyle w:val="ListBullet2"/>
            </w:pPr>
            <w:r w:rsidRPr="00517EDD">
              <w:t>manage sources of information</w:t>
            </w:r>
          </w:p>
          <w:p w:rsidR="00000000" w:rsidRPr="00517EDD" w:rsidP="00517EDD">
            <w:pPr>
              <w:pStyle w:val="ListBullet2"/>
            </w:pPr>
            <w:r w:rsidRPr="00517EDD">
              <w:t>ensure relevant personnel receive updates on legal and regulatory requirements</w:t>
            </w:r>
          </w:p>
          <w:p w:rsidR="00000000" w:rsidRPr="00517EDD" w:rsidP="00517EDD">
            <w:pPr>
              <w:pStyle w:val="ListBullet"/>
            </w:pPr>
            <w:r w:rsidRPr="00517EDD">
              <w:t>problem</w:t>
            </w:r>
            <w:r w:rsidRPr="00517EDD">
              <w:t>-solving skills to:</w:t>
            </w:r>
          </w:p>
          <w:p w:rsidR="00000000" w:rsidRPr="00517EDD" w:rsidP="00517EDD">
            <w:pPr>
              <w:pStyle w:val="ListBullet2"/>
            </w:pPr>
            <w:r w:rsidRPr="00517EDD">
              <w:t>analyse access and use issues for people with disabilities</w:t>
            </w:r>
          </w:p>
          <w:p w:rsidR="00000000" w:rsidRPr="00517EDD" w:rsidP="00517EDD">
            <w:pPr>
              <w:pStyle w:val="ListBullet2"/>
            </w:pPr>
            <w:r w:rsidRPr="00517EDD">
              <w:t>identify gaps and conflicts in compliance requirements and seek resolution</w:t>
            </w:r>
          </w:p>
          <w:p w:rsidR="00000000" w:rsidRPr="00517EDD" w:rsidP="00517EDD">
            <w:pPr>
              <w:pStyle w:val="ListBullet2"/>
            </w:pPr>
            <w:r w:rsidRPr="00517EDD">
              <w:t>analyse access solutions that meet the requirements of codes and standards, including developing deem</w:t>
            </w:r>
            <w:r w:rsidRPr="00517EDD">
              <w:t>ed-to-satisfy and performance-based solutions in line with the NCC</w:t>
            </w:r>
          </w:p>
          <w:p w:rsidR="00000000" w:rsidRPr="00517EDD" w:rsidP="00517EDD">
            <w:pPr>
              <w:pStyle w:val="ListBullet"/>
            </w:pPr>
            <w:r w:rsidRPr="00517EDD">
              <w:t>technical skills to visualise environments in three-dimensions (3-D) and conduct cognitive ‘walk through’, applying knowledge of needs of people with disabilities</w:t>
            </w:r>
          </w:p>
          <w:p w:rsidR="00000000" w:rsidRPr="00517EDD" w:rsidP="00517EDD">
            <w:pPr>
              <w:pStyle w:val="ListBullet"/>
            </w:pPr>
            <w:r w:rsidRPr="00517EDD">
              <w:t>technology skills to:</w:t>
            </w:r>
          </w:p>
          <w:p w:rsidR="00000000" w:rsidRPr="00517EDD" w:rsidP="00517EDD">
            <w:pPr>
              <w:pStyle w:val="ListBullet2"/>
            </w:pPr>
            <w:r w:rsidRPr="00517EDD">
              <w:t>cap</w:t>
            </w:r>
            <w:r w:rsidRPr="00517EDD">
              <w:t>ture data for site appraisals or audits</w:t>
            </w:r>
          </w:p>
          <w:p w:rsidR="00000000" w:rsidRPr="00517EDD" w:rsidP="00517EDD">
            <w:pPr>
              <w:pStyle w:val="ListBullet2"/>
            </w:pPr>
            <w:r w:rsidRPr="00517EDD">
              <w:t>develop and maintain information management system</w:t>
            </w:r>
          </w:p>
          <w:p w:rsidR="00000000" w:rsidRPr="00517EDD" w:rsidP="00517EDD">
            <w:pPr>
              <w:pStyle w:val="ListBullet2"/>
            </w:pPr>
            <w:r w:rsidRPr="00517EDD">
              <w:t>prepare and present data and reports</w:t>
            </w:r>
          </w:p>
          <w:p w:rsidR="00000000" w:rsidP="00517EDD">
            <w:pPr>
              <w:pStyle w:val="ListBullet2"/>
              <w:rPr>
                <w:lang w:val="en-NZ"/>
              </w:rPr>
            </w:pPr>
            <w:r w:rsidRPr="00517EDD">
              <w:t>research the buildability of solutions</w:t>
            </w:r>
          </w:p>
        </w:tc>
      </w:tr>
      <w:tr w:rsidTr="00517ED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p>
        </w:tc>
      </w:tr>
      <w:tr w:rsidTr="00517ED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517EDD">
            <w:pPr>
              <w:pStyle w:val="BodyText"/>
              <w:rPr>
                <w:lang w:val="en-NZ"/>
              </w:rPr>
            </w:pPr>
            <w:r w:rsidRPr="00517EDD">
              <w:rPr>
                <w:rStyle w:val="SpecialBold"/>
              </w:rPr>
              <w:t>Required knowledge</w:t>
            </w:r>
          </w:p>
        </w:tc>
      </w:tr>
      <w:tr w:rsidTr="00517ED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517EDD" w:rsidP="00517EDD">
            <w:pPr>
              <w:pStyle w:val="BodyText"/>
            </w:pPr>
          </w:p>
          <w:p w:rsidR="00000000" w:rsidRPr="00517EDD" w:rsidP="00517EDD">
            <w:pPr>
              <w:pStyle w:val="ListBullet"/>
            </w:pPr>
            <w:r w:rsidRPr="00517EDD">
              <w:t>access and use compliance requirements, including but not restricted to:</w:t>
            </w:r>
          </w:p>
          <w:p w:rsidR="00000000" w:rsidRPr="00517EDD" w:rsidP="00517EDD">
            <w:pPr>
              <w:pStyle w:val="ListBullet2"/>
            </w:pPr>
            <w:r w:rsidRPr="00517EDD">
              <w:t>codes</w:t>
            </w:r>
          </w:p>
          <w:p w:rsidR="00000000" w:rsidRPr="00517EDD" w:rsidP="00517EDD">
            <w:pPr>
              <w:pStyle w:val="ListBullet2"/>
            </w:pPr>
            <w:r w:rsidRPr="00517EDD">
              <w:t>guidelines</w:t>
            </w:r>
          </w:p>
          <w:p w:rsidR="00000000" w:rsidRPr="00517EDD" w:rsidP="00517EDD">
            <w:pPr>
              <w:pStyle w:val="ListBullet2"/>
            </w:pPr>
            <w:r w:rsidRPr="00517EDD">
              <w:t>legislation</w:t>
            </w:r>
          </w:p>
          <w:p w:rsidR="00000000" w:rsidRPr="00517EDD" w:rsidP="00517EDD">
            <w:pPr>
              <w:pStyle w:val="ListBullet2"/>
            </w:pPr>
            <w:r w:rsidRPr="00517EDD">
              <w:t>local authority policies</w:t>
            </w:r>
          </w:p>
          <w:p w:rsidR="00000000" w:rsidRPr="00517EDD" w:rsidP="00517EDD">
            <w:pPr>
              <w:pStyle w:val="ListBullet2"/>
            </w:pPr>
            <w:r w:rsidRPr="00517EDD">
              <w:t>protocols</w:t>
            </w:r>
          </w:p>
          <w:p w:rsidR="00000000" w:rsidRPr="00517EDD" w:rsidP="00517EDD">
            <w:pPr>
              <w:pStyle w:val="ListBullet2"/>
            </w:pPr>
            <w:r w:rsidRPr="00517EDD">
              <w:t>regulations</w:t>
            </w:r>
          </w:p>
          <w:p w:rsidR="00000000" w:rsidRPr="00517EDD" w:rsidP="00517EDD">
            <w:pPr>
              <w:pStyle w:val="ListBullet2"/>
            </w:pPr>
            <w:r w:rsidRPr="00517EDD">
              <w:t>standards</w:t>
            </w:r>
          </w:p>
          <w:p w:rsidR="00000000" w:rsidRPr="00517EDD" w:rsidP="00517EDD">
            <w:pPr>
              <w:pStyle w:val="ListBullet"/>
            </w:pPr>
            <w:r w:rsidRPr="00517EDD">
              <w:t xml:space="preserve">accessibility requirements relating to equipment used by people with disabilities, such as: </w:t>
            </w:r>
          </w:p>
          <w:p w:rsidR="00000000" w:rsidRPr="00517EDD" w:rsidP="00517EDD">
            <w:pPr>
              <w:pStyle w:val="ListBullet2"/>
            </w:pPr>
            <w:r w:rsidRPr="00517EDD">
              <w:t>assistance animals</w:t>
            </w:r>
          </w:p>
          <w:p w:rsidR="00000000" w:rsidRPr="00517EDD" w:rsidP="00517EDD">
            <w:pPr>
              <w:pStyle w:val="ListBullet2"/>
            </w:pPr>
            <w:r w:rsidRPr="00517EDD">
              <w:t>audio frequency induction loops</w:t>
            </w:r>
          </w:p>
          <w:p w:rsidR="00000000" w:rsidRPr="00517EDD" w:rsidP="00517EDD">
            <w:pPr>
              <w:pStyle w:val="ListBullet2"/>
            </w:pPr>
            <w:r w:rsidRPr="00517EDD">
              <w:t>braille and tactile signage</w:t>
            </w:r>
          </w:p>
          <w:p w:rsidR="00000000" w:rsidRPr="00517EDD" w:rsidP="00517EDD">
            <w:pPr>
              <w:pStyle w:val="ListBullet2"/>
            </w:pPr>
            <w:r w:rsidRPr="00517EDD">
              <w:t>long white canes</w:t>
            </w:r>
          </w:p>
          <w:p w:rsidR="00000000" w:rsidRPr="00517EDD" w:rsidP="00517EDD">
            <w:pPr>
              <w:pStyle w:val="ListBullet2"/>
            </w:pPr>
            <w:r w:rsidRPr="00517EDD">
              <w:t>TTY telephones</w:t>
            </w:r>
          </w:p>
          <w:p w:rsidR="00000000" w:rsidRPr="00517EDD" w:rsidP="00517EDD">
            <w:pPr>
              <w:pStyle w:val="ListBullet2"/>
            </w:pPr>
            <w:r w:rsidRPr="00517EDD">
              <w:t>walking frames</w:t>
            </w:r>
          </w:p>
          <w:p w:rsidR="00000000" w:rsidRPr="00517EDD" w:rsidP="00517EDD">
            <w:pPr>
              <w:pStyle w:val="ListBullet2"/>
            </w:pPr>
            <w:r w:rsidRPr="00517EDD">
              <w:t>wheelchairs</w:t>
            </w:r>
          </w:p>
          <w:p w:rsidR="00000000" w:rsidRPr="00517EDD" w:rsidP="00517EDD">
            <w:pPr>
              <w:pStyle w:val="ListBullet"/>
            </w:pPr>
            <w:r w:rsidRPr="00517EDD">
              <w:t xml:space="preserve">best practices in access and use, including measures that exceed compliance requirements </w:t>
            </w:r>
          </w:p>
          <w:p w:rsidR="00000000" w:rsidRPr="00517EDD" w:rsidP="00517EDD">
            <w:pPr>
              <w:pStyle w:val="ListBullet"/>
            </w:pPr>
            <w:r w:rsidRPr="00517EDD">
              <w:t>gaps and trends in, interrel</w:t>
            </w:r>
            <w:r w:rsidRPr="00517EDD">
              <w:t>ation of, and conflict between compliance requirements</w:t>
            </w:r>
          </w:p>
          <w:p w:rsidR="00000000" w:rsidRPr="00517EDD" w:rsidP="00517EDD">
            <w:pPr>
              <w:pStyle w:val="ListBullet"/>
            </w:pPr>
            <w:r w:rsidRPr="00517EDD">
              <w:t>policy development, legislative and regulatory frameworks relating to access to and use of the built environment</w:t>
            </w:r>
          </w:p>
          <w:p w:rsidR="00000000" w:rsidRPr="00517EDD" w:rsidP="00517EDD">
            <w:pPr>
              <w:pStyle w:val="ListBullet"/>
            </w:pPr>
            <w:r w:rsidRPr="00517EDD">
              <w:t>principles of access to and use of the built environment, including:</w:t>
            </w:r>
          </w:p>
          <w:p w:rsidR="00000000" w:rsidRPr="00517EDD" w:rsidP="00517EDD">
            <w:pPr>
              <w:pStyle w:val="ListBullet2"/>
            </w:pPr>
            <w:r w:rsidRPr="00517EDD">
              <w:t>adaptable design</w:t>
            </w:r>
          </w:p>
          <w:p w:rsidR="00000000" w:rsidRPr="00517EDD" w:rsidP="00517EDD">
            <w:pPr>
              <w:pStyle w:val="ListBullet2"/>
            </w:pPr>
            <w:r w:rsidRPr="00517EDD">
              <w:t>b</w:t>
            </w:r>
            <w:r w:rsidRPr="00517EDD">
              <w:t>est practice solutions to access and use requirements</w:t>
            </w:r>
          </w:p>
          <w:p w:rsidR="00000000" w:rsidRPr="00517EDD" w:rsidP="00517EDD">
            <w:pPr>
              <w:pStyle w:val="ListBullet"/>
            </w:pPr>
            <w:r w:rsidRPr="00517EDD">
              <w:t>principles of ergonomics and human geometry</w:t>
            </w:r>
          </w:p>
          <w:p w:rsidR="00000000" w:rsidRPr="00517EDD" w:rsidP="00517EDD">
            <w:pPr>
              <w:pStyle w:val="ListBullet"/>
            </w:pPr>
            <w:r w:rsidRPr="00517EDD">
              <w:t>range of information, policy and support sources to inform professional work</w:t>
            </w:r>
          </w:p>
          <w:p w:rsidR="00000000" w:rsidRPr="00517EDD" w:rsidP="00517EDD">
            <w:pPr>
              <w:pStyle w:val="ListBullet"/>
            </w:pPr>
            <w:r w:rsidRPr="00517EDD">
              <w:t>scope of functions of the human body, including:</w:t>
            </w:r>
          </w:p>
          <w:p w:rsidR="00000000" w:rsidRPr="00517EDD" w:rsidP="00517EDD">
            <w:pPr>
              <w:pStyle w:val="ListBullet2"/>
            </w:pPr>
            <w:r w:rsidRPr="00517EDD">
              <w:t>auditory and visual processing</w:t>
            </w:r>
          </w:p>
          <w:p w:rsidR="00000000" w:rsidRPr="00517EDD" w:rsidP="00517EDD">
            <w:pPr>
              <w:pStyle w:val="ListBullet2"/>
            </w:pPr>
            <w:r w:rsidRPr="00517EDD">
              <w:t>cognitive functions</w:t>
            </w:r>
          </w:p>
          <w:p w:rsidR="00000000" w:rsidRPr="00517EDD" w:rsidP="00517EDD">
            <w:pPr>
              <w:pStyle w:val="ListBullet2"/>
            </w:pPr>
            <w:r w:rsidRPr="00517EDD">
              <w:t>mobility</w:t>
            </w:r>
          </w:p>
          <w:p w:rsidR="00000000" w:rsidRPr="00517EDD" w:rsidP="00517EDD">
            <w:pPr>
              <w:pStyle w:val="ListBullet2"/>
            </w:pPr>
            <w:r w:rsidRPr="00517EDD">
              <w:t>psychiatric conditions</w:t>
            </w:r>
          </w:p>
          <w:p w:rsidR="00000000" w:rsidRPr="00517EDD" w:rsidP="00517EDD">
            <w:pPr>
              <w:pStyle w:val="ListBullet"/>
            </w:pPr>
            <w:r w:rsidRPr="00517EDD">
              <w:t>social construction of disability, including:</w:t>
            </w:r>
          </w:p>
          <w:p w:rsidR="00000000" w:rsidRPr="00517EDD" w:rsidP="00517EDD">
            <w:pPr>
              <w:pStyle w:val="ListBullet2"/>
            </w:pPr>
            <w:r w:rsidRPr="00517EDD">
              <w:t>effects of restriction of autonomy</w:t>
            </w:r>
          </w:p>
          <w:p w:rsidR="00000000" w:rsidRPr="00517EDD" w:rsidP="00517EDD">
            <w:pPr>
              <w:pStyle w:val="ListBullet2"/>
            </w:pPr>
            <w:r w:rsidRPr="00517EDD">
              <w:t>institutional models</w:t>
            </w:r>
          </w:p>
          <w:p w:rsidR="00000000" w:rsidRPr="00517EDD" w:rsidP="00517EDD">
            <w:pPr>
              <w:pStyle w:val="ListBullet2"/>
            </w:pPr>
            <w:r w:rsidRPr="00517EDD">
              <w:t>medical models</w:t>
            </w:r>
          </w:p>
          <w:p w:rsidR="00000000" w:rsidRPr="00517EDD" w:rsidP="00517EDD">
            <w:pPr>
              <w:pStyle w:val="ListBullet2"/>
            </w:pPr>
            <w:r w:rsidRPr="00517EDD">
              <w:t xml:space="preserve">social, civic and economic inclusion </w:t>
            </w:r>
          </w:p>
          <w:p w:rsidR="00000000" w:rsidRPr="00517EDD" w:rsidP="00517EDD">
            <w:pPr>
              <w:pStyle w:val="ListBullet"/>
            </w:pPr>
            <w:r w:rsidRPr="00517EDD">
              <w:t>types of disabilities and combinations of disabi</w:t>
            </w:r>
            <w:r w:rsidRPr="00517EDD">
              <w:t xml:space="preserve">lities and related range of functional limitations, including: </w:t>
            </w:r>
          </w:p>
          <w:p w:rsidR="00000000" w:rsidRPr="00517EDD" w:rsidP="00517EDD">
            <w:pPr>
              <w:pStyle w:val="ListBullet2"/>
            </w:pPr>
            <w:r w:rsidRPr="00517EDD">
              <w:t>auditory</w:t>
            </w:r>
          </w:p>
          <w:p w:rsidR="00000000" w:rsidRPr="00517EDD" w:rsidP="00517EDD">
            <w:pPr>
              <w:pStyle w:val="ListBullet2"/>
            </w:pPr>
            <w:r w:rsidRPr="00517EDD">
              <w:t>cognitive</w:t>
            </w:r>
          </w:p>
          <w:p w:rsidR="00000000" w:rsidRPr="00517EDD" w:rsidP="00517EDD">
            <w:pPr>
              <w:pStyle w:val="ListBullet2"/>
            </w:pPr>
            <w:r w:rsidRPr="00517EDD">
              <w:t>mobility</w:t>
            </w:r>
          </w:p>
          <w:p w:rsidR="00000000" w:rsidRPr="00517EDD" w:rsidP="00517EDD">
            <w:pPr>
              <w:pStyle w:val="ListBullet2"/>
            </w:pPr>
            <w:r w:rsidRPr="00517EDD">
              <w:t>muscle wasting and weakness</w:t>
            </w:r>
          </w:p>
          <w:p w:rsidR="00000000" w:rsidRPr="00517EDD" w:rsidP="00517EDD">
            <w:pPr>
              <w:pStyle w:val="ListBullet2"/>
            </w:pPr>
            <w:r w:rsidRPr="00517EDD">
              <w:t>psychiatric</w:t>
            </w:r>
          </w:p>
          <w:p w:rsidR="00000000" w:rsidRPr="00517EDD" w:rsidP="00517EDD">
            <w:pPr>
              <w:pStyle w:val="ListBullet2"/>
            </w:pPr>
            <w:r w:rsidRPr="00517EDD">
              <w:t>vision</w:t>
            </w:r>
          </w:p>
        </w:tc>
      </w:tr>
    </w:tbl>
    <w:p w:rsidR="00BA3508" w:rsidP="00517EDD">
      <w:pPr>
        <w:pStyle w:val="BodyText"/>
      </w:pPr>
    </w:p>
    <w:p w:rsidR="00BA3508" w:rsidP="00517EDD">
      <w:pPr>
        <w:pStyle w:val="BodyText"/>
      </w:pPr>
    </w:p>
    <w:p w:rsidR="00000000" w:rsidRPr="00517EDD" w:rsidP="00517EDD">
      <w:pPr>
        <w:pStyle w:val="Heading1"/>
      </w:pPr>
      <w:bookmarkStart w:id="10" w:name="O_453104"/>
      <w:bookmarkEnd w:id="10"/>
      <w:r w:rsidRPr="00517EDD">
        <w:t>Evidence Guide</w:t>
      </w:r>
    </w:p>
    <w:tbl>
      <w:tblPr>
        <w:tblW w:w="0" w:type="auto"/>
        <w:tblLayout w:type="fixed"/>
        <w:tblCellMar>
          <w:left w:w="62" w:type="dxa"/>
          <w:right w:w="62" w:type="dxa"/>
        </w:tblCellMar>
        <w:tblLook w:val="0000"/>
      </w:tblPr>
      <w:tblGrid>
        <w:gridCol w:w="2738"/>
        <w:gridCol w:w="6441"/>
      </w:tblGrid>
      <w:tr w:rsidTr="00BA3508">
        <w:tblPrEx>
          <w:tblW w:w="0" w:type="auto"/>
          <w:tblLayout w:type="fixed"/>
          <w:tblCellMar>
            <w:left w:w="62" w:type="dxa"/>
            <w:right w:w="62" w:type="dxa"/>
          </w:tblCellMar>
          <w:tblLook w:val="0000"/>
        </w:tblPrEx>
        <w:tc>
          <w:tcPr>
            <w:tcW w:w="9179"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17EDD">
            <w:pPr>
              <w:pStyle w:val="BodyText"/>
              <w:rPr>
                <w:lang w:val="en-NZ"/>
              </w:rPr>
            </w:pPr>
            <w:r w:rsidRPr="00517EDD">
              <w:t>The evidence guide provides advice on assessment and must be read in conjunction with the performance criteria, required skills and knowledge, range statement and the Assessment Guidelines for the Training Package.</w:t>
            </w:r>
          </w:p>
        </w:tc>
      </w:tr>
      <w:tr w:rsidTr="00BA3508">
        <w:tblPrEx>
          <w:tblW w:w="0" w:type="auto"/>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EDD">
            <w:pPr>
              <w:pStyle w:val="BodyText"/>
              <w:rPr>
                <w:lang w:val="en-NZ"/>
              </w:rPr>
            </w:pPr>
            <w:r w:rsidRPr="00517EDD">
              <w:rPr>
                <w:rStyle w:val="SpecialBold"/>
              </w:rPr>
              <w:t>Critical aspects for assessment and evi</w:t>
            </w:r>
            <w:r w:rsidRPr="00517EDD">
              <w:rPr>
                <w:rStyle w:val="SpecialBold"/>
              </w:rPr>
              <w:t>dence required to demonstrate competency in this unit</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EDD" w:rsidP="00517EDD">
            <w:pPr>
              <w:pStyle w:val="BodyText"/>
            </w:pPr>
            <w:r w:rsidRPr="00517EDD">
              <w:t>A person who demonstrates competency in this unit must be able to provide evidence of the required skills and knowledge specified in this unit.</w:t>
            </w:r>
          </w:p>
          <w:p w:rsidR="00000000" w:rsidRPr="00517EDD" w:rsidP="00517EDD">
            <w:pPr>
              <w:pStyle w:val="BodyText"/>
            </w:pPr>
            <w:r w:rsidRPr="00517EDD">
              <w:t>In particular, the person should demonstrate the ability t</w:t>
            </w:r>
            <w:r w:rsidRPr="00517EDD">
              <w:t>o:</w:t>
            </w:r>
          </w:p>
          <w:p w:rsidR="00000000" w:rsidRPr="00517EDD" w:rsidP="00517EDD">
            <w:pPr>
              <w:pStyle w:val="ListBullet"/>
            </w:pPr>
            <w:r w:rsidRPr="00517EDD">
              <w:t>source authoritative, current and relevant information about:</w:t>
            </w:r>
          </w:p>
          <w:p w:rsidR="00000000" w:rsidRPr="00517EDD" w:rsidP="00517EDD">
            <w:pPr>
              <w:pStyle w:val="ListBullet2"/>
            </w:pPr>
            <w:r w:rsidRPr="00517EDD">
              <w:t>effects of disabilities on access</w:t>
            </w:r>
          </w:p>
          <w:p w:rsidR="00000000" w:rsidRPr="00517EDD" w:rsidP="00517EDD">
            <w:pPr>
              <w:pStyle w:val="ListBullet2"/>
            </w:pPr>
            <w:r w:rsidRPr="00517EDD">
              <w:t>legislative requirements for the provision of access and use</w:t>
            </w:r>
          </w:p>
          <w:p w:rsidR="00000000" w:rsidRPr="00517EDD" w:rsidP="00517EDD">
            <w:pPr>
              <w:pStyle w:val="ListBullet2"/>
            </w:pPr>
            <w:r w:rsidRPr="00517EDD">
              <w:t>best practice solutions for the provision of access and use</w:t>
            </w:r>
          </w:p>
          <w:p w:rsidR="00000000" w:rsidRPr="00517EDD" w:rsidP="00517EDD">
            <w:pPr>
              <w:pStyle w:val="ListBullet"/>
            </w:pPr>
            <w:r w:rsidRPr="00517EDD">
              <w:t>develop and maintain mechanisms and processes for capturing, storing and updating information sources</w:t>
            </w:r>
          </w:p>
          <w:p w:rsidR="00000000" w:rsidRPr="00517EDD" w:rsidP="00517EDD">
            <w:pPr>
              <w:pStyle w:val="ListBullet"/>
            </w:pPr>
            <w:r w:rsidRPr="00517EDD">
              <w:t>conduct research and synthesise and evaluate information to inform the provision of advice regarding the development of solutions for access and use</w:t>
            </w:r>
          </w:p>
          <w:p w:rsidR="00000000" w:rsidRPr="00517EDD" w:rsidP="00517EDD">
            <w:pPr>
              <w:pStyle w:val="ListBullet"/>
            </w:pPr>
            <w:r w:rsidRPr="00517EDD">
              <w:t>resea</w:t>
            </w:r>
            <w:r w:rsidRPr="00517EDD">
              <w:t>rch and critique solutions regarding conflicting compliance provisions and access issues that are not the subject of legislation</w:t>
            </w:r>
          </w:p>
          <w:p w:rsidR="00000000" w:rsidP="00517EDD">
            <w:pPr>
              <w:pStyle w:val="ListBullet"/>
              <w:rPr>
                <w:lang w:val="en-NZ"/>
              </w:rPr>
            </w:pPr>
            <w:r w:rsidRPr="00517EDD">
              <w:t>document findings of research and analysis for two different projects.</w:t>
            </w:r>
          </w:p>
        </w:tc>
      </w:tr>
      <w:tr w:rsidTr="00BA3508">
        <w:tblPrEx>
          <w:tblW w:w="0" w:type="auto"/>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EDD">
            <w:pPr>
              <w:pStyle w:val="BodyText"/>
              <w:rPr>
                <w:lang w:val="en-NZ"/>
              </w:rPr>
            </w:pPr>
            <w:r w:rsidRPr="00517EDD">
              <w:rPr>
                <w:rStyle w:val="SpecialBold"/>
              </w:rPr>
              <w:t>Context of and specific resources for assessment</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EDD" w:rsidP="00517EDD">
            <w:pPr>
              <w:pStyle w:val="BodyText"/>
            </w:pPr>
            <w:r w:rsidRPr="00517EDD">
              <w:t>Assess</w:t>
            </w:r>
            <w:r w:rsidRPr="00517EDD">
              <w:t>ment of essential underpinning knowledge may be conducted in an off-site context and is to comply with regulatory and Australian standards’ requirements.</w:t>
            </w:r>
          </w:p>
          <w:p w:rsidR="00000000" w:rsidRPr="00517EDD" w:rsidP="00517EDD">
            <w:pPr>
              <w:pStyle w:val="BodyText"/>
            </w:pPr>
            <w:r w:rsidRPr="00517EDD">
              <w:t>Resource implications for assessment include access to:</w:t>
            </w:r>
          </w:p>
          <w:p w:rsidR="00000000" w:rsidRPr="00517EDD" w:rsidP="00517EDD">
            <w:pPr>
              <w:pStyle w:val="ListBullet"/>
            </w:pPr>
            <w:r w:rsidRPr="00517EDD">
              <w:t>relevant legislation, codes, standards and gui</w:t>
            </w:r>
            <w:r w:rsidRPr="00517EDD">
              <w:t>delines</w:t>
            </w:r>
          </w:p>
          <w:p w:rsidR="00000000" w:rsidRPr="00517EDD" w:rsidP="00517EDD">
            <w:pPr>
              <w:pStyle w:val="ListBullet"/>
            </w:pPr>
            <w:r w:rsidRPr="00517EDD">
              <w:t>national and international literature regarding legislation, the effects of disabilities on access and use, and best practice design solutions</w:t>
            </w:r>
          </w:p>
          <w:p w:rsidR="00000000" w:rsidP="00517EDD">
            <w:pPr>
              <w:pStyle w:val="ListBullet"/>
              <w:rPr>
                <w:lang w:val="en-NZ"/>
              </w:rPr>
            </w:pPr>
            <w:r w:rsidRPr="00517EDD">
              <w:t>professional forums to develop and share knowledge.</w:t>
            </w:r>
          </w:p>
        </w:tc>
      </w:tr>
      <w:tr w:rsidTr="00BA3508">
        <w:tblPrEx>
          <w:tblW w:w="0" w:type="auto"/>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EDD">
            <w:pPr>
              <w:pStyle w:val="BodyText"/>
              <w:rPr>
                <w:lang w:val="en-NZ"/>
              </w:rPr>
            </w:pPr>
            <w:r w:rsidRPr="00517EDD">
              <w:rPr>
                <w:rStyle w:val="SpecialBold"/>
              </w:rPr>
              <w:t>Method of assessment</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EDD" w:rsidP="00517EDD">
            <w:pPr>
              <w:pStyle w:val="BodyText"/>
            </w:pPr>
            <w:r w:rsidRPr="00517EDD">
              <w:t>Assessment methods must:</w:t>
            </w:r>
          </w:p>
          <w:p w:rsidR="00000000" w:rsidRPr="00517EDD" w:rsidP="00517EDD">
            <w:pPr>
              <w:pStyle w:val="ListBullet"/>
            </w:pPr>
            <w:r w:rsidRPr="00517EDD">
              <w:t>satisfy the endorsed Assessment Guidelines of the CPP07 Property Services Training Package</w:t>
            </w:r>
          </w:p>
          <w:p w:rsidR="00000000" w:rsidRPr="00517EDD" w:rsidP="00517EDD">
            <w:pPr>
              <w:pStyle w:val="ListBullet"/>
            </w:pPr>
            <w:r w:rsidRPr="00517EDD">
              <w:t>include direct observation of tasks in real or simulated work conditions, with questioning to confirm the ability to consistently identify and correctly interpret th</w:t>
            </w:r>
            <w:r w:rsidRPr="00517EDD">
              <w:t>e essential underpinning knowledge required for practical application</w:t>
            </w:r>
          </w:p>
          <w:p w:rsidR="00000000" w:rsidRPr="00517EDD" w:rsidP="00517EDD">
            <w:pPr>
              <w:pStyle w:val="ListBullet"/>
            </w:pPr>
            <w:r w:rsidRPr="00517EDD">
              <w:t>reinforce the integration of employability skills with workplace tasks and job roles</w:t>
            </w:r>
          </w:p>
          <w:p w:rsidR="00000000" w:rsidP="00517EDD">
            <w:pPr>
              <w:pStyle w:val="ListBullet"/>
              <w:rPr>
                <w:lang w:val="en-NZ"/>
              </w:rPr>
            </w:pPr>
            <w:r w:rsidRPr="00517EDD">
              <w:t>confirm that competency is verified and able to be transferred to other circumstances and environment</w:t>
            </w:r>
            <w:r w:rsidRPr="00517EDD">
              <w:t>s.</w:t>
            </w:r>
          </w:p>
        </w:tc>
      </w:tr>
      <w:tr w:rsidTr="00BA3508">
        <w:tblPrEx>
          <w:tblW w:w="0" w:type="auto"/>
          <w:tblLayout w:type="fixed"/>
          <w:tblCellMar>
            <w:left w:w="62" w:type="dxa"/>
            <w:right w:w="62" w:type="dxa"/>
          </w:tblCellMar>
          <w:tblLook w:val="0000"/>
        </w:tblPrEx>
        <w:tc>
          <w:tcPr>
            <w:tcW w:w="2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EDD">
            <w:pPr>
              <w:pStyle w:val="BodyText"/>
              <w:rPr>
                <w:lang w:val="en-NZ"/>
              </w:rPr>
            </w:pPr>
            <w:r w:rsidRPr="00517EDD">
              <w:rPr>
                <w:rStyle w:val="SpecialBold"/>
              </w:rPr>
              <w:t>Guidance information for assessment</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EDD" w:rsidP="00517EDD">
            <w:pPr>
              <w:pStyle w:val="BodyText"/>
            </w:pPr>
            <w:r w:rsidRPr="00517EDD">
              <w:t>This unit could be assessed on its own or in combination with other units relevant to the job function.</w:t>
            </w:r>
          </w:p>
          <w:p w:rsidR="00000000" w:rsidRPr="00517EDD" w:rsidP="00517EDD">
            <w:pPr>
              <w:pStyle w:val="BodyText"/>
            </w:pPr>
            <w:r w:rsidRPr="00517EDD">
              <w:t>Reasonable adjustments for people with disabilities must be made to assessment processes where required. This co</w:t>
            </w:r>
            <w:r w:rsidRPr="00517EDD">
              <w:t>uld include access to modified equipment and other physical resources, and the provision of appropriate assessment support.</w:t>
            </w:r>
          </w:p>
          <w:p w:rsidR="00000000" w:rsidRPr="00517EDD" w:rsidP="00517EDD">
            <w:pPr>
              <w:pStyle w:val="BodyText"/>
            </w:pPr>
            <w:r w:rsidRPr="00517EDD">
              <w:t>Assessment processes and techniques should, as far as is practical, take into account the language, literacy and numeracy capacity o</w:t>
            </w:r>
            <w:r w:rsidRPr="00517EDD">
              <w:t>f the candidate in relation to the competency being assessed.</w:t>
            </w:r>
          </w:p>
        </w:tc>
      </w:tr>
    </w:tbl>
    <w:p w:rsidR="00BA3508" w:rsidP="00517EDD">
      <w:pPr>
        <w:pStyle w:val="BodyText"/>
      </w:pPr>
    </w:p>
    <w:p w:rsidR="00BA3508" w:rsidP="00517EDD">
      <w:pPr>
        <w:pStyle w:val="BodyText"/>
      </w:pPr>
    </w:p>
    <w:p w:rsidR="00000000" w:rsidRPr="00517EDD" w:rsidP="00517EDD">
      <w:pPr>
        <w:pStyle w:val="Heading1"/>
      </w:pPr>
      <w:bookmarkStart w:id="11" w:name="O_453105"/>
      <w:bookmarkEnd w:id="11"/>
      <w:r w:rsidRPr="00517EDD">
        <w:t>Range Statement</w:t>
      </w:r>
    </w:p>
    <w:tbl>
      <w:tblPr>
        <w:tblW w:w="0" w:type="auto"/>
        <w:tblLayout w:type="fixed"/>
        <w:tblCellMar>
          <w:left w:w="62" w:type="dxa"/>
          <w:right w:w="62" w:type="dxa"/>
        </w:tblCellMar>
        <w:tblLook w:val="0000"/>
      </w:tblPr>
      <w:tblGrid>
        <w:gridCol w:w="2704"/>
        <w:gridCol w:w="6475"/>
      </w:tblGrid>
      <w:tr w:rsidTr="00BA3508">
        <w:tblPrEx>
          <w:tblW w:w="0" w:type="auto"/>
          <w:tblLayout w:type="fixed"/>
          <w:tblCellMar>
            <w:left w:w="62" w:type="dxa"/>
            <w:right w:w="62" w:type="dxa"/>
          </w:tblCellMar>
          <w:tblLook w:val="0000"/>
        </w:tblPrEx>
        <w:tc>
          <w:tcPr>
            <w:tcW w:w="9179"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17EDD">
            <w:pPr>
              <w:pStyle w:val="BodyText"/>
              <w:rPr>
                <w:lang w:val="en-NZ"/>
              </w:rPr>
            </w:pPr>
            <w:r w:rsidRPr="00517EDD">
              <w:t xml:space="preserve">The range statement relates to the unit of competency as a whole. It allows for different work environments and situations that may affect </w:t>
            </w:r>
            <w:r w:rsidRPr="00517EDD">
              <w:t>performance. Bold italicised wording, if used in the performance criteria, is detailed below. Essential operating conditions that may be present with training and assessment (depending on the work situation, needs of the candidate, accessibility of the ite</w:t>
            </w:r>
            <w:r w:rsidRPr="00517EDD">
              <w:t>m, and local industry and regional contexts) may also be included.</w:t>
            </w:r>
          </w:p>
        </w:tc>
      </w:tr>
      <w:tr w:rsidTr="00BA3508">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EDD">
            <w:pPr>
              <w:pStyle w:val="BodyText"/>
              <w:rPr>
                <w:lang w:val="en-NZ"/>
              </w:rPr>
            </w:pPr>
            <w:r w:rsidRPr="00517EDD">
              <w:rPr>
                <w:rStyle w:val="BoldandItalics"/>
              </w:rPr>
              <w:t xml:space="preserve">Disabilities </w:t>
            </w:r>
            <w:r w:rsidRPr="00517EDD">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EDD" w:rsidP="00517EDD">
            <w:pPr>
              <w:pStyle w:val="ListBullet"/>
            </w:pPr>
            <w:r w:rsidRPr="00517EDD">
              <w:t>a single disability or combination of disabilities</w:t>
            </w:r>
          </w:p>
          <w:p w:rsidR="00000000" w:rsidRPr="00517EDD" w:rsidP="00517EDD">
            <w:pPr>
              <w:pStyle w:val="ListBullet"/>
            </w:pPr>
            <w:r w:rsidRPr="00517EDD">
              <w:t>impairment: problem in body function or structure, such as significant deviation or loss</w:t>
            </w:r>
          </w:p>
          <w:p w:rsidR="00000000" w:rsidRPr="00517EDD" w:rsidP="00517EDD">
            <w:pPr>
              <w:pStyle w:val="ListBullet"/>
            </w:pPr>
            <w:r w:rsidRPr="00517EDD">
              <w:t>activity limitation: difficulty in executing core functions of self-care, mobility or communication</w:t>
            </w:r>
          </w:p>
          <w:p w:rsidR="00000000" w:rsidRPr="00517EDD" w:rsidP="00517EDD">
            <w:pPr>
              <w:pStyle w:val="ListBullet"/>
            </w:pPr>
            <w:r w:rsidRPr="00517EDD">
              <w:t>participation restriction: problem in involvement in life situations, such as school or employment</w:t>
            </w:r>
          </w:p>
          <w:p w:rsidR="00000000" w:rsidP="00517EDD">
            <w:pPr>
              <w:pStyle w:val="ListBullet"/>
              <w:rPr>
                <w:lang w:val="en-NZ"/>
              </w:rPr>
            </w:pPr>
            <w:r w:rsidRPr="00517EDD">
              <w:t>permanent or temporary disabilities.</w:t>
            </w:r>
          </w:p>
        </w:tc>
      </w:tr>
      <w:tr w:rsidTr="00BA3508">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EDD">
            <w:pPr>
              <w:pStyle w:val="BodyText"/>
              <w:rPr>
                <w:lang w:val="en-NZ"/>
              </w:rPr>
            </w:pPr>
            <w:r w:rsidRPr="00517EDD">
              <w:rPr>
                <w:rStyle w:val="BoldandItalics"/>
              </w:rPr>
              <w:t xml:space="preserve">Built environment </w:t>
            </w:r>
            <w:r w:rsidRPr="00517EDD">
              <w:t>m</w:t>
            </w:r>
            <w:r w:rsidRPr="00517EDD">
              <w:t>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EDD" w:rsidP="00517EDD">
            <w:pPr>
              <w:pStyle w:val="ListBullet"/>
            </w:pPr>
            <w:r w:rsidRPr="00517EDD">
              <w:t>new or renovated premises, including:</w:t>
            </w:r>
          </w:p>
          <w:p w:rsidR="00000000" w:rsidRPr="00517EDD" w:rsidP="00517EDD">
            <w:pPr>
              <w:pStyle w:val="ListBullet2"/>
            </w:pPr>
            <w:r w:rsidRPr="00517EDD">
              <w:t>commercial</w:t>
            </w:r>
          </w:p>
          <w:p w:rsidR="00000000" w:rsidRPr="00517EDD" w:rsidP="00517EDD">
            <w:pPr>
              <w:pStyle w:val="ListBullet2"/>
            </w:pPr>
            <w:r w:rsidRPr="00517EDD">
              <w:t>public</w:t>
            </w:r>
          </w:p>
          <w:p w:rsidR="00000000" w:rsidRPr="00517EDD" w:rsidP="00517EDD">
            <w:pPr>
              <w:pStyle w:val="ListBullet2"/>
            </w:pPr>
            <w:r w:rsidRPr="00517EDD">
              <w:t>private</w:t>
            </w:r>
          </w:p>
          <w:p w:rsidR="00000000" w:rsidRPr="00517EDD" w:rsidP="00517EDD">
            <w:pPr>
              <w:pStyle w:val="ListBullet2"/>
            </w:pPr>
            <w:r w:rsidRPr="00517EDD">
              <w:t xml:space="preserve">recreational </w:t>
            </w:r>
          </w:p>
          <w:p w:rsidR="00000000" w:rsidRPr="00517EDD" w:rsidP="00517EDD">
            <w:pPr>
              <w:pStyle w:val="ListBullet"/>
            </w:pPr>
            <w:r w:rsidRPr="00517EDD">
              <w:t xml:space="preserve">communication systems </w:t>
            </w:r>
          </w:p>
          <w:p w:rsidR="00000000" w:rsidRPr="00517EDD" w:rsidP="00517EDD">
            <w:pPr>
              <w:pStyle w:val="ListBullet"/>
            </w:pPr>
            <w:r w:rsidRPr="00517EDD">
              <w:t>fittings and fixtures</w:t>
            </w:r>
          </w:p>
          <w:p w:rsidR="00000000" w:rsidRPr="00517EDD" w:rsidP="00517EDD">
            <w:pPr>
              <w:pStyle w:val="ListBullet"/>
            </w:pPr>
            <w:r w:rsidRPr="00517EDD">
              <w:t>parks, gardens and open spaces, including walking tracks and horse riding trails</w:t>
            </w:r>
          </w:p>
          <w:p w:rsidR="00000000" w:rsidRPr="00517EDD" w:rsidP="00517EDD">
            <w:pPr>
              <w:pStyle w:val="ListBullet"/>
            </w:pPr>
            <w:r w:rsidRPr="00517EDD">
              <w:t>public byways, including roads, bicycle lanes and pedestrian paths</w:t>
            </w:r>
          </w:p>
          <w:p w:rsidR="00000000" w:rsidRPr="00517EDD" w:rsidP="00517EDD">
            <w:pPr>
              <w:pStyle w:val="ListBullet"/>
            </w:pPr>
            <w:r w:rsidRPr="00517EDD">
              <w:t>public transport stops, stations and vehicles</w:t>
            </w:r>
          </w:p>
          <w:p w:rsidR="00000000" w:rsidP="00517EDD">
            <w:pPr>
              <w:pStyle w:val="ListBullet"/>
              <w:rPr>
                <w:lang w:val="en-NZ"/>
              </w:rPr>
            </w:pPr>
            <w:r w:rsidRPr="00517EDD">
              <w:t>tunnels.</w:t>
            </w:r>
          </w:p>
        </w:tc>
      </w:tr>
      <w:tr w:rsidTr="00BA3508">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EDD">
            <w:pPr>
              <w:pStyle w:val="BodyText"/>
              <w:rPr>
                <w:lang w:val="en-NZ"/>
              </w:rPr>
            </w:pPr>
            <w:r w:rsidRPr="00517EDD">
              <w:rPr>
                <w:rStyle w:val="BoldandItalics"/>
              </w:rPr>
              <w:t xml:space="preserve">Processes </w:t>
            </w:r>
            <w:r w:rsidRPr="00517EDD">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EDD" w:rsidP="00517EDD">
            <w:pPr>
              <w:pStyle w:val="ListBullet"/>
            </w:pPr>
            <w:r w:rsidRPr="00517EDD">
              <w:t>development and maintenance of networks with relevant personnel</w:t>
            </w:r>
          </w:p>
          <w:p w:rsidR="00000000" w:rsidRPr="00517EDD" w:rsidP="00517EDD">
            <w:pPr>
              <w:pStyle w:val="ListBullet"/>
            </w:pPr>
            <w:r w:rsidRPr="00517EDD">
              <w:t>membership of relevant associations</w:t>
            </w:r>
          </w:p>
          <w:p w:rsidR="00000000" w:rsidRPr="00517EDD" w:rsidP="00517EDD">
            <w:pPr>
              <w:pStyle w:val="ListBullet"/>
            </w:pPr>
            <w:r w:rsidRPr="00517EDD">
              <w:t>peer revie</w:t>
            </w:r>
            <w:r w:rsidRPr="00517EDD">
              <w:t>w of specific projects</w:t>
            </w:r>
          </w:p>
          <w:p w:rsidR="00000000" w:rsidP="00517EDD">
            <w:pPr>
              <w:pStyle w:val="ListBullet"/>
              <w:rPr>
                <w:lang w:val="en-NZ"/>
              </w:rPr>
            </w:pPr>
            <w:r w:rsidRPr="00517EDD">
              <w:t>subscription to relevant publications, e-forums and websites.</w:t>
            </w:r>
          </w:p>
        </w:tc>
      </w:tr>
      <w:tr w:rsidTr="00BA3508">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EDD">
            <w:pPr>
              <w:pStyle w:val="BodyText"/>
              <w:rPr>
                <w:lang w:val="en-NZ"/>
              </w:rPr>
            </w:pPr>
            <w:r w:rsidRPr="00517EDD">
              <w:rPr>
                <w:rStyle w:val="BoldandItalics"/>
              </w:rPr>
              <w:t xml:space="preserve">Best practice international and national solutions </w:t>
            </w:r>
            <w:r w:rsidRPr="00517EDD">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EDD" w:rsidP="00517EDD">
            <w:pPr>
              <w:pStyle w:val="ListBullet"/>
            </w:pPr>
            <w:r w:rsidRPr="00517EDD">
              <w:t>communication devices</w:t>
            </w:r>
          </w:p>
          <w:p w:rsidR="00000000" w:rsidRPr="00517EDD" w:rsidP="00517EDD">
            <w:pPr>
              <w:pStyle w:val="ListBullet"/>
            </w:pPr>
            <w:r w:rsidRPr="00517EDD">
              <w:t>fittings and fixtures</w:t>
            </w:r>
          </w:p>
          <w:p w:rsidR="00000000" w:rsidRPr="00517EDD" w:rsidP="00517EDD">
            <w:pPr>
              <w:pStyle w:val="ListBullet"/>
            </w:pPr>
            <w:r w:rsidRPr="00517EDD">
              <w:t>interior design solutions</w:t>
            </w:r>
          </w:p>
          <w:p w:rsidR="00000000" w:rsidRPr="00517EDD" w:rsidP="00517EDD">
            <w:pPr>
              <w:pStyle w:val="ListBullet"/>
            </w:pPr>
            <w:r w:rsidRPr="00517EDD">
              <w:t>premises’ design to facilitate acces</w:t>
            </w:r>
            <w:r w:rsidRPr="00517EDD">
              <w:t>s</w:t>
            </w:r>
          </w:p>
          <w:p w:rsidR="00000000" w:rsidRPr="00517EDD" w:rsidP="00517EDD">
            <w:pPr>
              <w:pStyle w:val="ListBullet"/>
            </w:pPr>
            <w:r w:rsidRPr="00517EDD">
              <w:t>technological solutions</w:t>
            </w:r>
          </w:p>
          <w:p w:rsidR="00000000" w:rsidRPr="00517EDD" w:rsidP="00517EDD">
            <w:pPr>
              <w:pStyle w:val="ListBullet"/>
            </w:pPr>
            <w:r w:rsidRPr="00517EDD">
              <w:t xml:space="preserve">telecommunications solutions </w:t>
            </w:r>
          </w:p>
          <w:p w:rsidR="00000000" w:rsidP="00517EDD">
            <w:pPr>
              <w:pStyle w:val="ListBullet"/>
              <w:rPr>
                <w:lang w:val="en-NZ"/>
              </w:rPr>
            </w:pPr>
            <w:r w:rsidRPr="00517EDD">
              <w:t>urban design solutions.</w:t>
            </w:r>
          </w:p>
        </w:tc>
      </w:tr>
      <w:tr w:rsidTr="00BA3508">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EDD">
            <w:pPr>
              <w:pStyle w:val="BodyText"/>
              <w:rPr>
                <w:lang w:val="en-NZ"/>
              </w:rPr>
            </w:pPr>
            <w:r w:rsidRPr="00517EDD">
              <w:rPr>
                <w:rStyle w:val="BoldandItalics"/>
              </w:rPr>
              <w:t xml:space="preserve">Legislation, codes and standards </w:t>
            </w:r>
            <w:r w:rsidRPr="00517EDD">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EDD" w:rsidP="00517EDD">
            <w:pPr>
              <w:pStyle w:val="ListBullet"/>
            </w:pPr>
            <w:r w:rsidRPr="00517EDD">
              <w:t>Australian and international standards</w:t>
            </w:r>
          </w:p>
          <w:p w:rsidR="00000000" w:rsidRPr="00517EDD" w:rsidP="00517EDD">
            <w:pPr>
              <w:pStyle w:val="ListBullet"/>
            </w:pPr>
            <w:r w:rsidRPr="00517EDD">
              <w:t>Australian and international guideline documents</w:t>
            </w:r>
          </w:p>
          <w:p w:rsidR="00000000" w:rsidRPr="00517EDD" w:rsidP="00517EDD">
            <w:pPr>
              <w:pStyle w:val="ListBullet"/>
            </w:pPr>
            <w:r w:rsidRPr="00517EDD">
              <w:t>Disability Discrimination Act and regulations  and amendments</w:t>
            </w:r>
          </w:p>
          <w:p w:rsidR="00000000" w:rsidRPr="00517EDD" w:rsidP="00517EDD">
            <w:pPr>
              <w:pStyle w:val="ListBullet"/>
            </w:pPr>
            <w:r w:rsidRPr="00517EDD">
              <w:t>Disability (Access to Premises – Buildings) Standards</w:t>
            </w:r>
          </w:p>
          <w:p w:rsidR="00000000" w:rsidRPr="00517EDD" w:rsidP="00517EDD">
            <w:pPr>
              <w:pStyle w:val="ListBullet"/>
            </w:pPr>
            <w:r w:rsidRPr="00517EDD">
              <w:t xml:space="preserve">Disability Standards for Accessible Public Transport (DSAPT) </w:t>
            </w:r>
          </w:p>
          <w:p w:rsidR="00000000" w:rsidRPr="00517EDD" w:rsidP="00517EDD">
            <w:pPr>
              <w:pStyle w:val="ListBullet"/>
            </w:pPr>
            <w:r w:rsidRPr="00517EDD">
              <w:t>Disability Standards for Education</w:t>
            </w:r>
          </w:p>
          <w:p w:rsidR="00000000" w:rsidRPr="00517EDD" w:rsidP="00517EDD">
            <w:pPr>
              <w:pStyle w:val="ListBullet"/>
            </w:pPr>
            <w:r w:rsidRPr="00517EDD">
              <w:t>state, territory and local authority legisl</w:t>
            </w:r>
            <w:r w:rsidRPr="00517EDD">
              <w:t>ation, regulations and planning requirements</w:t>
            </w:r>
          </w:p>
          <w:p w:rsidR="00000000" w:rsidRPr="00517EDD" w:rsidP="00517EDD">
            <w:pPr>
              <w:pStyle w:val="ListBullet"/>
            </w:pPr>
            <w:r w:rsidRPr="00517EDD">
              <w:t>NCC, including:</w:t>
            </w:r>
          </w:p>
          <w:p w:rsidR="00000000" w:rsidRPr="00517EDD" w:rsidP="00517EDD">
            <w:pPr>
              <w:pStyle w:val="ListBullet2"/>
            </w:pPr>
            <w:r w:rsidRPr="00517EDD">
              <w:t>deemed-to-satisfy solutions</w:t>
            </w:r>
          </w:p>
          <w:p w:rsidR="00000000" w:rsidRPr="00517EDD" w:rsidP="00517EDD">
            <w:pPr>
              <w:pStyle w:val="ListBullet2"/>
            </w:pPr>
            <w:r w:rsidRPr="00517EDD">
              <w:t>formulation of performance-based alternative solutions.</w:t>
            </w:r>
          </w:p>
        </w:tc>
      </w:tr>
    </w:tbl>
    <w:p w:rsidR="00BA3508" w:rsidP="00517EDD">
      <w:pPr>
        <w:pStyle w:val="BodyText"/>
      </w:pPr>
    </w:p>
    <w:p w:rsidR="00BA3508" w:rsidP="00517EDD">
      <w:pPr>
        <w:pStyle w:val="BodyText"/>
      </w:pPr>
    </w:p>
    <w:p w:rsidR="00000000" w:rsidRPr="00517EDD" w:rsidP="00517EDD">
      <w:pPr>
        <w:pStyle w:val="Heading1"/>
      </w:pPr>
      <w:bookmarkStart w:id="12" w:name="O_453106"/>
      <w:bookmarkEnd w:id="12"/>
      <w:r w:rsidRPr="00517EDD">
        <w:t>Unit Sector(s)</w:t>
      </w:r>
    </w:p>
    <w:p w:rsidR="00000000" w:rsidRPr="00517EDD" w:rsidP="00517EDD">
      <w:pPr>
        <w:pStyle w:val="BodyText"/>
      </w:pPr>
      <w:r w:rsidRPr="00517EDD">
        <w:t>Access consulting</w:t>
      </w:r>
    </w:p>
    <w:p w:rsidR="00000000" w:rsidRPr="00517EDD" w:rsidP="00517EDD">
      <w:pPr>
        <w:pStyle w:val="AllowPageBreak"/>
      </w:pPr>
    </w:p>
    <w:p w:rsidR="00000000" w:rsidRPr="00517EDD" w:rsidP="00517EDD">
      <w:pPr>
        <w:pStyle w:val="Heading1"/>
      </w:pPr>
      <w:bookmarkStart w:id="13" w:name="O_453107"/>
      <w:bookmarkEnd w:id="13"/>
      <w:r w:rsidRPr="00517EDD">
        <w:t>Custom Content Section</w:t>
      </w:r>
    </w:p>
    <w:p w:rsidR="00000000" w:rsidRPr="00517EDD" w:rsidP="00517EDD">
      <w:pPr>
        <w:pStyle w:val="BodyText"/>
      </w:pPr>
      <w:r w:rsidRPr="00517EDD">
        <w:t>Not applicable.</w:t>
      </w:r>
    </w:p>
    <w:p w:rsidR="00000000" w:rsidRPr="00517EDD" w:rsidP="00517EDD"/>
    <w:sectPr w:rsidSect="00517E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3508" w:rsidP="00BA35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08" w:rsidP="00517E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A3508" w:rsidP="00517E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A3508" w:rsidP="00517E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DD" w:rsidRPr="00BA3508" w:rsidP="00BA35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E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08" w:rsidRPr="002D2AF8" w:rsidP="00517EDD">
    <w:pPr>
      <w:pStyle w:val="Header"/>
      <w:framePr w:wrap="around"/>
    </w:pPr>
    <w:r>
      <w:fldChar w:fldCharType="begin"/>
    </w:r>
    <w:r>
      <w:instrText xml:space="preserve"> TITLE   \* MERGEFORMAT </w:instrText>
    </w:r>
    <w:r>
      <w:fldChar w:fldCharType="separate"/>
    </w:r>
    <w:r>
      <w:t>CPPACC8002A Research and analyse access solutions for the built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A3508" w:rsidP="00517E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B24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1254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D6EF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E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EDD"/>
    <w:pPr>
      <w:spacing w:before="360" w:after="60"/>
      <w:outlineLvl w:val="0"/>
    </w:pPr>
    <w:rPr>
      <w:sz w:val="32"/>
    </w:rPr>
  </w:style>
  <w:style w:type="paragraph" w:styleId="Heading2">
    <w:name w:val="heading 2"/>
    <w:basedOn w:val="HeadingBase"/>
    <w:next w:val="BodyText"/>
    <w:link w:val="Heading2Char"/>
    <w:qFormat/>
    <w:rsid w:val="00517EDD"/>
    <w:pPr>
      <w:keepLines/>
      <w:spacing w:before="240" w:after="120"/>
      <w:outlineLvl w:val="1"/>
    </w:pPr>
    <w:rPr>
      <w:sz w:val="28"/>
      <w:szCs w:val="40"/>
    </w:rPr>
  </w:style>
  <w:style w:type="paragraph" w:styleId="Heading3">
    <w:name w:val="heading 3"/>
    <w:basedOn w:val="HeadingBase"/>
    <w:next w:val="BodyText"/>
    <w:link w:val="Heading3Char"/>
    <w:qFormat/>
    <w:rsid w:val="00517EDD"/>
    <w:pPr>
      <w:spacing w:before="180" w:after="120"/>
      <w:outlineLvl w:val="2"/>
    </w:pPr>
    <w:rPr>
      <w:spacing w:val="-10"/>
      <w:kern w:val="32"/>
    </w:rPr>
  </w:style>
  <w:style w:type="paragraph" w:styleId="Heading4">
    <w:name w:val="heading 4"/>
    <w:basedOn w:val="HeadingBase"/>
    <w:next w:val="BodyText"/>
    <w:link w:val="Heading4Char"/>
    <w:qFormat/>
    <w:rsid w:val="00517EDD"/>
    <w:pPr>
      <w:spacing w:before="160" w:after="120"/>
      <w:outlineLvl w:val="3"/>
    </w:pPr>
    <w:rPr>
      <w:sz w:val="22"/>
    </w:rPr>
  </w:style>
  <w:style w:type="paragraph" w:styleId="Heading5">
    <w:name w:val="heading 5"/>
    <w:basedOn w:val="HeadingBase"/>
    <w:next w:val="Normal"/>
    <w:link w:val="Heading5Char"/>
    <w:qFormat/>
    <w:rsid w:val="00517EDD"/>
    <w:pPr>
      <w:spacing w:before="80"/>
      <w:outlineLvl w:val="4"/>
    </w:pPr>
    <w:rPr>
      <w:color w:val="918585"/>
      <w:sz w:val="20"/>
    </w:rPr>
  </w:style>
  <w:style w:type="paragraph" w:styleId="Heading6">
    <w:name w:val="heading 6"/>
    <w:basedOn w:val="HeadingBase"/>
    <w:next w:val="Normal"/>
    <w:link w:val="Heading6Char"/>
    <w:qFormat/>
    <w:rsid w:val="00517EDD"/>
    <w:pPr>
      <w:spacing w:before="60"/>
      <w:outlineLvl w:val="5"/>
    </w:pPr>
    <w:rPr>
      <w:color w:val="918585"/>
      <w:sz w:val="20"/>
    </w:rPr>
  </w:style>
  <w:style w:type="paragraph" w:styleId="Heading7">
    <w:name w:val="heading 7"/>
    <w:basedOn w:val="Normal"/>
    <w:next w:val="Normal"/>
    <w:link w:val="Heading7Char"/>
    <w:qFormat/>
    <w:rsid w:val="00517EDD"/>
    <w:pPr>
      <w:ind w:left="720"/>
      <w:outlineLvl w:val="6"/>
    </w:pPr>
    <w:rPr>
      <w:i/>
    </w:rPr>
  </w:style>
  <w:style w:type="paragraph" w:styleId="Heading8">
    <w:name w:val="heading 8"/>
    <w:basedOn w:val="Normal"/>
    <w:next w:val="Normal"/>
    <w:link w:val="Heading8Char"/>
    <w:qFormat/>
    <w:rsid w:val="00517EDD"/>
    <w:pPr>
      <w:ind w:left="720"/>
      <w:outlineLvl w:val="7"/>
    </w:pPr>
    <w:rPr>
      <w:i/>
    </w:rPr>
  </w:style>
  <w:style w:type="paragraph" w:styleId="Heading9">
    <w:name w:val="heading 9"/>
    <w:basedOn w:val="Normal"/>
    <w:next w:val="Normal"/>
    <w:link w:val="Heading9Char"/>
    <w:qFormat/>
    <w:rsid w:val="00517EDD"/>
    <w:pPr>
      <w:ind w:left="720"/>
      <w:outlineLvl w:val="8"/>
    </w:pPr>
    <w:rPr>
      <w:i/>
    </w:rPr>
  </w:style>
  <w:style w:type="character" w:default="1" w:styleId="DefaultParagraphFont">
    <w:name w:val="Default Paragraph Font"/>
    <w:uiPriority w:val="1"/>
    <w:unhideWhenUsed/>
    <w:rsid w:val="00517E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EDD"/>
  </w:style>
  <w:style w:type="character" w:customStyle="1" w:styleId="Heading1Char">
    <w:name w:val="Heading 1 Char"/>
    <w:basedOn w:val="DefaultParagraphFont"/>
    <w:link w:val="Heading1"/>
    <w:rsid w:val="00517EDD"/>
    <w:rPr>
      <w:rFonts w:ascii="Times New Roman" w:eastAsia="Times New Roman" w:hAnsi="Times New Roman" w:cs="Times New Roman"/>
      <w:b/>
      <w:sz w:val="32"/>
      <w:szCs w:val="20"/>
      <w:lang w:eastAsia="en-US"/>
    </w:rPr>
  </w:style>
  <w:style w:type="paragraph" w:styleId="BodyText">
    <w:name w:val="Body Text"/>
    <w:basedOn w:val="Normal"/>
    <w:link w:val="BodyTextChar"/>
    <w:rsid w:val="00517E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7EDD"/>
    <w:rPr>
      <w:rFonts w:ascii="Times New Roman" w:eastAsia="Times New Roman" w:hAnsi="Times New Roman" w:cs="Times New Roman"/>
      <w:sz w:val="24"/>
      <w:lang w:eastAsia="en-US"/>
    </w:rPr>
  </w:style>
  <w:style w:type="paragraph" w:styleId="Footer">
    <w:name w:val="footer"/>
    <w:basedOn w:val="Normal"/>
    <w:link w:val="FooterChar"/>
    <w:rsid w:val="00517E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EDD"/>
    <w:rPr>
      <w:rFonts w:ascii="Times New Roman" w:eastAsia="Times New Roman" w:hAnsi="Times New Roman" w:cs="Times New Roman"/>
      <w:sz w:val="16"/>
      <w:lang w:eastAsia="en-US"/>
    </w:rPr>
  </w:style>
  <w:style w:type="paragraph" w:styleId="ListBullet">
    <w:name w:val="List Bullet"/>
    <w:basedOn w:val="List"/>
    <w:rsid w:val="00517EDD"/>
    <w:pPr>
      <w:numPr>
        <w:numId w:val="14"/>
      </w:numPr>
      <w:tabs>
        <w:tab w:val="clear" w:pos="340"/>
      </w:tabs>
      <w:spacing w:before="40" w:after="40"/>
    </w:pPr>
  </w:style>
  <w:style w:type="character" w:customStyle="1" w:styleId="SpecialBold">
    <w:name w:val="Special Bold"/>
    <w:basedOn w:val="DefaultParagraphFont"/>
    <w:rsid w:val="00517EDD"/>
    <w:rPr>
      <w:b/>
      <w:spacing w:val="0"/>
    </w:rPr>
  </w:style>
  <w:style w:type="paragraph" w:styleId="ListBullet2">
    <w:name w:val="List Bullet 2"/>
    <w:basedOn w:val="List2"/>
    <w:rsid w:val="00517EDD"/>
    <w:pPr>
      <w:numPr>
        <w:numId w:val="15"/>
      </w:numPr>
      <w:tabs>
        <w:tab w:val="clear" w:pos="680"/>
      </w:tabs>
    </w:pPr>
  </w:style>
  <w:style w:type="paragraph" w:customStyle="1" w:styleId="SuperHeading">
    <w:name w:val="SuperHeading"/>
    <w:basedOn w:val="Normal"/>
    <w:rsid w:val="00517EDD"/>
    <w:pPr>
      <w:spacing w:before="240" w:after="120"/>
      <w:outlineLvl w:val="0"/>
    </w:pPr>
    <w:rPr>
      <w:rFonts w:ascii="Times New Roman" w:hAnsi="Times New Roman"/>
      <w:b/>
      <w:sz w:val="28"/>
    </w:rPr>
  </w:style>
  <w:style w:type="paragraph" w:customStyle="1" w:styleId="AllowPageBreak">
    <w:name w:val="AllowPageBreak"/>
    <w:rsid w:val="00517E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7EDD"/>
    <w:pPr>
      <w:numPr>
        <w:numId w:val="3"/>
      </w:numPr>
      <w:tabs>
        <w:tab w:val="clear" w:pos="1021"/>
      </w:tabs>
      <w:ind w:left="1037" w:hanging="357"/>
    </w:pPr>
  </w:style>
  <w:style w:type="character" w:customStyle="1" w:styleId="BoldandItalics">
    <w:name w:val="Bold and Italics"/>
    <w:qFormat/>
    <w:rsid w:val="00517EDD"/>
    <w:rPr>
      <w:b/>
      <w:i/>
      <w:u w:val="none"/>
    </w:rPr>
  </w:style>
  <w:style w:type="character" w:customStyle="1" w:styleId="Heading2Char">
    <w:name w:val="Heading 2 Char"/>
    <w:basedOn w:val="DefaultParagraphFont"/>
    <w:link w:val="Heading2"/>
    <w:rsid w:val="00517E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E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E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E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E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E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E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EDD"/>
    <w:rPr>
      <w:rFonts w:ascii="Courier New" w:eastAsia="Times New Roman" w:hAnsi="Courier New" w:cs="Times New Roman"/>
      <w:i/>
      <w:szCs w:val="20"/>
      <w:lang w:eastAsia="en-US"/>
    </w:rPr>
  </w:style>
  <w:style w:type="paragraph" w:customStyle="1" w:styleId="HeadingBase">
    <w:name w:val="Heading Base"/>
    <w:rsid w:val="00517E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EDD"/>
    <w:pPr>
      <w:tabs>
        <w:tab w:val="right" w:leader="dot" w:pos="9072"/>
      </w:tabs>
      <w:ind w:left="567"/>
    </w:pPr>
    <w:rPr>
      <w:szCs w:val="22"/>
    </w:rPr>
  </w:style>
  <w:style w:type="paragraph" w:customStyle="1" w:styleId="TOCBase">
    <w:name w:val="TOC Base"/>
    <w:rsid w:val="00517E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EDD"/>
    <w:pPr>
      <w:tabs>
        <w:tab w:val="right" w:leader="dot" w:pos="9072"/>
      </w:tabs>
      <w:spacing w:before="40" w:after="40"/>
      <w:ind w:left="284"/>
    </w:pPr>
    <w:rPr>
      <w:rFonts w:ascii="Times New Roman" w:hAnsi="Times New Roman"/>
    </w:rPr>
  </w:style>
  <w:style w:type="paragraph" w:styleId="TOC1">
    <w:name w:val="toc 1"/>
    <w:basedOn w:val="TOCBase"/>
    <w:next w:val="Normal"/>
    <w:rsid w:val="00517E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7EDD"/>
    <w:pPr>
      <w:spacing w:before="5040"/>
      <w:jc w:val="center"/>
    </w:pPr>
    <w:rPr>
      <w:sz w:val="48"/>
      <w:szCs w:val="72"/>
      <w:lang w:val="en-US"/>
    </w:rPr>
  </w:style>
  <w:style w:type="character" w:customStyle="1" w:styleId="TitleChar">
    <w:name w:val="Title Char"/>
    <w:basedOn w:val="DefaultParagraphFont"/>
    <w:link w:val="Title"/>
    <w:rsid w:val="00517E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EDD"/>
    <w:pPr>
      <w:tabs>
        <w:tab w:val="left" w:pos="3600"/>
        <w:tab w:val="left" w:pos="3958"/>
      </w:tabs>
    </w:pPr>
  </w:style>
  <w:style w:type="paragraph" w:styleId="List">
    <w:name w:val="List"/>
    <w:basedOn w:val="BodyText"/>
    <w:next w:val="BodyText"/>
    <w:rsid w:val="00517EDD"/>
    <w:pPr>
      <w:tabs>
        <w:tab w:val="left" w:pos="340"/>
      </w:tabs>
      <w:spacing w:before="60" w:after="60"/>
      <w:ind w:left="340" w:hanging="340"/>
    </w:pPr>
  </w:style>
  <w:style w:type="paragraph" w:customStyle="1" w:styleId="Note">
    <w:name w:val="Note"/>
    <w:basedOn w:val="BodyText"/>
    <w:rsid w:val="00517E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EDD"/>
    <w:pPr>
      <w:framePr w:wrap="auto" w:hAnchor="text" w:y="6049"/>
    </w:pPr>
    <w:rPr>
      <w:color w:val="000000"/>
      <w:sz w:val="40"/>
    </w:rPr>
  </w:style>
  <w:style w:type="paragraph" w:customStyle="1" w:styleId="TOCTitle">
    <w:name w:val="TOCTitle"/>
    <w:basedOn w:val="Heading1"/>
    <w:rsid w:val="00517EDD"/>
    <w:pPr>
      <w:spacing w:after="240"/>
      <w:jc w:val="center"/>
      <w:outlineLvl w:val="9"/>
    </w:pPr>
    <w:rPr>
      <w:caps/>
    </w:rPr>
  </w:style>
  <w:style w:type="paragraph" w:customStyle="1" w:styleId="Version">
    <w:name w:val="Version"/>
    <w:rsid w:val="00517E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EDD"/>
    <w:pPr>
      <w:keepNext w:val="0"/>
      <w:tabs>
        <w:tab w:val="right" w:pos="4176"/>
      </w:tabs>
      <w:ind w:left="198" w:hanging="198"/>
    </w:pPr>
    <w:rPr>
      <w:rFonts w:ascii="Garamond" w:hAnsi="Garamond"/>
    </w:rPr>
  </w:style>
  <w:style w:type="paragraph" w:styleId="IndexHeading">
    <w:name w:val="index heading"/>
    <w:basedOn w:val="Normal"/>
    <w:next w:val="Index1"/>
    <w:semiHidden/>
    <w:rsid w:val="00517EDD"/>
    <w:pPr>
      <w:spacing w:before="120" w:after="120"/>
    </w:pPr>
    <w:rPr>
      <w:rFonts w:ascii="Arial" w:hAnsi="Arial"/>
      <w:b/>
      <w:color w:val="918585"/>
      <w:sz w:val="24"/>
    </w:rPr>
  </w:style>
  <w:style w:type="paragraph" w:styleId="Header">
    <w:name w:val="header"/>
    <w:basedOn w:val="Normal"/>
    <w:link w:val="HeaderChar"/>
    <w:rsid w:val="00517E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EDD"/>
    <w:rPr>
      <w:rFonts w:ascii="Times New Roman" w:eastAsia="Times New Roman" w:hAnsi="Times New Roman" w:cs="Times New Roman"/>
      <w:sz w:val="16"/>
      <w:szCs w:val="20"/>
      <w:lang w:val="en-GB" w:eastAsia="en-US"/>
    </w:rPr>
  </w:style>
  <w:style w:type="paragraph" w:customStyle="1" w:styleId="Chapter">
    <w:name w:val="Chapter"/>
    <w:basedOn w:val="Normal"/>
    <w:rsid w:val="00517EDD"/>
    <w:pPr>
      <w:spacing w:before="240"/>
    </w:pPr>
    <w:rPr>
      <w:rFonts w:ascii="Times New Roman" w:hAnsi="Times New Roman"/>
      <w:smallCaps/>
      <w:spacing w:val="80"/>
      <w:sz w:val="28"/>
    </w:rPr>
  </w:style>
  <w:style w:type="paragraph" w:customStyle="1" w:styleId="InChapter">
    <w:name w:val="InChapter"/>
    <w:basedOn w:val="Heading3"/>
    <w:rsid w:val="00517EDD"/>
    <w:pPr>
      <w:spacing w:after="240"/>
      <w:outlineLvl w:val="9"/>
    </w:pPr>
    <w:rPr>
      <w:noProof/>
    </w:rPr>
  </w:style>
  <w:style w:type="paragraph" w:styleId="Index2">
    <w:name w:val="index 2"/>
    <w:basedOn w:val="Normal"/>
    <w:next w:val="Normal"/>
    <w:semiHidden/>
    <w:rsid w:val="00517EDD"/>
    <w:pPr>
      <w:tabs>
        <w:tab w:val="right" w:pos="4176"/>
      </w:tabs>
      <w:ind w:left="568" w:hanging="284"/>
    </w:pPr>
    <w:rPr>
      <w:rFonts w:ascii="Garamond" w:hAnsi="Garamond"/>
    </w:rPr>
  </w:style>
  <w:style w:type="paragraph" w:customStyle="1" w:styleId="Byline">
    <w:name w:val="Byline"/>
    <w:rsid w:val="00517E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EDD"/>
    <w:pPr>
      <w:tabs>
        <w:tab w:val="clear" w:pos="3600"/>
        <w:tab w:val="clear" w:pos="3958"/>
      </w:tabs>
      <w:jc w:val="right"/>
    </w:pPr>
  </w:style>
  <w:style w:type="character" w:styleId="Emphasis">
    <w:name w:val="Emphasis"/>
    <w:basedOn w:val="DefaultParagraphFont"/>
    <w:qFormat/>
    <w:rsid w:val="00517EDD"/>
    <w:rPr>
      <w:i/>
    </w:rPr>
  </w:style>
  <w:style w:type="paragraph" w:styleId="Caption">
    <w:name w:val="caption"/>
    <w:basedOn w:val="BodyText"/>
    <w:next w:val="Normal"/>
    <w:qFormat/>
    <w:rsid w:val="00517EDD"/>
    <w:pPr>
      <w:framePr w:w="2268" w:hSpace="181" w:vSpace="181" w:wrap="around" w:vAnchor="text" w:hAnchor="page" w:x="1135" w:y="285" w:anchorLock="1"/>
    </w:pPr>
    <w:rPr>
      <w:i/>
    </w:rPr>
  </w:style>
  <w:style w:type="paragraph" w:customStyle="1" w:styleId="MiniTOCTitle">
    <w:name w:val="MiniTOCTitle"/>
    <w:basedOn w:val="Heading4"/>
    <w:rsid w:val="00517EDD"/>
    <w:pPr>
      <w:spacing w:before="240"/>
      <w:outlineLvl w:val="9"/>
    </w:pPr>
    <w:rPr>
      <w:noProof/>
      <w:sz w:val="24"/>
    </w:rPr>
  </w:style>
  <w:style w:type="paragraph" w:customStyle="1" w:styleId="MiniTOCItem">
    <w:name w:val="MiniTOCItem"/>
    <w:basedOn w:val="ListBullet"/>
    <w:rsid w:val="00517EDD"/>
    <w:pPr>
      <w:numPr>
        <w:numId w:val="0"/>
      </w:numPr>
      <w:tabs>
        <w:tab w:val="right" w:leader="dot" w:pos="6521"/>
      </w:tabs>
      <w:spacing w:before="0" w:after="0"/>
    </w:pPr>
  </w:style>
  <w:style w:type="paragraph" w:customStyle="1" w:styleId="TOFTitle">
    <w:name w:val="TOFTitle"/>
    <w:basedOn w:val="TOCTitle"/>
    <w:rsid w:val="00517EDD"/>
  </w:style>
  <w:style w:type="paragraph" w:styleId="TableofFigures">
    <w:name w:val="table of figures"/>
    <w:basedOn w:val="Normal"/>
    <w:next w:val="Normal"/>
    <w:semiHidden/>
    <w:rsid w:val="00517EDD"/>
    <w:pPr>
      <w:tabs>
        <w:tab w:val="right" w:leader="dot" w:pos="9072"/>
      </w:tabs>
      <w:ind w:left="970" w:hanging="403"/>
    </w:pPr>
    <w:rPr>
      <w:rFonts w:ascii="Times New Roman" w:hAnsi="Times New Roman"/>
      <w:b/>
    </w:rPr>
  </w:style>
  <w:style w:type="paragraph" w:styleId="ListNumber">
    <w:name w:val="List Number"/>
    <w:basedOn w:val="List"/>
    <w:rsid w:val="00517EDD"/>
    <w:pPr>
      <w:numPr>
        <w:numId w:val="12"/>
      </w:numPr>
    </w:pPr>
  </w:style>
  <w:style w:type="character" w:customStyle="1" w:styleId="WingdingSymbols">
    <w:name w:val="Wingding Symbols"/>
    <w:rsid w:val="00517EDD"/>
    <w:rPr>
      <w:rFonts w:ascii="Wingdings" w:hAnsi="Wingdings"/>
    </w:rPr>
  </w:style>
  <w:style w:type="paragraph" w:customStyle="1" w:styleId="TableHeading">
    <w:name w:val="Table Heading"/>
    <w:basedOn w:val="HeadingBase"/>
    <w:rsid w:val="00517EDD"/>
    <w:pPr>
      <w:keepLines/>
      <w:pBdr>
        <w:bottom w:val="single" w:sz="6" w:space="1" w:color="918585"/>
      </w:pBdr>
      <w:spacing w:before="240"/>
    </w:pPr>
  </w:style>
  <w:style w:type="character" w:customStyle="1" w:styleId="HotSpot">
    <w:name w:val="HotSpot"/>
    <w:rsid w:val="00517EDD"/>
    <w:rPr>
      <w:color w:val="0033CC"/>
      <w:u w:val="none"/>
    </w:rPr>
  </w:style>
  <w:style w:type="paragraph" w:customStyle="1" w:styleId="BodyTextRight">
    <w:name w:val="Body Text Right"/>
    <w:basedOn w:val="BodyText"/>
    <w:rsid w:val="00517EDD"/>
    <w:pPr>
      <w:spacing w:before="0" w:after="0"/>
      <w:jc w:val="right"/>
    </w:pPr>
  </w:style>
  <w:style w:type="paragraph" w:styleId="Index3">
    <w:name w:val="index 3"/>
    <w:basedOn w:val="ListNumber2"/>
    <w:next w:val="Normal"/>
    <w:semiHidden/>
    <w:rsid w:val="00517EDD"/>
    <w:pPr>
      <w:numPr>
        <w:numId w:val="0"/>
      </w:numPr>
      <w:tabs>
        <w:tab w:val="right" w:leader="dot" w:pos="4176"/>
      </w:tabs>
    </w:pPr>
  </w:style>
  <w:style w:type="paragraph" w:styleId="ListNumber2">
    <w:name w:val="List Number 2"/>
    <w:basedOn w:val="List2"/>
    <w:rsid w:val="00517EDD"/>
    <w:pPr>
      <w:numPr>
        <w:numId w:val="11"/>
      </w:numPr>
      <w:tabs>
        <w:tab w:val="clear" w:pos="1060"/>
      </w:tabs>
    </w:pPr>
  </w:style>
  <w:style w:type="paragraph" w:customStyle="1" w:styleId="MarginNote">
    <w:name w:val="Margin Note"/>
    <w:basedOn w:val="BodyText"/>
    <w:rsid w:val="00517E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E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E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EDD"/>
    <w:rPr>
      <w:sz w:val="32"/>
    </w:rPr>
  </w:style>
  <w:style w:type="paragraph" w:customStyle="1" w:styleId="HeadingProcedure">
    <w:name w:val="Heading Procedure"/>
    <w:basedOn w:val="HeadingBase"/>
    <w:next w:val="Normal"/>
    <w:rsid w:val="00517EDD"/>
    <w:pPr>
      <w:tabs>
        <w:tab w:val="left" w:pos="0"/>
      </w:tabs>
      <w:spacing w:before="120" w:after="60"/>
    </w:pPr>
    <w:rPr>
      <w:i/>
      <w:color w:val="918585"/>
      <w:sz w:val="22"/>
    </w:rPr>
  </w:style>
  <w:style w:type="paragraph" w:customStyle="1" w:styleId="TableBodyText">
    <w:name w:val="Table Body Text"/>
    <w:basedOn w:val="BodyText"/>
    <w:rsid w:val="00517EDD"/>
    <w:pPr>
      <w:spacing w:before="60" w:after="60"/>
    </w:pPr>
  </w:style>
  <w:style w:type="paragraph" w:styleId="ListContinue">
    <w:name w:val="List Continue"/>
    <w:basedOn w:val="List"/>
    <w:rsid w:val="00517EDD"/>
    <w:pPr>
      <w:ind w:firstLine="0"/>
    </w:pPr>
  </w:style>
  <w:style w:type="paragraph" w:customStyle="1" w:styleId="ListNote">
    <w:name w:val="List Note"/>
    <w:basedOn w:val="List"/>
    <w:rsid w:val="00517EDD"/>
    <w:pPr>
      <w:pBdr>
        <w:top w:val="single" w:sz="6" w:space="2" w:color="918585"/>
        <w:bottom w:val="single" w:sz="6" w:space="2" w:color="918585"/>
      </w:pBdr>
      <w:tabs>
        <w:tab w:val="left" w:pos="1021"/>
      </w:tabs>
      <w:ind w:firstLine="0"/>
    </w:pPr>
  </w:style>
  <w:style w:type="paragraph" w:customStyle="1" w:styleId="Warning">
    <w:name w:val="Warning"/>
    <w:basedOn w:val="BodyText"/>
    <w:rsid w:val="00517EDD"/>
    <w:pPr>
      <w:shd w:val="clear" w:color="auto" w:fill="D9D9D9"/>
      <w:tabs>
        <w:tab w:val="left" w:pos="992"/>
      </w:tabs>
      <w:ind w:left="119" w:right="119"/>
    </w:pPr>
    <w:rPr>
      <w:sz w:val="20"/>
    </w:rPr>
  </w:style>
  <w:style w:type="paragraph" w:customStyle="1" w:styleId="MarginIcons">
    <w:name w:val="Margin Icons"/>
    <w:basedOn w:val="BodyText"/>
    <w:rsid w:val="00517E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EDD"/>
    <w:rPr>
      <w:rFonts w:ascii="Courier New" w:hAnsi="Courier New"/>
    </w:rPr>
  </w:style>
  <w:style w:type="paragraph" w:customStyle="1" w:styleId="NoteBullet">
    <w:name w:val="Note Bullet"/>
    <w:basedOn w:val="Note"/>
    <w:rsid w:val="00517EDD"/>
    <w:pPr>
      <w:tabs>
        <w:tab w:val="clear" w:pos="680"/>
      </w:tabs>
      <w:spacing w:before="60" w:after="60"/>
    </w:pPr>
  </w:style>
  <w:style w:type="paragraph" w:customStyle="1" w:styleId="SubHeading2">
    <w:name w:val="SubHeading2"/>
    <w:basedOn w:val="HeadingBase"/>
    <w:rsid w:val="00517EDD"/>
    <w:pPr>
      <w:spacing w:before="240" w:after="60"/>
    </w:pPr>
    <w:rPr>
      <w:sz w:val="20"/>
    </w:rPr>
  </w:style>
  <w:style w:type="paragraph" w:customStyle="1" w:styleId="SubHeading1">
    <w:name w:val="SubHeading1"/>
    <w:basedOn w:val="HeadingBase"/>
    <w:rsid w:val="00517EDD"/>
    <w:pPr>
      <w:spacing w:before="240" w:after="60"/>
    </w:pPr>
    <w:rPr>
      <w:color w:val="918585"/>
      <w:sz w:val="22"/>
    </w:rPr>
  </w:style>
  <w:style w:type="paragraph" w:customStyle="1" w:styleId="SideHeading">
    <w:name w:val="Side Heading"/>
    <w:basedOn w:val="HeadingBase"/>
    <w:rsid w:val="00517E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EDD"/>
    <w:pPr>
      <w:numPr>
        <w:numId w:val="13"/>
      </w:numPr>
    </w:pPr>
  </w:style>
  <w:style w:type="paragraph" w:styleId="PlainText">
    <w:name w:val="Plain Text"/>
    <w:basedOn w:val="Normal"/>
    <w:link w:val="PlainTextChar"/>
    <w:rsid w:val="00517EDD"/>
    <w:rPr>
      <w:sz w:val="20"/>
    </w:rPr>
  </w:style>
  <w:style w:type="character" w:customStyle="1" w:styleId="PlainTextChar">
    <w:name w:val="Plain Text Char"/>
    <w:basedOn w:val="DefaultParagraphFont"/>
    <w:link w:val="PlainText"/>
    <w:rsid w:val="00517EDD"/>
    <w:rPr>
      <w:rFonts w:ascii="Courier New" w:eastAsia="Times New Roman" w:hAnsi="Courier New" w:cs="Times New Roman"/>
      <w:sz w:val="20"/>
      <w:szCs w:val="20"/>
      <w:lang w:eastAsia="en-US"/>
    </w:rPr>
  </w:style>
  <w:style w:type="character" w:customStyle="1" w:styleId="MenuOption">
    <w:name w:val="Menu Option"/>
    <w:basedOn w:val="DefaultParagraphFont"/>
    <w:rsid w:val="00517EDD"/>
    <w:rPr>
      <w:b/>
      <w:smallCaps/>
    </w:rPr>
  </w:style>
  <w:style w:type="paragraph" w:customStyle="1" w:styleId="TableListNumber">
    <w:name w:val="Table List Number"/>
    <w:basedOn w:val="ListNumber"/>
    <w:rsid w:val="00517EDD"/>
    <w:pPr>
      <w:numPr>
        <w:numId w:val="0"/>
      </w:numPr>
    </w:pPr>
  </w:style>
  <w:style w:type="paragraph" w:styleId="TOC4">
    <w:name w:val="toc 4"/>
    <w:basedOn w:val="TOCBase"/>
    <w:next w:val="Normal"/>
    <w:semiHidden/>
    <w:rsid w:val="00517EDD"/>
    <w:pPr>
      <w:tabs>
        <w:tab w:val="right" w:leader="dot" w:pos="9071"/>
      </w:tabs>
      <w:ind w:left="1701"/>
    </w:pPr>
  </w:style>
  <w:style w:type="paragraph" w:customStyle="1" w:styleId="ListAlpha">
    <w:name w:val="List Alpha"/>
    <w:basedOn w:val="List"/>
    <w:rsid w:val="00517EDD"/>
    <w:pPr>
      <w:numPr>
        <w:numId w:val="10"/>
      </w:numPr>
    </w:pPr>
  </w:style>
  <w:style w:type="paragraph" w:customStyle="1" w:styleId="ListAlpha2">
    <w:name w:val="List Alpha 2"/>
    <w:basedOn w:val="List2"/>
    <w:rsid w:val="00517EDD"/>
    <w:pPr>
      <w:numPr>
        <w:numId w:val="9"/>
      </w:numPr>
    </w:pPr>
  </w:style>
  <w:style w:type="paragraph" w:styleId="List2">
    <w:name w:val="List 2"/>
    <w:basedOn w:val="BodyText"/>
    <w:rsid w:val="00517EDD"/>
    <w:pPr>
      <w:tabs>
        <w:tab w:val="left" w:pos="680"/>
      </w:tabs>
      <w:spacing w:before="60" w:after="60"/>
      <w:ind w:left="680" w:hanging="340"/>
    </w:pPr>
  </w:style>
  <w:style w:type="paragraph" w:styleId="List3">
    <w:name w:val="List 3"/>
    <w:basedOn w:val="BodyText"/>
    <w:rsid w:val="00517EDD"/>
    <w:pPr>
      <w:tabs>
        <w:tab w:val="left" w:pos="1021"/>
      </w:tabs>
      <w:spacing w:before="60" w:after="60"/>
      <w:ind w:left="1020" w:hanging="340"/>
    </w:pPr>
  </w:style>
  <w:style w:type="paragraph" w:styleId="List4">
    <w:name w:val="List 4"/>
    <w:basedOn w:val="BodyText"/>
    <w:rsid w:val="00517EDD"/>
    <w:pPr>
      <w:tabs>
        <w:tab w:val="left" w:pos="1361"/>
      </w:tabs>
      <w:spacing w:before="60" w:after="60"/>
      <w:ind w:left="1361" w:hanging="340"/>
    </w:pPr>
  </w:style>
  <w:style w:type="paragraph" w:styleId="List5">
    <w:name w:val="List 5"/>
    <w:basedOn w:val="BodyText"/>
    <w:rsid w:val="00517EDD"/>
    <w:pPr>
      <w:tabs>
        <w:tab w:val="left" w:pos="1701"/>
      </w:tabs>
      <w:spacing w:before="60" w:after="60"/>
      <w:ind w:left="1701" w:hanging="340"/>
    </w:pPr>
  </w:style>
  <w:style w:type="paragraph" w:styleId="ListBullet4">
    <w:name w:val="List Bullet 4"/>
    <w:basedOn w:val="List4"/>
    <w:rsid w:val="00517EDD"/>
    <w:pPr>
      <w:numPr>
        <w:numId w:val="4"/>
      </w:numPr>
    </w:pPr>
  </w:style>
  <w:style w:type="paragraph" w:styleId="ListBullet5">
    <w:name w:val="List Bullet 5"/>
    <w:basedOn w:val="List5"/>
    <w:rsid w:val="00517EDD"/>
    <w:pPr>
      <w:numPr>
        <w:numId w:val="5"/>
      </w:numPr>
    </w:pPr>
  </w:style>
  <w:style w:type="paragraph" w:styleId="ListContinue2">
    <w:name w:val="List Continue 2"/>
    <w:basedOn w:val="List2"/>
    <w:rsid w:val="00517EDD"/>
    <w:pPr>
      <w:ind w:firstLine="0"/>
    </w:pPr>
  </w:style>
  <w:style w:type="paragraph" w:styleId="ListContinue3">
    <w:name w:val="List Continue 3"/>
    <w:basedOn w:val="List3"/>
    <w:rsid w:val="00517EDD"/>
    <w:pPr>
      <w:ind w:left="1021" w:firstLine="0"/>
    </w:pPr>
  </w:style>
  <w:style w:type="paragraph" w:styleId="ListContinue4">
    <w:name w:val="List Continue 4"/>
    <w:basedOn w:val="List4"/>
    <w:rsid w:val="00517EDD"/>
    <w:pPr>
      <w:ind w:firstLine="0"/>
    </w:pPr>
  </w:style>
  <w:style w:type="paragraph" w:styleId="ListContinue5">
    <w:name w:val="List Continue 5"/>
    <w:basedOn w:val="List5"/>
    <w:rsid w:val="00517EDD"/>
    <w:pPr>
      <w:ind w:firstLine="0"/>
    </w:pPr>
  </w:style>
  <w:style w:type="paragraph" w:styleId="ListNumber3">
    <w:name w:val="List Number 3"/>
    <w:basedOn w:val="List3"/>
    <w:rsid w:val="00517EDD"/>
    <w:pPr>
      <w:numPr>
        <w:numId w:val="6"/>
      </w:numPr>
    </w:pPr>
  </w:style>
  <w:style w:type="paragraph" w:styleId="ListNumber4">
    <w:name w:val="List Number 4"/>
    <w:basedOn w:val="List4"/>
    <w:rsid w:val="00517EDD"/>
    <w:pPr>
      <w:numPr>
        <w:numId w:val="7"/>
      </w:numPr>
    </w:pPr>
  </w:style>
  <w:style w:type="paragraph" w:styleId="ListNumber5">
    <w:name w:val="List Number 5"/>
    <w:basedOn w:val="List5"/>
    <w:rsid w:val="00517EDD"/>
    <w:pPr>
      <w:numPr>
        <w:numId w:val="8"/>
      </w:numPr>
    </w:pPr>
  </w:style>
  <w:style w:type="paragraph" w:styleId="BlockText">
    <w:name w:val="Block Text"/>
    <w:basedOn w:val="Normal"/>
    <w:rsid w:val="00517EDD"/>
    <w:pPr>
      <w:spacing w:after="120"/>
      <w:ind w:left="1440" w:right="1440"/>
    </w:pPr>
  </w:style>
  <w:style w:type="character" w:customStyle="1" w:styleId="Subscript">
    <w:name w:val="Subscript"/>
    <w:basedOn w:val="DefaultParagraphFont"/>
    <w:rsid w:val="00517EDD"/>
    <w:rPr>
      <w:sz w:val="16"/>
      <w:vertAlign w:val="subscript"/>
    </w:rPr>
  </w:style>
  <w:style w:type="character" w:customStyle="1" w:styleId="Superscript">
    <w:name w:val="Superscript"/>
    <w:basedOn w:val="DefaultParagraphFont"/>
    <w:rsid w:val="00517EDD"/>
    <w:rPr>
      <w:sz w:val="16"/>
      <w:vertAlign w:val="superscript"/>
    </w:rPr>
  </w:style>
  <w:style w:type="character" w:customStyle="1" w:styleId="Symbols">
    <w:name w:val="Symbols"/>
    <w:basedOn w:val="DefaultParagraphFont"/>
    <w:rsid w:val="00517EDD"/>
    <w:rPr>
      <w:rFonts w:ascii="Symbol" w:hAnsi="Symbol"/>
    </w:rPr>
  </w:style>
  <w:style w:type="character" w:customStyle="1" w:styleId="MenuOptions">
    <w:name w:val="Menu Options"/>
    <w:basedOn w:val="DefaultParagraphFont"/>
    <w:rsid w:val="00517EDD"/>
    <w:rPr>
      <w:rFonts w:ascii="Arial Narrow" w:hAnsi="Arial Narrow"/>
      <w:smallCaps/>
    </w:rPr>
  </w:style>
  <w:style w:type="character" w:customStyle="1" w:styleId="Buttons">
    <w:name w:val="Buttons"/>
    <w:basedOn w:val="DefaultParagraphFont"/>
    <w:rsid w:val="00517EDD"/>
    <w:rPr>
      <w:b/>
    </w:rPr>
  </w:style>
  <w:style w:type="character" w:customStyle="1" w:styleId="Underlined">
    <w:name w:val="Underlined"/>
    <w:basedOn w:val="DefaultParagraphFont"/>
    <w:rsid w:val="00517EDD"/>
    <w:rPr>
      <w:u w:val="single"/>
    </w:rPr>
  </w:style>
  <w:style w:type="paragraph" w:customStyle="1" w:styleId="TableBodyTextRight">
    <w:name w:val="Table Body Text Right"/>
    <w:basedOn w:val="TableBodyText"/>
    <w:rsid w:val="00517EDD"/>
    <w:pPr>
      <w:widowControl w:val="0"/>
      <w:autoSpaceDE w:val="0"/>
      <w:autoSpaceDN w:val="0"/>
      <w:adjustRightInd w:val="0"/>
      <w:jc w:val="right"/>
    </w:pPr>
    <w:rPr>
      <w:rFonts w:cs="Arial"/>
      <w:szCs w:val="18"/>
    </w:rPr>
  </w:style>
  <w:style w:type="paragraph" w:customStyle="1" w:styleId="CopyrightText">
    <w:name w:val="Copyright Text"/>
    <w:basedOn w:val="BodyText"/>
    <w:rsid w:val="00517EDD"/>
    <w:rPr>
      <w:sz w:val="18"/>
    </w:rPr>
  </w:style>
  <w:style w:type="paragraph" w:customStyle="1" w:styleId="BodySmallRight">
    <w:name w:val="Body Small Right"/>
    <w:basedOn w:val="BodyTextRight"/>
    <w:rsid w:val="00517EDD"/>
    <w:rPr>
      <w:sz w:val="18"/>
      <w:szCs w:val="18"/>
    </w:rPr>
  </w:style>
  <w:style w:type="paragraph" w:customStyle="1" w:styleId="MarginEdition">
    <w:name w:val="Margin Edition"/>
    <w:basedOn w:val="MarginNote"/>
    <w:rsid w:val="00517EDD"/>
    <w:pPr>
      <w:spacing w:before="0" w:after="0"/>
    </w:pPr>
    <w:rPr>
      <w:rFonts w:ascii="Times New Roman" w:hAnsi="Times New Roman"/>
      <w:color w:val="999999"/>
    </w:rPr>
  </w:style>
  <w:style w:type="paragraph" w:customStyle="1" w:styleId="Spacer">
    <w:name w:val="Spacer"/>
    <w:basedOn w:val="Normal"/>
    <w:rsid w:val="00517EDD"/>
    <w:rPr>
      <w:sz w:val="2"/>
      <w:szCs w:val="2"/>
    </w:rPr>
  </w:style>
  <w:style w:type="character" w:customStyle="1" w:styleId="Small">
    <w:name w:val="Small"/>
    <w:basedOn w:val="DefaultParagraphFont"/>
    <w:rsid w:val="00517EDD"/>
    <w:rPr>
      <w:sz w:val="16"/>
    </w:rPr>
  </w:style>
  <w:style w:type="paragraph" w:customStyle="1" w:styleId="WideTable">
    <w:name w:val="Wide Table"/>
    <w:basedOn w:val="Normal"/>
    <w:rsid w:val="00517EDD"/>
    <w:pPr>
      <w:ind w:left="-1418"/>
    </w:pPr>
    <w:rPr>
      <w:sz w:val="2"/>
      <w:szCs w:val="2"/>
    </w:rPr>
  </w:style>
  <w:style w:type="character" w:styleId="PageNumber">
    <w:name w:val="page number"/>
    <w:basedOn w:val="DefaultParagraphFont"/>
    <w:rsid w:val="00517EDD"/>
  </w:style>
  <w:style w:type="paragraph" w:styleId="Quote">
    <w:name w:val="Quote"/>
    <w:basedOn w:val="Heading1"/>
    <w:link w:val="QuoteChar"/>
    <w:qFormat/>
    <w:rsid w:val="00517EDD"/>
    <w:rPr>
      <w:b w:val="0"/>
      <w:sz w:val="72"/>
      <w:szCs w:val="72"/>
      <w:lang w:val="en-NZ"/>
    </w:rPr>
  </w:style>
  <w:style w:type="character" w:customStyle="1" w:styleId="QuoteChar">
    <w:name w:val="Quote Char"/>
    <w:basedOn w:val="DefaultParagraphFont"/>
    <w:link w:val="Quote"/>
    <w:rsid w:val="00517E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EDD"/>
    <w:pPr>
      <w:pageBreakBefore/>
    </w:pPr>
  </w:style>
  <w:style w:type="paragraph" w:customStyle="1" w:styleId="Border">
    <w:name w:val="Border"/>
    <w:basedOn w:val="Normal"/>
    <w:qFormat/>
    <w:rsid w:val="00517E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EDD"/>
    <w:rPr>
      <w:b/>
      <w:bCs/>
      <w:i/>
      <w:iCs/>
      <w:color w:val="auto"/>
    </w:rPr>
  </w:style>
  <w:style w:type="paragraph" w:styleId="IntenseQuote">
    <w:name w:val="Intense Quote"/>
    <w:basedOn w:val="Normal"/>
    <w:next w:val="Normal"/>
    <w:link w:val="IntenseQuoteChar"/>
    <w:uiPriority w:val="30"/>
    <w:qFormat/>
    <w:rsid w:val="00517E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E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EDD"/>
    <w:rPr>
      <w:smallCaps/>
      <w:color w:val="auto"/>
      <w:u w:val="single"/>
    </w:rPr>
  </w:style>
  <w:style w:type="character" w:styleId="IntenseReference">
    <w:name w:val="Intense Reference"/>
    <w:basedOn w:val="DefaultParagraphFont"/>
    <w:uiPriority w:val="32"/>
    <w:qFormat/>
    <w:rsid w:val="00517EDD"/>
    <w:rPr>
      <w:b/>
      <w:bCs/>
      <w:smallCaps/>
      <w:color w:val="auto"/>
      <w:spacing w:val="5"/>
      <w:u w:val="single"/>
    </w:rPr>
  </w:style>
  <w:style w:type="paragraph" w:customStyle="1" w:styleId="2ColumnHeading">
    <w:name w:val="2Column Heading"/>
    <w:basedOn w:val="BodyText"/>
    <w:qFormat/>
    <w:rsid w:val="00517EDD"/>
    <w:pPr>
      <w:spacing w:after="60"/>
      <w:ind w:left="-2268"/>
    </w:pPr>
    <w:rPr>
      <w:b/>
    </w:rPr>
  </w:style>
  <w:style w:type="paragraph" w:customStyle="1" w:styleId="Heading1TOC">
    <w:name w:val="Heading1 TOC"/>
    <w:basedOn w:val="Normal"/>
    <w:qFormat/>
    <w:rsid w:val="00517EDD"/>
    <w:pPr>
      <w:spacing w:before="240" w:after="120"/>
    </w:pPr>
    <w:rPr>
      <w:rFonts w:ascii="Times New Roman" w:hAnsi="Times New Roman"/>
      <w:b/>
      <w:sz w:val="32"/>
    </w:rPr>
  </w:style>
  <w:style w:type="paragraph" w:customStyle="1" w:styleId="Heading2TOC">
    <w:name w:val="Heading2 TOC"/>
    <w:basedOn w:val="Normal"/>
    <w:qFormat/>
    <w:rsid w:val="00517EDD"/>
    <w:pPr>
      <w:spacing w:before="240" w:after="60"/>
    </w:pPr>
    <w:rPr>
      <w:rFonts w:ascii="Times New Roman" w:hAnsi="Times New Roman"/>
      <w:b/>
      <w:sz w:val="28"/>
    </w:rPr>
  </w:style>
  <w:style w:type="character" w:customStyle="1" w:styleId="Underline">
    <w:name w:val="Underline"/>
    <w:basedOn w:val="DefaultParagraphFont"/>
    <w:qFormat/>
    <w:rsid w:val="00517EDD"/>
    <w:rPr>
      <w:u w:val="single"/>
    </w:rPr>
  </w:style>
  <w:style w:type="paragraph" w:styleId="BalloonText">
    <w:name w:val="Balloon Text"/>
    <w:basedOn w:val="Normal"/>
    <w:link w:val="BalloonTextChar"/>
    <w:rsid w:val="00517EDD"/>
    <w:rPr>
      <w:rFonts w:ascii="Tahoma" w:hAnsi="Tahoma" w:cs="Tahoma"/>
      <w:sz w:val="16"/>
      <w:szCs w:val="16"/>
    </w:rPr>
  </w:style>
  <w:style w:type="character" w:customStyle="1" w:styleId="BalloonTextChar">
    <w:name w:val="Balloon Text Char"/>
    <w:basedOn w:val="DefaultParagraphFont"/>
    <w:link w:val="BalloonText"/>
    <w:rsid w:val="00517E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E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7E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EDD"/>
    <w:rPr>
      <w:b/>
      <w:color w:val="660033"/>
      <w:spacing w:val="0"/>
    </w:rPr>
  </w:style>
  <w:style w:type="paragraph" w:customStyle="1" w:styleId="Nameditemlist">
    <w:name w:val="Named item list"/>
    <w:basedOn w:val="BodyText"/>
    <w:qFormat/>
    <w:rsid w:val="00517E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1804</Words>
  <Characters>11474</Characters>
  <Application>Microsoft Office Word</Application>
  <DocSecurity>0</DocSecurity>
  <Lines>394</Lines>
  <Paragraphs>212</Paragraphs>
  <ScaleCrop>false</ScaleCrop>
  <Company>Author-it Software Corporation Ltd.</Company>
  <LinksUpToDate>false</LinksUpToDate>
  <CharactersWithSpaces>13200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CPPACC8002A Research and analyse access solutions for the built environment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2012-10-05T07:00:00Z</dcterms:created>
  <dcterms:modified xsi:type="dcterms:W3CDTF">2012-10-05T07:00:00Z</dcterms:modified>
</cp:coreProperties>
</file>