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D9D" w:rsidP="00054D9D">
      <w:pPr>
        <w:pStyle w:val="Title"/>
      </w:pPr>
      <w:bookmarkStart w:id="0" w:name="_GoBack"/>
      <w:bookmarkEnd w:id="0"/>
      <w:r>
        <w:fldChar w:fldCharType="begin"/>
      </w:r>
      <w:r>
        <w:instrText xml:space="preserve"> TITLE   \* MERGEFORMAT </w:instrText>
      </w:r>
      <w:r>
        <w:fldChar w:fldCharType="separate"/>
      </w:r>
      <w:r>
        <w:t>CPPACC6003A Apply unjustifiable hardship principles to Alternative Building Solutions for access</w:t>
      </w:r>
      <w:r>
        <w:fldChar w:fldCharType="end"/>
      </w:r>
    </w:p>
    <w:p w:rsidR="00054D9D" w:rsidP="00054D9D">
      <w:pPr>
        <w:pStyle w:val="Version"/>
        <w:sectPr w:rsidSect="00B01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E6D" w:rsidP="00B01E6D">
      <w:pPr>
        <w:pStyle w:val="SuperHeading"/>
      </w:pPr>
      <w:r w:rsidRPr="00B01E6D">
        <w:t>CPPACC6003A Apply unjustifiable hardship principles to Alternative Building Solutions for access</w:t>
      </w:r>
    </w:p>
    <w:p w:rsidR="00000000" w:rsidRPr="00B01E6D" w:rsidP="00B01E6D">
      <w:pPr>
        <w:pStyle w:val="Heading1"/>
      </w:pPr>
      <w:bookmarkStart w:id="1" w:name="O_270001"/>
      <w:bookmarkEnd w:id="1"/>
      <w:r w:rsidRPr="00B01E6D">
        <w:t>Modification History</w:t>
      </w:r>
    </w:p>
    <w:p w:rsidR="00000000" w:rsidRPr="00B01E6D" w:rsidP="00B01E6D">
      <w:pPr>
        <w:pStyle w:val="BodyText"/>
      </w:pPr>
      <w:r w:rsidRPr="00B01E6D">
        <w:t>Not Applicable</w:t>
      </w:r>
    </w:p>
    <w:p w:rsidR="00000000" w:rsidRPr="00B01E6D" w:rsidP="00B01E6D">
      <w:pPr>
        <w:pStyle w:val="AllowPageBreak"/>
      </w:pPr>
    </w:p>
    <w:p w:rsidR="00000000" w:rsidRPr="00B01E6D" w:rsidP="00B01E6D">
      <w:pPr>
        <w:pStyle w:val="Heading1"/>
      </w:pPr>
      <w:bookmarkStart w:id="2" w:name="O_200650"/>
      <w:bookmarkEnd w:id="2"/>
      <w:r w:rsidRPr="00B01E6D">
        <w:t>Unit Descriptor</w:t>
      </w:r>
    </w:p>
    <w:p w:rsidR="00000000" w:rsidRPr="00B01E6D" w:rsidP="00B01E6D">
      <w:pPr>
        <w:pStyle w:val="BodyText"/>
      </w:pPr>
      <w:r w:rsidRPr="00B01E6D">
        <w:rPr>
          <w:rStyle w:val="SpecialBold"/>
        </w:rPr>
        <w:t>Unit descriptor</w:t>
      </w:r>
    </w:p>
    <w:p w:rsidR="00000000" w:rsidRPr="00B01E6D" w:rsidP="00B01E6D">
      <w:pPr>
        <w:pStyle w:val="BodyText"/>
      </w:pPr>
      <w:r w:rsidRPr="00B01E6D">
        <w:t>This unit specifies the competency required to apply the principles of unjustifiable hardship to the legislative requirements for existing buildings undergoing building work. It requires an assessment of any unjustifiable ha</w:t>
      </w:r>
      <w:r w:rsidRPr="00B01E6D">
        <w:t>rdship component of a proposed Building Upgrade Plan, Alternative Building Solution or application for an exception from a requirement of the Building Code of Australia (BCA).</w:t>
      </w:r>
    </w:p>
    <w:p w:rsidR="00000000" w:rsidRPr="00B01E6D" w:rsidP="00B01E6D">
      <w:pPr>
        <w:pStyle w:val="BodyText"/>
      </w:pPr>
      <w:r w:rsidRPr="00B01E6D">
        <w:t>The assessment is tested against the principles of unjustifiable hardship as set</w:t>
      </w:r>
      <w:r w:rsidRPr="00B01E6D">
        <w:t xml:space="preserve"> out in the Process to Administer Access to Buildings (The Protocol) and the Disability Discrimination Act (DDA) Premises Standard. The assessment may result in the preparation of a report describing the processes for reaching approval of the proposed alte</w:t>
      </w:r>
      <w:r w:rsidRPr="00B01E6D">
        <w:t>rnative solution or application for exception.</w:t>
      </w:r>
    </w:p>
    <w:p w:rsidR="00000000" w:rsidRPr="00B01E6D" w:rsidP="00B01E6D">
      <w:pPr>
        <w:pStyle w:val="BodyText"/>
      </w:pPr>
      <w:r w:rsidRPr="00B01E6D">
        <w:t>The unit requires the ability to communicate with members of the state or territory Access Panel on the interpretation and implementation of the DDA, the DDA Premises Standard, the BCA and The Protocol.</w:t>
      </w:r>
    </w:p>
    <w:p w:rsidR="00054D9D" w:rsidP="00B01E6D">
      <w:pPr>
        <w:pStyle w:val="BodyText"/>
      </w:pPr>
      <w:r w:rsidRPr="00B01E6D">
        <w:t>The ac</w:t>
      </w:r>
      <w:r w:rsidRPr="00B01E6D">
        <w:t>cess consultant may either work alone or as a member of a team.</w:t>
      </w:r>
    </w:p>
    <w:p w:rsidR="00054D9D" w:rsidP="00B01E6D">
      <w:pPr>
        <w:pStyle w:val="BodyText"/>
      </w:pPr>
    </w:p>
    <w:p w:rsidR="00000000" w:rsidRPr="00B01E6D" w:rsidP="00B01E6D">
      <w:pPr>
        <w:pStyle w:val="Heading1"/>
      </w:pPr>
      <w:bookmarkStart w:id="3" w:name="O_200652"/>
      <w:bookmarkEnd w:id="3"/>
      <w:r w:rsidRPr="00B01E6D">
        <w:t>Application of the Unit</w:t>
      </w:r>
    </w:p>
    <w:p w:rsidR="00000000" w:rsidRPr="00B01E6D" w:rsidP="00B01E6D">
      <w:pPr>
        <w:pStyle w:val="BodyText"/>
      </w:pPr>
      <w:r w:rsidRPr="00B01E6D">
        <w:rPr>
          <w:rStyle w:val="SpecialBold"/>
        </w:rPr>
        <w:t>Application of the unit</w:t>
      </w:r>
    </w:p>
    <w:p w:rsidR="00054D9D" w:rsidP="00B01E6D">
      <w:pPr>
        <w:pStyle w:val="BodyText"/>
      </w:pPr>
      <w:r w:rsidRPr="00B01E6D">
        <w:t>This unit of competency supports the access consulting service of serving on a BCA Access Panel. It involves the application of analysis, planning and evaluation to complex technical issues.</w:t>
      </w:r>
    </w:p>
    <w:p w:rsidR="00054D9D" w:rsidP="00B01E6D">
      <w:pPr>
        <w:pStyle w:val="BodyText"/>
      </w:pPr>
    </w:p>
    <w:p w:rsidR="00000000" w:rsidRPr="00B01E6D" w:rsidP="00B01E6D">
      <w:pPr>
        <w:pStyle w:val="Heading1"/>
      </w:pPr>
      <w:bookmarkStart w:id="4" w:name="O_278261"/>
      <w:bookmarkEnd w:id="4"/>
      <w:r w:rsidRPr="00B01E6D">
        <w:t>Licensing/Regulatory Information</w:t>
      </w:r>
    </w:p>
    <w:p w:rsidR="00000000" w:rsidRPr="00B01E6D" w:rsidP="00B01E6D">
      <w:pPr>
        <w:pStyle w:val="BodyText"/>
      </w:pPr>
      <w:r w:rsidRPr="00B01E6D">
        <w:t>Not Applicabl</w:t>
      </w:r>
      <w:r w:rsidRPr="00B01E6D">
        <w:t>e</w:t>
      </w:r>
    </w:p>
    <w:p w:rsidR="00000000" w:rsidRPr="00B01E6D" w:rsidP="00B01E6D">
      <w:pPr>
        <w:pStyle w:val="AllowPageBreak"/>
      </w:pPr>
    </w:p>
    <w:p w:rsidR="00000000" w:rsidRPr="00B01E6D" w:rsidP="00B01E6D">
      <w:pPr>
        <w:pStyle w:val="Heading1"/>
      </w:pPr>
      <w:bookmarkStart w:id="5" w:name="O_283535"/>
      <w:bookmarkEnd w:id="5"/>
      <w:r w:rsidRPr="00B01E6D">
        <w:t>Pre-Requisites</w:t>
      </w:r>
    </w:p>
    <w:p w:rsidR="00000000" w:rsidRPr="00B01E6D" w:rsidP="00B01E6D">
      <w:pPr>
        <w:pStyle w:val="BodyText"/>
      </w:pPr>
      <w:r w:rsidRPr="00B01E6D">
        <w:t>Not Applicable</w:t>
      </w:r>
    </w:p>
    <w:p w:rsidR="00000000" w:rsidRPr="00B01E6D" w:rsidP="00B01E6D">
      <w:pPr>
        <w:pStyle w:val="AllowPageBreak"/>
      </w:pPr>
    </w:p>
    <w:p w:rsidR="00000000" w:rsidRPr="00B01E6D" w:rsidP="00B01E6D">
      <w:pPr>
        <w:pStyle w:val="Heading1"/>
      </w:pPr>
      <w:bookmarkStart w:id="6" w:name="O_200651"/>
      <w:bookmarkEnd w:id="6"/>
      <w:r w:rsidRPr="00B01E6D">
        <w:t>Employability Skills Information</w:t>
      </w:r>
    </w:p>
    <w:p w:rsidR="00000000" w:rsidRPr="00B01E6D" w:rsidP="00B01E6D">
      <w:pPr>
        <w:pStyle w:val="BodyText"/>
      </w:pPr>
      <w:r w:rsidRPr="00B01E6D">
        <w:rPr>
          <w:rStyle w:val="SpecialBold"/>
        </w:rPr>
        <w:t>Employability skills</w:t>
      </w:r>
    </w:p>
    <w:p w:rsidR="00054D9D" w:rsidP="00B01E6D">
      <w:pPr>
        <w:pStyle w:val="BodyText"/>
      </w:pPr>
      <w:r w:rsidRPr="00B01E6D">
        <w:t>This unit contains employability skills.</w:t>
      </w:r>
    </w:p>
    <w:p w:rsidR="00054D9D" w:rsidP="00B01E6D">
      <w:pPr>
        <w:pStyle w:val="BodyText"/>
      </w:pPr>
    </w:p>
    <w:p w:rsidR="00000000" w:rsidRPr="00B01E6D" w:rsidP="00B01E6D">
      <w:pPr>
        <w:pStyle w:val="Heading1"/>
      </w:pPr>
      <w:bookmarkStart w:id="7" w:name="O_288047"/>
      <w:bookmarkEnd w:id="7"/>
      <w:r w:rsidRPr="00B01E6D">
        <w:t>Elements and Performance Criteria Pre-Content</w:t>
      </w:r>
    </w:p>
    <w:tbl>
      <w:tblPr>
        <w:tblW w:w="0" w:type="auto"/>
        <w:tblLayout w:type="fixed"/>
        <w:tblCellMar>
          <w:left w:w="62" w:type="dxa"/>
          <w:right w:w="62" w:type="dxa"/>
        </w:tblCellMar>
        <w:tblLook w:val="0000"/>
      </w:tblPr>
      <w:tblGrid>
        <w:gridCol w:w="2991"/>
        <w:gridCol w:w="5507"/>
      </w:tblGrid>
      <w:tr w:rsidTr="00054D9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t>Elements describe the essentia</w:t>
            </w:r>
            <w:r w:rsidRPr="00B01E6D">
              <w:t>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B01E6D" w:rsidP="00B01E6D">
            <w:pPr>
              <w:pStyle w:val="BodyText"/>
            </w:pPr>
            <w:r w:rsidRPr="00B01E6D">
              <w:t>Performance criteria describe the required performance needed to demonstrate achievement of the element. Where bold italicised text is used, further information is detailed in the required skills and knowledge and/or the</w:t>
            </w:r>
            <w:r w:rsidRPr="00B01E6D">
              <w:t xml:space="preserve"> range statement. Assessment of performance is to be consistent with the evidence guide.</w:t>
            </w:r>
          </w:p>
        </w:tc>
      </w:tr>
    </w:tbl>
    <w:p w:rsidR="00000000" w:rsidRPr="00B01E6D" w:rsidP="00B01E6D">
      <w:pPr>
        <w:pStyle w:val="BodyText"/>
      </w:pPr>
    </w:p>
    <w:p w:rsidR="00000000" w:rsidRPr="00B01E6D" w:rsidP="00B01E6D">
      <w:pPr>
        <w:pStyle w:val="AllowPageBreak"/>
      </w:pPr>
    </w:p>
    <w:p w:rsidR="00000000" w:rsidRPr="00B01E6D" w:rsidP="00B01E6D">
      <w:pPr>
        <w:pStyle w:val="Heading1"/>
      </w:pPr>
      <w:bookmarkStart w:id="8" w:name="O_234714"/>
      <w:bookmarkEnd w:id="8"/>
      <w:r w:rsidRPr="00B01E6D">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054D9D">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B01E6D" w:rsidP="00B01E6D">
            <w:pPr>
              <w:pStyle w:val="List"/>
            </w:pPr>
            <w:r w:rsidRPr="00B01E6D">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B01E6D">
            <w:pPr>
              <w:pStyle w:val="List"/>
              <w:rPr>
                <w:lang w:val="en-NZ"/>
              </w:rPr>
            </w:pPr>
            <w:r w:rsidRPr="00B01E6D">
              <w:rPr>
                <w:rStyle w:val="SpecialBold"/>
              </w:rPr>
              <w:t>PERFORMANCE CRITERIA</w:t>
            </w:r>
          </w:p>
        </w:tc>
      </w:tr>
      <w:tr w:rsidTr="00054D9D">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B01E6D">
            <w:pPr>
              <w:pStyle w:val="List"/>
              <w:rPr>
                <w:lang w:val="en-NZ"/>
              </w:rPr>
            </w:pPr>
            <w:r w:rsidRPr="00B01E6D">
              <w:rPr>
                <w:rStyle w:val="SpecialBold"/>
              </w:rPr>
              <w:t>1</w:t>
            </w:r>
            <w:r w:rsidRPr="00B01E6D">
              <w:tab/>
            </w:r>
            <w:r w:rsidRPr="00B01E6D">
              <w:rPr>
                <w:rStyle w:val="SpecialBold"/>
              </w:rPr>
              <w:t>Assess the proposal from the building control authority</w:t>
            </w:r>
            <w:r w:rsidRPr="00B01E6D">
              <w:t>.</w:t>
            </w:r>
          </w:p>
        </w:tc>
        <w:tc>
          <w:tcPr>
            <w:tcW w:w="5507" w:type="dxa"/>
            <w:gridSpan w:val="2"/>
            <w:tcBorders>
              <w:top w:val="nil"/>
              <w:left w:val="nil"/>
              <w:bottom w:val="nil"/>
              <w:right w:val="nil"/>
            </w:tcBorders>
            <w:tcMar>
              <w:top w:w="0" w:type="dxa"/>
              <w:left w:w="62" w:type="dxa"/>
              <w:bottom w:w="0" w:type="dxa"/>
              <w:right w:w="62" w:type="dxa"/>
            </w:tcMar>
          </w:tcPr>
          <w:p w:rsidR="00000000" w:rsidRPr="00B01E6D" w:rsidP="00B01E6D">
            <w:pPr>
              <w:pStyle w:val="List"/>
            </w:pPr>
            <w:r w:rsidRPr="00B01E6D">
              <w:t>1.1</w:t>
            </w:r>
            <w:r w:rsidRPr="00B01E6D">
              <w:tab/>
            </w:r>
            <w:r w:rsidRPr="00B01E6D">
              <w:t xml:space="preserve">The nature of the proposal documentation is classified as a </w:t>
            </w:r>
            <w:r w:rsidRPr="00B01E6D">
              <w:rPr>
                <w:rStyle w:val="BoldandItalics"/>
              </w:rPr>
              <w:t>Building Upgrade Plan</w:t>
            </w:r>
            <w:r w:rsidRPr="00B01E6D">
              <w:t xml:space="preserve">, an </w:t>
            </w:r>
            <w:r w:rsidRPr="00B01E6D">
              <w:rPr>
                <w:rStyle w:val="BoldandItalics"/>
              </w:rPr>
              <w:t>Alternative Building Solution</w:t>
            </w:r>
            <w:r w:rsidRPr="00B01E6D">
              <w:t xml:space="preserve"> or an </w:t>
            </w:r>
            <w:r w:rsidRPr="00B01E6D">
              <w:rPr>
                <w:rStyle w:val="BoldandItalics"/>
              </w:rPr>
              <w:t>application for exception from a requirement of the BCA</w:t>
            </w:r>
            <w:r w:rsidRPr="00B01E6D">
              <w:t>.</w:t>
            </w:r>
          </w:p>
          <w:p w:rsidR="00000000" w:rsidRPr="00B01E6D" w:rsidP="00B01E6D">
            <w:pPr>
              <w:pStyle w:val="List"/>
            </w:pPr>
            <w:r w:rsidRPr="00B01E6D">
              <w:t>1.2</w:t>
            </w:r>
            <w:r w:rsidRPr="00B01E6D">
              <w:tab/>
              <w:t>Access issues raised by the building control authority are identified, cl</w:t>
            </w:r>
            <w:r w:rsidRPr="00B01E6D">
              <w:t>arified and documented.</w:t>
            </w:r>
          </w:p>
          <w:p w:rsidR="00000000" w:rsidP="00B01E6D">
            <w:pPr>
              <w:pStyle w:val="List"/>
              <w:rPr>
                <w:lang w:val="en-NZ"/>
              </w:rPr>
            </w:pPr>
            <w:r w:rsidRPr="00B01E6D">
              <w:t>1.3</w:t>
            </w:r>
            <w:r w:rsidRPr="00B01E6D">
              <w:tab/>
              <w:t>The grounds for a request for unjustifiable hardship are identified from within the proposal documentation.</w:t>
            </w:r>
          </w:p>
        </w:tc>
      </w:tr>
      <w:tr w:rsidTr="00054D9D">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B01E6D">
            <w:pPr>
              <w:pStyle w:val="List"/>
              <w:rPr>
                <w:lang w:val="en-NZ"/>
              </w:rPr>
            </w:pPr>
            <w:r w:rsidRPr="00B01E6D">
              <w:rPr>
                <w:rStyle w:val="SpecialBold"/>
              </w:rPr>
              <w:t>2</w:t>
            </w:r>
            <w:r w:rsidRPr="00B01E6D">
              <w:tab/>
            </w:r>
            <w:r w:rsidRPr="00B01E6D">
              <w:rPr>
                <w:rStyle w:val="SpecialBold"/>
              </w:rPr>
              <w:t>Apply unjustifiable hardship principles to the assessment of the Building Upgrade Plan</w:t>
            </w:r>
            <w:r w:rsidRPr="00B01E6D">
              <w:t>.</w:t>
            </w:r>
          </w:p>
        </w:tc>
        <w:tc>
          <w:tcPr>
            <w:tcW w:w="5507" w:type="dxa"/>
            <w:gridSpan w:val="2"/>
            <w:tcBorders>
              <w:top w:val="nil"/>
              <w:left w:val="nil"/>
              <w:bottom w:val="nil"/>
              <w:right w:val="nil"/>
            </w:tcBorders>
            <w:tcMar>
              <w:top w:w="0" w:type="dxa"/>
              <w:left w:w="62" w:type="dxa"/>
              <w:bottom w:w="0" w:type="dxa"/>
              <w:right w:w="62" w:type="dxa"/>
            </w:tcMar>
          </w:tcPr>
          <w:p w:rsidR="00000000" w:rsidRPr="00B01E6D" w:rsidP="00B01E6D">
            <w:pPr>
              <w:pStyle w:val="List"/>
            </w:pPr>
            <w:r w:rsidRPr="00B01E6D">
              <w:t>2.1</w:t>
            </w:r>
            <w:r w:rsidRPr="00B01E6D">
              <w:tab/>
              <w:t xml:space="preserve">Key access components of </w:t>
            </w:r>
            <w:r w:rsidRPr="00B01E6D">
              <w:t>the Building Upgrade Plan are identified.</w:t>
            </w:r>
          </w:p>
          <w:p w:rsidR="00000000" w:rsidRPr="00B01E6D" w:rsidP="00B01E6D">
            <w:pPr>
              <w:pStyle w:val="List"/>
            </w:pPr>
            <w:r w:rsidRPr="00B01E6D">
              <w:t>2.2</w:t>
            </w:r>
            <w:r w:rsidRPr="00B01E6D">
              <w:tab/>
              <w:t>A technical assessment of the issues identified in the Building Upgrade Plan is conducted in accordance with the Process to Administer Access to Buildings.</w:t>
            </w:r>
          </w:p>
          <w:p w:rsidR="00000000" w:rsidRPr="00B01E6D" w:rsidP="00B01E6D">
            <w:pPr>
              <w:pStyle w:val="List"/>
            </w:pPr>
            <w:r w:rsidRPr="00B01E6D">
              <w:t>2.3</w:t>
            </w:r>
            <w:r w:rsidRPr="00B01E6D">
              <w:tab/>
              <w:t>The level of access resulting from the Building Up</w:t>
            </w:r>
            <w:r w:rsidRPr="00B01E6D">
              <w:t xml:space="preserve">grade Plan is determined in accordance with </w:t>
            </w:r>
            <w:r w:rsidRPr="00B01E6D">
              <w:rPr>
                <w:rStyle w:val="BoldandItalics"/>
              </w:rPr>
              <w:t>legislative requirements</w:t>
            </w:r>
            <w:r w:rsidRPr="00B01E6D">
              <w:t>.</w:t>
            </w:r>
          </w:p>
          <w:p w:rsidR="00000000" w:rsidP="00B01E6D">
            <w:pPr>
              <w:pStyle w:val="List"/>
              <w:rPr>
                <w:lang w:val="en-NZ"/>
              </w:rPr>
            </w:pPr>
            <w:r w:rsidRPr="00B01E6D">
              <w:t>2.4</w:t>
            </w:r>
            <w:r w:rsidRPr="00B01E6D">
              <w:tab/>
              <w:t xml:space="preserve">The appropriateness of the timeframes proposed by the Building Upgrade Plan is assessed and the findings are documented in accordance with </w:t>
            </w:r>
            <w:r w:rsidRPr="00B01E6D">
              <w:rPr>
                <w:rStyle w:val="BoldandItalics"/>
              </w:rPr>
              <w:t>unjustifiable hardship considerations</w:t>
            </w:r>
            <w:r w:rsidRPr="00B01E6D">
              <w:t>.</w:t>
            </w:r>
          </w:p>
        </w:tc>
      </w:tr>
      <w:tr w:rsidTr="00054D9D">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B01E6D">
            <w:pPr>
              <w:pStyle w:val="List"/>
              <w:rPr>
                <w:lang w:val="en-NZ"/>
              </w:rPr>
            </w:pPr>
            <w:r w:rsidRPr="00B01E6D">
              <w:rPr>
                <w:rStyle w:val="SpecialBold"/>
              </w:rPr>
              <w:t>3</w:t>
            </w:r>
            <w:r w:rsidRPr="00B01E6D">
              <w:tab/>
            </w:r>
            <w:r w:rsidRPr="00B01E6D">
              <w:rPr>
                <w:rStyle w:val="SpecialBold"/>
              </w:rPr>
              <w:t>Apply unjustifiable hardship principles to the assessment of the Alternative Building Solution</w:t>
            </w:r>
            <w:r w:rsidRPr="00B01E6D">
              <w:t>.</w:t>
            </w:r>
          </w:p>
        </w:tc>
        <w:tc>
          <w:tcPr>
            <w:tcW w:w="5507" w:type="dxa"/>
            <w:gridSpan w:val="2"/>
            <w:tcBorders>
              <w:top w:val="nil"/>
              <w:left w:val="nil"/>
              <w:bottom w:val="nil"/>
              <w:right w:val="nil"/>
            </w:tcBorders>
            <w:tcMar>
              <w:top w:w="0" w:type="dxa"/>
              <w:left w:w="62" w:type="dxa"/>
              <w:bottom w:w="0" w:type="dxa"/>
              <w:right w:w="62" w:type="dxa"/>
            </w:tcMar>
          </w:tcPr>
          <w:p w:rsidR="00000000" w:rsidRPr="00B01E6D" w:rsidP="00B01E6D">
            <w:pPr>
              <w:pStyle w:val="List"/>
            </w:pPr>
            <w:r w:rsidRPr="00B01E6D">
              <w:t>3.1</w:t>
            </w:r>
            <w:r w:rsidRPr="00B01E6D">
              <w:tab/>
              <w:t>The performance of the Alternative Building Solution for providing access outcomes equivalent to the Deemed-to-Satisfy provisions of the relevant legislativ</w:t>
            </w:r>
            <w:r w:rsidRPr="00B01E6D">
              <w:t>e requirements is assessed.</w:t>
            </w:r>
          </w:p>
          <w:p w:rsidR="00000000" w:rsidRPr="00B01E6D" w:rsidP="00B01E6D">
            <w:pPr>
              <w:pStyle w:val="List"/>
            </w:pPr>
            <w:r w:rsidRPr="00B01E6D">
              <w:t>3.2</w:t>
            </w:r>
            <w:r w:rsidRPr="00B01E6D">
              <w:tab/>
              <w:t>A technical assessment of the issues identified in the application for Alternative Building Solution is conducted in accordance with the Process to Administer Access to Buildings.</w:t>
            </w:r>
          </w:p>
          <w:p w:rsidR="00000000" w:rsidRPr="00B01E6D" w:rsidP="00B01E6D">
            <w:pPr>
              <w:pStyle w:val="List"/>
            </w:pPr>
            <w:r w:rsidRPr="00B01E6D">
              <w:t>3.3</w:t>
            </w:r>
            <w:r w:rsidRPr="00B01E6D">
              <w:tab/>
              <w:t xml:space="preserve">The ability of the Alternative Building </w:t>
            </w:r>
            <w:r w:rsidRPr="00B01E6D">
              <w:t>Solution to provide access is assessed in accordance with unjustifiable hardship considerations.</w:t>
            </w:r>
          </w:p>
          <w:p w:rsidR="00000000" w:rsidP="00B01E6D">
            <w:pPr>
              <w:pStyle w:val="List"/>
              <w:rPr>
                <w:lang w:val="en-NZ"/>
              </w:rPr>
            </w:pPr>
            <w:r w:rsidRPr="00B01E6D">
              <w:t>3.4</w:t>
            </w:r>
            <w:r w:rsidRPr="00B01E6D">
              <w:tab/>
              <w:t>Unjustifiable hardship considerations are assessed and the findings are documented in accordance with the objectives of the DDA and state and territory ant</w:t>
            </w:r>
            <w:r w:rsidRPr="00B01E6D">
              <w:t>i-discrimination legislation.</w:t>
            </w:r>
          </w:p>
        </w:tc>
      </w:tr>
      <w:tr w:rsidTr="00054D9D">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B01E6D">
            <w:pPr>
              <w:pStyle w:val="List"/>
              <w:rPr>
                <w:lang w:val="en-NZ"/>
              </w:rPr>
            </w:pPr>
            <w:r w:rsidRPr="00B01E6D">
              <w:rPr>
                <w:rStyle w:val="SpecialBold"/>
              </w:rPr>
              <w:t>4</w:t>
            </w:r>
            <w:r w:rsidRPr="00B01E6D">
              <w:tab/>
            </w:r>
            <w:r w:rsidRPr="00B01E6D">
              <w:rPr>
                <w:rStyle w:val="SpecialBold"/>
              </w:rPr>
              <w:t>Apply unjustifiable hardship principles to the assessment of the application for exception from a requirement of the BCA</w:t>
            </w:r>
            <w:r w:rsidRPr="00B01E6D">
              <w:t>.</w:t>
            </w:r>
          </w:p>
        </w:tc>
        <w:tc>
          <w:tcPr>
            <w:tcW w:w="5507" w:type="dxa"/>
            <w:gridSpan w:val="2"/>
            <w:tcBorders>
              <w:top w:val="nil"/>
              <w:left w:val="nil"/>
              <w:bottom w:val="nil"/>
              <w:right w:val="nil"/>
            </w:tcBorders>
            <w:tcMar>
              <w:top w:w="0" w:type="dxa"/>
              <w:left w:w="62" w:type="dxa"/>
              <w:bottom w:w="0" w:type="dxa"/>
              <w:right w:w="62" w:type="dxa"/>
            </w:tcMar>
          </w:tcPr>
          <w:p w:rsidR="00000000" w:rsidRPr="00B01E6D" w:rsidP="00B01E6D">
            <w:pPr>
              <w:pStyle w:val="List"/>
            </w:pPr>
            <w:r w:rsidRPr="00B01E6D">
              <w:t>4.1</w:t>
            </w:r>
            <w:r w:rsidRPr="00B01E6D">
              <w:tab/>
              <w:t>The issues nominated in the proposal as preventing the provision of access are identified.</w:t>
            </w:r>
          </w:p>
          <w:p w:rsidR="00000000" w:rsidRPr="00B01E6D" w:rsidP="00B01E6D">
            <w:pPr>
              <w:pStyle w:val="List"/>
            </w:pPr>
            <w:r w:rsidRPr="00B01E6D">
              <w:t>4.2</w:t>
            </w:r>
            <w:r w:rsidRPr="00B01E6D">
              <w:tab/>
              <w:t xml:space="preserve">A </w:t>
            </w:r>
            <w:r w:rsidRPr="00B01E6D">
              <w:t>technical assessment of the issues identified in the application for exception is conducted in accordance with the Process to Administer Access to Buildings.</w:t>
            </w:r>
          </w:p>
          <w:p w:rsidR="00000000" w:rsidRPr="00B01E6D" w:rsidP="00B01E6D">
            <w:pPr>
              <w:pStyle w:val="List"/>
            </w:pPr>
            <w:r w:rsidRPr="00B01E6D">
              <w:t>4.3</w:t>
            </w:r>
            <w:r w:rsidRPr="00B01E6D">
              <w:tab/>
              <w:t>The validity of the issues presented in the application for exception from a requirement of th</w:t>
            </w:r>
            <w:r w:rsidRPr="00B01E6D">
              <w:t>e BCA is assessed against unjustifiable hardship considerations.</w:t>
            </w:r>
          </w:p>
          <w:p w:rsidR="00000000" w:rsidRPr="00B01E6D" w:rsidP="00B01E6D">
            <w:pPr>
              <w:pStyle w:val="List"/>
            </w:pPr>
            <w:r w:rsidRPr="00B01E6D">
              <w:t>4.4</w:t>
            </w:r>
            <w:r w:rsidRPr="00B01E6D">
              <w:tab/>
              <w:t>Unjustifiable hardship decisions are assessed and the findings are documented in accordance with the objectives of the DDA and state and territory anti-discrimination legislation.</w:t>
            </w:r>
          </w:p>
        </w:tc>
      </w:tr>
    </w:tbl>
    <w:p w:rsidR="00054D9D" w:rsidP="00B01E6D">
      <w:pPr>
        <w:pStyle w:val="BodyText"/>
      </w:pPr>
    </w:p>
    <w:p w:rsidR="00054D9D" w:rsidP="00B01E6D">
      <w:pPr>
        <w:pStyle w:val="BodyText"/>
      </w:pPr>
    </w:p>
    <w:p w:rsidR="00000000" w:rsidRPr="00B01E6D" w:rsidP="00B01E6D">
      <w:pPr>
        <w:pStyle w:val="Heading1"/>
      </w:pPr>
      <w:bookmarkStart w:id="9" w:name="O_258664"/>
      <w:bookmarkEnd w:id="9"/>
      <w:r w:rsidRPr="00B01E6D">
        <w:t>Required Skills and Knowledge</w:t>
      </w:r>
    </w:p>
    <w:p w:rsidR="00000000" w:rsidRPr="00B01E6D" w:rsidP="00B01E6D">
      <w:pPr>
        <w:pStyle w:val="BodyText"/>
      </w:pPr>
      <w:r w:rsidRPr="00B01E6D">
        <w:rPr>
          <w:rStyle w:val="SpecialBold"/>
        </w:rPr>
        <w:t>REQUIRED SKILLS AND KNOWLEDGE</w:t>
      </w:r>
    </w:p>
    <w:p w:rsidR="00000000" w:rsidRPr="00B01E6D" w:rsidP="00B01E6D">
      <w:pPr>
        <w:pStyle w:val="BodyText"/>
      </w:pPr>
      <w:r w:rsidRPr="00B01E6D">
        <w:t>This section describes the essential skills and knowledge and their level, required for this unit.</w:t>
      </w:r>
    </w:p>
    <w:p w:rsidR="00000000" w:rsidRPr="00B01E6D" w:rsidP="00B01E6D">
      <w:pPr>
        <w:pStyle w:val="BodyText"/>
      </w:pPr>
      <w:r w:rsidRPr="00B01E6D">
        <w:rPr>
          <w:rStyle w:val="SpecialBold"/>
        </w:rPr>
        <w:t>Required knowledge and understanding include</w:t>
      </w:r>
      <w:r w:rsidRPr="00B01E6D">
        <w:t>:</w:t>
      </w:r>
    </w:p>
    <w:p w:rsidR="00000000" w:rsidRPr="00B01E6D" w:rsidP="00B01E6D">
      <w:pPr>
        <w:pStyle w:val="ListBullet"/>
      </w:pPr>
      <w:r w:rsidRPr="00B01E6D">
        <w:t>anthropometric principles of accessible building design and fitout</w:t>
      </w:r>
    </w:p>
    <w:p w:rsidR="00000000" w:rsidRPr="00B01E6D" w:rsidP="00B01E6D">
      <w:pPr>
        <w:pStyle w:val="ListBullet"/>
      </w:pPr>
      <w:r w:rsidRPr="00B01E6D">
        <w:t>commonwealth, state and territory anti-discrimination legislation and regulations</w:t>
      </w:r>
    </w:p>
    <w:p w:rsidR="00000000" w:rsidRPr="00B01E6D" w:rsidP="00B01E6D">
      <w:pPr>
        <w:pStyle w:val="ListBullet"/>
      </w:pPr>
      <w:r w:rsidRPr="00B01E6D">
        <w:t>commonwealth, state and territory Heritage Acts</w:t>
      </w:r>
    </w:p>
    <w:p w:rsidR="00000000" w:rsidRPr="00B01E6D" w:rsidP="00B01E6D">
      <w:pPr>
        <w:pStyle w:val="ListBullet"/>
      </w:pPr>
      <w:r w:rsidRPr="00B01E6D">
        <w:t>design, structural and construction principles of buildings</w:t>
      </w:r>
    </w:p>
    <w:p w:rsidR="00000000" w:rsidRPr="00B01E6D" w:rsidP="00B01E6D">
      <w:pPr>
        <w:pStyle w:val="ListBullet"/>
      </w:pPr>
      <w:r w:rsidRPr="00B01E6D">
        <w:t>disability awareness</w:t>
      </w:r>
    </w:p>
    <w:p w:rsidR="00000000" w:rsidRPr="00B01E6D" w:rsidP="00B01E6D">
      <w:pPr>
        <w:pStyle w:val="ListBullet"/>
      </w:pPr>
      <w:r w:rsidRPr="00B01E6D">
        <w:t>environmental issues impacting on material selection</w:t>
      </w:r>
    </w:p>
    <w:p w:rsidR="00000000" w:rsidRPr="00B01E6D" w:rsidP="00B01E6D">
      <w:pPr>
        <w:pStyle w:val="ListBullet"/>
      </w:pPr>
      <w:r w:rsidRPr="00B01E6D">
        <w:t>ergonomic principles</w:t>
      </w:r>
    </w:p>
    <w:p w:rsidR="00000000" w:rsidRPr="00B01E6D" w:rsidP="00B01E6D">
      <w:pPr>
        <w:pStyle w:val="ListBullet"/>
      </w:pPr>
      <w:r w:rsidRPr="00B01E6D">
        <w:t>functional systems of the human body</w:t>
      </w:r>
    </w:p>
    <w:p w:rsidR="00000000" w:rsidRPr="00B01E6D" w:rsidP="00B01E6D">
      <w:pPr>
        <w:pStyle w:val="ListBullet"/>
      </w:pPr>
      <w:r w:rsidRPr="00B01E6D">
        <w:t>industry codes of practice and ethics</w:t>
      </w:r>
    </w:p>
    <w:p w:rsidR="00000000" w:rsidRPr="00B01E6D" w:rsidP="00B01E6D">
      <w:pPr>
        <w:pStyle w:val="ListBullet"/>
      </w:pPr>
      <w:r w:rsidRPr="00B01E6D">
        <w:t>international standards on building access</w:t>
      </w:r>
    </w:p>
    <w:p w:rsidR="00000000" w:rsidRPr="00B01E6D" w:rsidP="00B01E6D">
      <w:pPr>
        <w:pStyle w:val="ListBullet"/>
      </w:pPr>
      <w:r w:rsidRPr="00B01E6D">
        <w:t>limitations of work role, responsibility a</w:t>
      </w:r>
      <w:r w:rsidRPr="00B01E6D">
        <w:t>nd professional abilities</w:t>
      </w:r>
    </w:p>
    <w:p w:rsidR="00000000" w:rsidRPr="00B01E6D" w:rsidP="00B01E6D">
      <w:pPr>
        <w:pStyle w:val="ListBullet"/>
      </w:pPr>
      <w:r w:rsidRPr="00B01E6D">
        <w:t>nature of building materials and effect of performance</w:t>
      </w:r>
    </w:p>
    <w:p w:rsidR="00000000" w:rsidRPr="00B01E6D" w:rsidP="00B01E6D">
      <w:pPr>
        <w:pStyle w:val="ListBullet"/>
      </w:pPr>
      <w:r w:rsidRPr="00B01E6D">
        <w:t>occupational health and safety (OHS) policies and procedures</w:t>
      </w:r>
    </w:p>
    <w:p w:rsidR="00000000" w:rsidRPr="00B01E6D" w:rsidP="00B01E6D">
      <w:pPr>
        <w:pStyle w:val="ListBullet"/>
      </w:pPr>
      <w:r w:rsidRPr="00B01E6D">
        <w:t>processes for interpreting reports, working drawings and specifications</w:t>
      </w:r>
    </w:p>
    <w:p w:rsidR="00000000" w:rsidRPr="00B01E6D" w:rsidP="00B01E6D">
      <w:pPr>
        <w:pStyle w:val="ListBullet"/>
      </w:pPr>
      <w:r w:rsidRPr="00B01E6D">
        <w:t>processes for recording data, administerin</w:t>
      </w:r>
      <w:r w:rsidRPr="00B01E6D">
        <w:t>g records and preparing reports</w:t>
      </w:r>
    </w:p>
    <w:p w:rsidR="00000000" w:rsidRPr="00B01E6D" w:rsidP="00B01E6D">
      <w:pPr>
        <w:pStyle w:val="ListBullet"/>
      </w:pPr>
      <w:r w:rsidRPr="00B01E6D">
        <w:t>relevant commonwealth, state and territory building legislation, local government regulations and Australian standards</w:t>
      </w:r>
    </w:p>
    <w:p w:rsidR="00000000" w:rsidRPr="00B01E6D" w:rsidP="00B01E6D">
      <w:pPr>
        <w:pStyle w:val="ListBullet"/>
      </w:pPr>
      <w:r w:rsidRPr="00B01E6D">
        <w:t>research methodology and analytical processes</w:t>
      </w:r>
    </w:p>
    <w:p w:rsidR="00000000" w:rsidRPr="00B01E6D" w:rsidP="00B01E6D">
      <w:pPr>
        <w:pStyle w:val="ListBullet"/>
      </w:pPr>
      <w:r w:rsidRPr="00B01E6D">
        <w:t>role, responsibilities and powers of building certifiers</w:t>
      </w:r>
    </w:p>
    <w:p w:rsidR="00000000" w:rsidRPr="00B01E6D" w:rsidP="00B01E6D">
      <w:pPr>
        <w:pStyle w:val="ListBullet"/>
      </w:pPr>
      <w:r w:rsidRPr="00B01E6D">
        <w:t>st</w:t>
      </w:r>
      <w:r w:rsidRPr="00B01E6D">
        <w:t>ate and territory Planning and Development Acts</w:t>
      </w:r>
    </w:p>
    <w:p w:rsidR="00000000" w:rsidRPr="00B01E6D" w:rsidP="00B01E6D">
      <w:pPr>
        <w:pStyle w:val="ListBullet"/>
      </w:pPr>
      <w:r w:rsidRPr="00B01E6D">
        <w:t>relevant terminology and definitions in hazard identification.</w:t>
      </w:r>
    </w:p>
    <w:p w:rsidR="00000000" w:rsidRPr="00B01E6D" w:rsidP="00B01E6D">
      <w:pPr>
        <w:pStyle w:val="BodyText"/>
      </w:pPr>
      <w:r w:rsidRPr="00B01E6D">
        <w:rPr>
          <w:rStyle w:val="SpecialBold"/>
        </w:rPr>
        <w:t>Required skills and attributes include</w:t>
      </w:r>
      <w:r w:rsidRPr="00B01E6D">
        <w:t>:</w:t>
      </w:r>
    </w:p>
    <w:p w:rsidR="00000000" w:rsidRPr="00B01E6D" w:rsidP="00B01E6D">
      <w:pPr>
        <w:pStyle w:val="ListBullet"/>
      </w:pPr>
      <w:r w:rsidRPr="00B01E6D">
        <w:t>analytical skills to:</w:t>
      </w:r>
    </w:p>
    <w:p w:rsidR="00000000" w:rsidRPr="00B01E6D" w:rsidP="00B01E6D">
      <w:pPr>
        <w:pStyle w:val="ListBullet2"/>
      </w:pPr>
      <w:r w:rsidRPr="00B01E6D">
        <w:t>analyse, evaluate and apply legislative requirements pertaining to disability acce</w:t>
      </w:r>
      <w:r w:rsidRPr="00B01E6D">
        <w:t>ss</w:t>
      </w:r>
    </w:p>
    <w:p w:rsidR="00000000" w:rsidRPr="00B01E6D" w:rsidP="00B01E6D">
      <w:pPr>
        <w:pStyle w:val="ListBullet2"/>
      </w:pPr>
      <w:r w:rsidRPr="00B01E6D">
        <w:t>analyse and evaluate the impacts of the full range of disabilities and the limitations that each disability places on the individual's ability to access the environment</w:t>
      </w:r>
    </w:p>
    <w:p w:rsidR="00000000" w:rsidRPr="00B01E6D" w:rsidP="00B01E6D">
      <w:pPr>
        <w:pStyle w:val="ListBullet2"/>
      </w:pPr>
      <w:r w:rsidRPr="00B01E6D">
        <w:t>analyse and evaluate how environmental barriers impact on people with disabilities</w:t>
      </w:r>
    </w:p>
    <w:p w:rsidR="00000000" w:rsidRPr="00B01E6D" w:rsidP="00B01E6D">
      <w:pPr>
        <w:pStyle w:val="ListBullet2"/>
      </w:pPr>
      <w:r w:rsidRPr="00B01E6D">
        <w:t>apply unjustifiable hardship principles to arguments presented in applications for an exception to a requirement of the BCA</w:t>
      </w:r>
    </w:p>
    <w:p w:rsidR="00000000" w:rsidRPr="00B01E6D" w:rsidP="00B01E6D">
      <w:pPr>
        <w:pStyle w:val="ListBullet2"/>
      </w:pPr>
      <w:r w:rsidRPr="00B01E6D">
        <w:t>interpret and analyse routine and non-routine situations to establish suitable methods of reporting</w:t>
      </w:r>
    </w:p>
    <w:p w:rsidR="00000000" w:rsidRPr="00B01E6D" w:rsidP="00B01E6D">
      <w:pPr>
        <w:pStyle w:val="ListBullet"/>
      </w:pPr>
      <w:r w:rsidRPr="00B01E6D">
        <w:t>application skills to:</w:t>
      </w:r>
    </w:p>
    <w:p w:rsidR="00000000" w:rsidRPr="00B01E6D" w:rsidP="00B01E6D">
      <w:pPr>
        <w:pStyle w:val="ListBullet2"/>
      </w:pPr>
      <w:r w:rsidRPr="00B01E6D">
        <w:t>apply re</w:t>
      </w:r>
      <w:r w:rsidRPr="00B01E6D">
        <w:t>levant anti-discrimination and building legislation</w:t>
      </w:r>
    </w:p>
    <w:p w:rsidR="00000000" w:rsidRPr="00B01E6D" w:rsidP="00B01E6D">
      <w:pPr>
        <w:pStyle w:val="ListBullet2"/>
      </w:pPr>
      <w:r w:rsidRPr="00B01E6D">
        <w:t>apply industry building codes of practice and ethics and other legislative requirements to work processes</w:t>
      </w:r>
    </w:p>
    <w:p w:rsidR="00000000" w:rsidRPr="00B01E6D" w:rsidP="00B01E6D">
      <w:pPr>
        <w:pStyle w:val="ListBullet2"/>
      </w:pPr>
      <w:r w:rsidRPr="00B01E6D">
        <w:t>apply disability awareness to work processes</w:t>
      </w:r>
    </w:p>
    <w:p w:rsidR="00000000" w:rsidRPr="00B01E6D" w:rsidP="00B01E6D">
      <w:pPr>
        <w:pStyle w:val="ListBullet2"/>
      </w:pPr>
      <w:r w:rsidRPr="00B01E6D">
        <w:t>apply current Australian and international building c</w:t>
      </w:r>
      <w:r w:rsidRPr="00B01E6D">
        <w:t xml:space="preserve">odes, standards, regulations and practices </w:t>
      </w:r>
    </w:p>
    <w:p w:rsidR="00000000" w:rsidRPr="00B01E6D" w:rsidP="00B01E6D">
      <w:pPr>
        <w:pStyle w:val="ListBullet"/>
      </w:pPr>
      <w:r w:rsidRPr="00B01E6D">
        <w:t>communication skills to:</w:t>
      </w:r>
    </w:p>
    <w:p w:rsidR="00000000" w:rsidRPr="00B01E6D" w:rsidP="00B01E6D">
      <w:pPr>
        <w:pStyle w:val="ListBullet2"/>
      </w:pPr>
      <w:r w:rsidRPr="00B01E6D">
        <w:t>discuss unjustifiable hardship principles, their interpretation and application</w:t>
      </w:r>
    </w:p>
    <w:p w:rsidR="00000000" w:rsidRPr="00B01E6D" w:rsidP="00B01E6D">
      <w:pPr>
        <w:pStyle w:val="ListBullet2"/>
      </w:pPr>
      <w:r w:rsidRPr="00B01E6D">
        <w:t>seek alternative advice from other experts within own field</w:t>
      </w:r>
    </w:p>
    <w:p w:rsidR="00000000" w:rsidRPr="00B01E6D" w:rsidP="00B01E6D">
      <w:pPr>
        <w:pStyle w:val="ListBullet2"/>
      </w:pPr>
      <w:r w:rsidRPr="00B01E6D">
        <w:t xml:space="preserve">seek advice from experts in areas outside own </w:t>
      </w:r>
      <w:r w:rsidRPr="00B01E6D">
        <w:t>expertise</w:t>
      </w:r>
    </w:p>
    <w:p w:rsidR="00000000" w:rsidRPr="00B01E6D" w:rsidP="00B01E6D">
      <w:pPr>
        <w:pStyle w:val="ListBullet"/>
      </w:pPr>
      <w:r w:rsidRPr="00B01E6D">
        <w:t>literacy skills to:</w:t>
      </w:r>
    </w:p>
    <w:p w:rsidR="00000000" w:rsidRPr="00B01E6D" w:rsidP="00B01E6D">
      <w:pPr>
        <w:pStyle w:val="ListBullet2"/>
      </w:pPr>
      <w:r w:rsidRPr="00B01E6D">
        <w:t>assess and use workplace information</w:t>
      </w:r>
    </w:p>
    <w:p w:rsidR="00000000" w:rsidRPr="00B01E6D" w:rsidP="00B01E6D">
      <w:pPr>
        <w:pStyle w:val="ListBullet2"/>
      </w:pPr>
      <w:r w:rsidRPr="00B01E6D">
        <w:t>read and interpret plans, specifications and structural drawings</w:t>
      </w:r>
    </w:p>
    <w:p w:rsidR="00000000" w:rsidRPr="00B01E6D" w:rsidP="00B01E6D">
      <w:pPr>
        <w:pStyle w:val="ListBullet2"/>
      </w:pPr>
      <w:r w:rsidRPr="00B01E6D">
        <w:t>read and use anatomical and medical terminology</w:t>
      </w:r>
    </w:p>
    <w:p w:rsidR="00000000" w:rsidRPr="00B01E6D" w:rsidP="00B01E6D">
      <w:pPr>
        <w:pStyle w:val="ListBullet2"/>
      </w:pPr>
      <w:r w:rsidRPr="00B01E6D">
        <w:t>read and use building and construction terminology</w:t>
      </w:r>
    </w:p>
    <w:p w:rsidR="00000000" w:rsidRPr="00B01E6D" w:rsidP="00B01E6D">
      <w:pPr>
        <w:pStyle w:val="ListBullet2"/>
      </w:pPr>
      <w:r w:rsidRPr="00B01E6D">
        <w:t>read and comprehend case</w:t>
      </w:r>
      <w:r w:rsidRPr="00B01E6D">
        <w:t xml:space="preserve"> documentation associated with claims for unjustifiable hardship</w:t>
      </w:r>
    </w:p>
    <w:p w:rsidR="00000000" w:rsidRPr="00B01E6D" w:rsidP="00B01E6D">
      <w:pPr>
        <w:pStyle w:val="ListBullet"/>
      </w:pPr>
      <w:r w:rsidRPr="00B01E6D">
        <w:t>organisational skills to:</w:t>
      </w:r>
    </w:p>
    <w:p w:rsidR="00000000" w:rsidRPr="00B01E6D" w:rsidP="00B01E6D">
      <w:pPr>
        <w:pStyle w:val="ListBullet2"/>
      </w:pPr>
      <w:r w:rsidRPr="00B01E6D">
        <w:t>confirm that all relevant case documentation is provided</w:t>
      </w:r>
    </w:p>
    <w:p w:rsidR="00000000" w:rsidRPr="00B01E6D" w:rsidP="00B01E6D">
      <w:pPr>
        <w:pStyle w:val="ListBullet2"/>
      </w:pPr>
      <w:r w:rsidRPr="00B01E6D">
        <w:t>research, reference, store and retrieve data for use in decision-making processes</w:t>
      </w:r>
    </w:p>
    <w:p w:rsidR="00000000" w:rsidRPr="00B01E6D" w:rsidP="00B01E6D">
      <w:pPr>
        <w:pStyle w:val="ListBullet"/>
      </w:pPr>
      <w:r w:rsidRPr="00B01E6D">
        <w:t>interpersonal skills to:</w:t>
      </w:r>
    </w:p>
    <w:p w:rsidR="00000000" w:rsidRPr="00B01E6D" w:rsidP="00B01E6D">
      <w:pPr>
        <w:pStyle w:val="ListBullet2"/>
      </w:pPr>
      <w:r w:rsidRPr="00B01E6D">
        <w:t>relate to people from a range of social, cultural and ethnic backgrounds and with a range of physical and mental abilities</w:t>
      </w:r>
    </w:p>
    <w:p w:rsidR="00000000" w:rsidRPr="00B01E6D" w:rsidP="00B01E6D">
      <w:pPr>
        <w:pStyle w:val="ListBullet2"/>
      </w:pPr>
      <w:r w:rsidRPr="00B01E6D">
        <w:t>seek and obtain information in a sensitive and appropriate manner</w:t>
      </w:r>
    </w:p>
    <w:p w:rsidR="00000000" w:rsidRPr="00B01E6D" w:rsidP="00B01E6D">
      <w:pPr>
        <w:pStyle w:val="ListBullet2"/>
      </w:pPr>
      <w:r w:rsidRPr="00B01E6D">
        <w:t>facilitate change for greater awareness of disability access</w:t>
      </w:r>
    </w:p>
    <w:p w:rsidR="00000000" w:rsidRPr="00B01E6D" w:rsidP="00B01E6D">
      <w:pPr>
        <w:pStyle w:val="ListBullet2"/>
      </w:pPr>
      <w:r w:rsidRPr="00B01E6D">
        <w:t>analy</w:t>
      </w:r>
      <w:r w:rsidRPr="00B01E6D">
        <w:t>se own work practices and process outcomes critically</w:t>
      </w:r>
    </w:p>
    <w:p w:rsidR="00000000" w:rsidRPr="00B01E6D" w:rsidP="00B01E6D">
      <w:pPr>
        <w:pStyle w:val="ListBullet2"/>
      </w:pPr>
      <w:r w:rsidRPr="00B01E6D">
        <w:t>engage colleagues and share disability access knowledge</w:t>
      </w:r>
    </w:p>
    <w:p w:rsidR="00000000" w:rsidRPr="00B01E6D" w:rsidP="00B01E6D">
      <w:pPr>
        <w:pStyle w:val="ListBullet2"/>
      </w:pPr>
      <w:r w:rsidRPr="00B01E6D">
        <w:t>adapt to new workplace situations</w:t>
      </w:r>
    </w:p>
    <w:p w:rsidR="00000000" w:rsidRPr="00B01E6D" w:rsidP="00B01E6D">
      <w:pPr>
        <w:pStyle w:val="ListBullet"/>
      </w:pPr>
      <w:r w:rsidRPr="00B01E6D">
        <w:t>personal attributes relating to:</w:t>
      </w:r>
    </w:p>
    <w:p w:rsidR="00000000" w:rsidRPr="00B01E6D" w:rsidP="00B01E6D">
      <w:pPr>
        <w:pStyle w:val="ListBullet2"/>
      </w:pPr>
      <w:r w:rsidRPr="00B01E6D">
        <w:t>impartiality</w:t>
      </w:r>
    </w:p>
    <w:p w:rsidR="00000000" w:rsidRPr="00B01E6D" w:rsidP="00B01E6D">
      <w:pPr>
        <w:pStyle w:val="ListBullet2"/>
      </w:pPr>
      <w:r w:rsidRPr="00B01E6D">
        <w:t>fairness</w:t>
      </w:r>
    </w:p>
    <w:p w:rsidR="00000000" w:rsidRPr="00B01E6D" w:rsidP="00B01E6D">
      <w:pPr>
        <w:pStyle w:val="ListBullet2"/>
      </w:pPr>
      <w:r w:rsidRPr="00B01E6D">
        <w:t>independence</w:t>
      </w:r>
    </w:p>
    <w:p w:rsidR="00000000" w:rsidRPr="00B01E6D" w:rsidP="00B01E6D">
      <w:pPr>
        <w:pStyle w:val="ListBullet2"/>
      </w:pPr>
      <w:r w:rsidRPr="00B01E6D">
        <w:t>objectivity</w:t>
      </w:r>
    </w:p>
    <w:p w:rsidR="00000000" w:rsidRPr="00B01E6D" w:rsidP="00B01E6D">
      <w:pPr>
        <w:pStyle w:val="ListBullet2"/>
      </w:pPr>
      <w:r w:rsidRPr="00B01E6D">
        <w:t>confidentiality</w:t>
      </w:r>
    </w:p>
    <w:p w:rsidR="00000000" w:rsidRPr="00B01E6D" w:rsidP="00B01E6D">
      <w:pPr>
        <w:pStyle w:val="ListBullet2"/>
      </w:pPr>
      <w:r w:rsidRPr="00B01E6D">
        <w:t>respect</w:t>
      </w:r>
    </w:p>
    <w:p w:rsidR="00000000" w:rsidRPr="00B01E6D" w:rsidP="00B01E6D">
      <w:pPr>
        <w:pStyle w:val="ListBullet"/>
      </w:pPr>
      <w:r w:rsidRPr="00B01E6D">
        <w:t>researc</w:t>
      </w:r>
      <w:r w:rsidRPr="00B01E6D">
        <w:t>h skills to:</w:t>
      </w:r>
    </w:p>
    <w:p w:rsidR="00000000" w:rsidRPr="00B01E6D" w:rsidP="00B01E6D">
      <w:pPr>
        <w:pStyle w:val="ListBullet2"/>
      </w:pPr>
      <w:r w:rsidRPr="00B01E6D">
        <w:t>initiate searches for information relevant to claims for unjustifiable hardship</w:t>
      </w:r>
    </w:p>
    <w:p w:rsidR="00000000" w:rsidRPr="00B01E6D" w:rsidP="00B01E6D">
      <w:pPr>
        <w:pStyle w:val="ListBullet2"/>
      </w:pPr>
      <w:r w:rsidRPr="00B01E6D">
        <w:t>source, analyse and evaluate building legislative requirements</w:t>
      </w:r>
    </w:p>
    <w:p w:rsidR="00000000" w:rsidRPr="00B01E6D" w:rsidP="00B01E6D">
      <w:pPr>
        <w:pStyle w:val="ListBullet2"/>
      </w:pPr>
      <w:r w:rsidRPr="00B01E6D">
        <w:t>source, analyse and evaluate legislative requirements for the provision of access</w:t>
      </w:r>
    </w:p>
    <w:p w:rsidR="00000000" w:rsidRPr="00B01E6D" w:rsidP="00B01E6D">
      <w:pPr>
        <w:pStyle w:val="ListBullet"/>
      </w:pPr>
      <w:r w:rsidRPr="00B01E6D">
        <w:t>technical skills to:</w:t>
      </w:r>
    </w:p>
    <w:p w:rsidR="00054D9D" w:rsidP="00B01E6D">
      <w:pPr>
        <w:pStyle w:val="ListBullet2"/>
      </w:pPr>
      <w:r w:rsidRPr="00B01E6D">
        <w:t>participate in decision-making processes.</w:t>
      </w:r>
    </w:p>
    <w:p w:rsidR="00054D9D" w:rsidP="00B01E6D">
      <w:pPr>
        <w:pStyle w:val="ListBullet2"/>
      </w:pPr>
    </w:p>
    <w:p w:rsidR="00000000" w:rsidRPr="00B01E6D" w:rsidP="00B01E6D">
      <w:pPr>
        <w:pStyle w:val="Heading1"/>
      </w:pPr>
      <w:bookmarkStart w:id="10" w:name="O_242698"/>
      <w:bookmarkEnd w:id="10"/>
      <w:r w:rsidRPr="00B01E6D">
        <w:t>Evidence Guide</w:t>
      </w:r>
    </w:p>
    <w:p w:rsidR="00000000" w:rsidRPr="00B01E6D" w:rsidP="00B01E6D">
      <w:pPr>
        <w:pStyle w:val="BodyText"/>
      </w:pPr>
      <w:r w:rsidRPr="00B01E6D">
        <w:rPr>
          <w:rStyle w:val="SpecialBold"/>
        </w:rPr>
        <w:t>EVIDENCE GUIDE</w:t>
      </w:r>
    </w:p>
    <w:p w:rsidR="00000000" w:rsidRPr="00B01E6D" w:rsidP="00B01E6D">
      <w:pPr>
        <w:pStyle w:val="BodyText"/>
      </w:pPr>
      <w:r w:rsidRPr="00B01E6D">
        <w:t xml:space="preserve">The evidence guide provides advice on assessment and must be read in conjunction with the performance criteria, required skills and knowledge, </w:t>
      </w:r>
      <w:r w:rsidRPr="00B01E6D">
        <w:t>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054D9D">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B01E6D">
            <w:pPr>
              <w:pStyle w:val="ListBullet"/>
              <w:rPr>
                <w:lang w:val="en-NZ"/>
              </w:rPr>
            </w:pPr>
            <w:r w:rsidRPr="00B01E6D">
              <w:t>This unit of competency could be assessed on its own or as part of an integrated assessment activity involving other competencies relevant to the job functi</w:t>
            </w:r>
            <w:r w:rsidRPr="00B01E6D">
              <w:t>on.</w:t>
            </w:r>
          </w:p>
        </w:tc>
      </w:tr>
      <w:tr w:rsidTr="00054D9D">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B01E6D" w:rsidP="00B01E6D">
            <w:pPr>
              <w:pStyle w:val="ListBullet"/>
            </w:pPr>
            <w:r w:rsidRPr="00B01E6D">
              <w:t>A person who demonstrates competency in this unit must be able to provide evidence of:</w:t>
            </w:r>
          </w:p>
          <w:p w:rsidR="00000000" w:rsidRPr="00B01E6D" w:rsidP="00B01E6D">
            <w:pPr>
              <w:pStyle w:val="ListBullet2"/>
            </w:pPr>
            <w:r w:rsidRPr="00B01E6D">
              <w:t>recognising the needs and desires of people with disabilities to engage fully in all aspects of society, and their right to do so</w:t>
            </w:r>
          </w:p>
          <w:p w:rsidR="00000000" w:rsidRPr="00B01E6D" w:rsidP="00B01E6D">
            <w:pPr>
              <w:pStyle w:val="ListBullet2"/>
            </w:pPr>
            <w:r w:rsidRPr="00B01E6D">
              <w:t>interpreting accurately the impacts of the full range of disabilities and the limitations that each disability places on the i</w:t>
            </w:r>
            <w:r w:rsidRPr="00B01E6D">
              <w:t>ndividual's ability to access the environment</w:t>
            </w:r>
          </w:p>
          <w:p w:rsidR="00000000" w:rsidRPr="00B01E6D" w:rsidP="00B01E6D">
            <w:pPr>
              <w:pStyle w:val="ListBullet2"/>
            </w:pPr>
            <w:r w:rsidRPr="00B01E6D">
              <w:t>interpreting accurately how the full range of environmental barriers impact on any of the impairments that people with disabilities might have</w:t>
            </w:r>
          </w:p>
          <w:p w:rsidR="00000000" w:rsidRPr="00B01E6D" w:rsidP="00B01E6D">
            <w:pPr>
              <w:pStyle w:val="ListBullet2"/>
            </w:pPr>
            <w:r w:rsidRPr="00B01E6D">
              <w:t>applying disability awareness to the provision of access for people</w:t>
            </w:r>
            <w:r w:rsidRPr="00B01E6D">
              <w:t xml:space="preserve"> with disabilities</w:t>
            </w:r>
          </w:p>
          <w:p w:rsidR="00000000" w:rsidRPr="00B01E6D" w:rsidP="00B01E6D">
            <w:pPr>
              <w:pStyle w:val="ListBullet2"/>
            </w:pPr>
            <w:r w:rsidRPr="00B01E6D">
              <w:t>interpreting and applying the unjustifiable hardship provisions of the BCA to Building Upgrade Plans, Alternative Building Solutions and applications for exception from a requirement of the BCA</w:t>
            </w:r>
          </w:p>
          <w:p w:rsidR="00000000" w:rsidRPr="00B01E6D" w:rsidP="00B01E6D">
            <w:pPr>
              <w:pStyle w:val="ListBullet2"/>
            </w:pPr>
            <w:r w:rsidRPr="00B01E6D">
              <w:t>conducting a technical assessment of Buildi</w:t>
            </w:r>
            <w:r w:rsidRPr="00B01E6D">
              <w:t>ng Upgrade Plans, Alternative Building Solutions and applications for exception in accordance with the Process to Administer Access to Buildings (The Protocol)</w:t>
            </w:r>
          </w:p>
          <w:p w:rsidR="00000000" w:rsidRPr="00B01E6D" w:rsidP="00B01E6D">
            <w:pPr>
              <w:pStyle w:val="ListBullet2"/>
            </w:pPr>
            <w:r w:rsidRPr="00B01E6D">
              <w:t>complying with OHS regulations applicable to workplace operations</w:t>
            </w:r>
          </w:p>
          <w:p w:rsidR="00000000" w:rsidRPr="00B01E6D" w:rsidP="00B01E6D">
            <w:pPr>
              <w:pStyle w:val="ListBullet2"/>
            </w:pPr>
            <w:r w:rsidRPr="00B01E6D">
              <w:t xml:space="preserve">reporting assessment findings </w:t>
            </w:r>
            <w:r w:rsidRPr="00B01E6D">
              <w:t>within the context of the relevant legislation, BCA and Australian standards</w:t>
            </w:r>
          </w:p>
          <w:p w:rsidR="00000000" w:rsidP="00B01E6D">
            <w:pPr>
              <w:pStyle w:val="ListBullet2"/>
              <w:rPr>
                <w:lang w:val="en-NZ"/>
              </w:rPr>
            </w:pPr>
            <w:r w:rsidRPr="00B01E6D">
              <w:t>applying organisational management policies and procedures, including quality assurance requirements.</w:t>
            </w:r>
          </w:p>
        </w:tc>
      </w:tr>
      <w:tr w:rsidTr="00054D9D">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B01E6D" w:rsidP="00B01E6D">
            <w:pPr>
              <w:pStyle w:val="ListBullet"/>
            </w:pPr>
            <w:r w:rsidRPr="00B01E6D">
              <w:t>Resource implications for assessment include:</w:t>
            </w:r>
          </w:p>
          <w:p w:rsidR="00000000" w:rsidRPr="00B01E6D" w:rsidP="00B01E6D">
            <w:pPr>
              <w:pStyle w:val="ListBullet2"/>
            </w:pPr>
            <w:r w:rsidRPr="00B01E6D">
              <w:t>a registered provider of assessment services</w:t>
            </w:r>
          </w:p>
          <w:p w:rsidR="00000000" w:rsidRPr="00B01E6D" w:rsidP="00B01E6D">
            <w:pPr>
              <w:pStyle w:val="ListBullet2"/>
            </w:pPr>
            <w:r w:rsidRPr="00B01E6D">
              <w:t>competency standards</w:t>
            </w:r>
          </w:p>
          <w:p w:rsidR="00000000" w:rsidRPr="00B01E6D" w:rsidP="00B01E6D">
            <w:pPr>
              <w:pStyle w:val="ListBullet2"/>
            </w:pPr>
            <w:r w:rsidRPr="00B01E6D">
              <w:t>assessment materials and tools</w:t>
            </w:r>
          </w:p>
          <w:p w:rsidR="00000000" w:rsidRPr="00B01E6D" w:rsidP="00B01E6D">
            <w:pPr>
              <w:pStyle w:val="ListBullet2"/>
            </w:pPr>
            <w:r w:rsidRPr="00B01E6D">
              <w:t>suitable assessment venue/equipment</w:t>
            </w:r>
          </w:p>
          <w:p w:rsidR="00000000" w:rsidRPr="00B01E6D" w:rsidP="00B01E6D">
            <w:pPr>
              <w:pStyle w:val="ListBullet2"/>
            </w:pPr>
            <w:r w:rsidRPr="00B01E6D">
              <w:t>workplace documentation</w:t>
            </w:r>
          </w:p>
          <w:p w:rsidR="00000000" w:rsidRPr="00B01E6D" w:rsidP="00B01E6D">
            <w:pPr>
              <w:pStyle w:val="ListBullet2"/>
            </w:pPr>
            <w:r w:rsidRPr="00B01E6D">
              <w:t>candidate special requirements</w:t>
            </w:r>
          </w:p>
          <w:p w:rsidR="00000000" w:rsidRPr="00B01E6D" w:rsidP="00B01E6D">
            <w:pPr>
              <w:pStyle w:val="ListBullet2"/>
            </w:pPr>
            <w:r w:rsidRPr="00B01E6D">
              <w:t>cost and time conside</w:t>
            </w:r>
            <w:r w:rsidRPr="00B01E6D">
              <w:t>rations.</w:t>
            </w:r>
          </w:p>
          <w:p w:rsidR="00000000" w:rsidRPr="00B01E6D" w:rsidP="00B01E6D">
            <w:pPr>
              <w:pStyle w:val="ListBullet"/>
            </w:pPr>
            <w:r w:rsidRPr="00B01E6D">
              <w:t>Validity and sufficiency of evidence requires that:</w:t>
            </w:r>
          </w:p>
          <w:p w:rsidR="00000000" w:rsidRPr="00B01E6D" w:rsidP="00B01E6D">
            <w:pPr>
              <w:pStyle w:val="ListBullet2"/>
            </w:pPr>
            <w:r w:rsidRPr="00B01E6D">
              <w:t>competency will need to be demonstrated over a period of time reflecting the scope of the role</w:t>
            </w:r>
          </w:p>
          <w:p w:rsidR="00000000" w:rsidRPr="00B01E6D" w:rsidP="00B01E6D">
            <w:pPr>
              <w:pStyle w:val="ListBullet2"/>
            </w:pPr>
            <w:r w:rsidRPr="00B01E6D">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B01E6D">
              <w:t>the point when the assessor has complete confidence in the person's competence</w:t>
            </w:r>
          </w:p>
          <w:p w:rsidR="00000000" w:rsidRPr="00B01E6D" w:rsidP="00B01E6D">
            <w:pPr>
              <w:pStyle w:val="ListBullet2"/>
            </w:pPr>
            <w:r w:rsidRPr="00B01E6D">
              <w:t>all assessment that is part of a structured learning experience must include a combination of direct, indirect and supplementary evidence</w:t>
            </w:r>
          </w:p>
          <w:p w:rsidR="00000000" w:rsidRPr="00B01E6D" w:rsidP="00B01E6D">
            <w:pPr>
              <w:pStyle w:val="ListBullet2"/>
            </w:pPr>
            <w:r w:rsidRPr="00B01E6D">
              <w:t xml:space="preserve">where assessment is for the purpose of </w:t>
            </w:r>
            <w:r w:rsidRPr="00B01E6D">
              <w:t>recognition (RCC/RPL), the evidence provided will need to be current and show that it represents competency demonstrated over a period of time</w:t>
            </w:r>
          </w:p>
          <w:p w:rsidR="00000000" w:rsidRPr="00B01E6D" w:rsidP="00B01E6D">
            <w:pPr>
              <w:pStyle w:val="ListBullet2"/>
            </w:pPr>
            <w:r w:rsidRPr="00B01E6D">
              <w:t>assessment can be through simulated project-based activity and must include evidence relating to each of the elem</w:t>
            </w:r>
            <w:r w:rsidRPr="00B01E6D">
              <w:t>ents in this unit.</w:t>
            </w:r>
          </w:p>
        </w:tc>
      </w:tr>
    </w:tbl>
    <w:p w:rsidR="00054D9D" w:rsidP="00B01E6D">
      <w:pPr>
        <w:pStyle w:val="BodyText"/>
      </w:pPr>
    </w:p>
    <w:p w:rsidR="00054D9D" w:rsidP="00B01E6D">
      <w:pPr>
        <w:pStyle w:val="BodyText"/>
      </w:pPr>
    </w:p>
    <w:p w:rsidR="00000000" w:rsidRPr="00B01E6D" w:rsidP="00B01E6D">
      <w:pPr>
        <w:pStyle w:val="Heading1"/>
      </w:pPr>
      <w:bookmarkStart w:id="11" w:name="O_250681"/>
      <w:bookmarkEnd w:id="11"/>
      <w:r w:rsidRPr="00B01E6D">
        <w:t>Range Statement</w:t>
      </w:r>
    </w:p>
    <w:p w:rsidR="00000000" w:rsidRPr="00B01E6D" w:rsidP="00B01E6D">
      <w:pPr>
        <w:pStyle w:val="BodyText"/>
      </w:pPr>
      <w:r w:rsidRPr="00B01E6D">
        <w:rPr>
          <w:rStyle w:val="SpecialBold"/>
        </w:rPr>
        <w:t>RANGE STATEMENT</w:t>
      </w:r>
    </w:p>
    <w:p w:rsidR="00000000" w:rsidRPr="00B01E6D" w:rsidP="00B01E6D">
      <w:pPr>
        <w:pStyle w:val="BodyText"/>
      </w:pPr>
      <w:r w:rsidRPr="00B01E6D">
        <w:t>The range statement relates to the unit of competency as a whole. It allows for different work environments and situations that may affect performance. Bold italicised wording in the performance criteria is detailed below. Add any essential operating condi</w:t>
      </w:r>
      <w:r w:rsidRPr="00B01E6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054D9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BoldandItalics"/>
              </w:rPr>
              <w:t>Building Upgrade Plan</w:t>
            </w:r>
            <w:r w:rsidRPr="00B01E6D">
              <w:t xml:space="preserve"> means:</w:t>
            </w:r>
          </w:p>
        </w:tc>
        <w:tc>
          <w:tcPr>
            <w:tcW w:w="5606" w:type="dxa"/>
            <w:tcBorders>
              <w:top w:val="nil"/>
              <w:left w:val="nil"/>
              <w:bottom w:val="nil"/>
              <w:right w:val="nil"/>
            </w:tcBorders>
            <w:tcMar>
              <w:top w:w="0" w:type="dxa"/>
              <w:left w:w="62" w:type="dxa"/>
              <w:bottom w:w="0" w:type="dxa"/>
              <w:right w:w="62" w:type="dxa"/>
            </w:tcMar>
          </w:tcPr>
          <w:p w:rsidR="00000000" w:rsidP="00B01E6D">
            <w:pPr>
              <w:pStyle w:val="ListBullet"/>
              <w:rPr>
                <w:lang w:val="en-NZ"/>
              </w:rPr>
            </w:pPr>
            <w:r w:rsidRPr="00B01E6D">
              <w:t>a plan for upgrading the accessibility of an e</w:t>
            </w:r>
            <w:r w:rsidRPr="00B01E6D">
              <w:t>xisting building over time.</w:t>
            </w:r>
          </w:p>
        </w:tc>
      </w:tr>
      <w:tr w:rsidTr="00054D9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BoldandItalics"/>
              </w:rPr>
              <w:t>Alternative Building Solution</w:t>
            </w:r>
            <w:r w:rsidRPr="00B01E6D">
              <w:t xml:space="preserve"> means: </w:t>
            </w:r>
          </w:p>
        </w:tc>
        <w:tc>
          <w:tcPr>
            <w:tcW w:w="5606" w:type="dxa"/>
            <w:tcBorders>
              <w:top w:val="nil"/>
              <w:left w:val="nil"/>
              <w:bottom w:val="nil"/>
              <w:right w:val="nil"/>
            </w:tcBorders>
            <w:tcMar>
              <w:top w:w="0" w:type="dxa"/>
              <w:left w:w="62" w:type="dxa"/>
              <w:bottom w:w="0" w:type="dxa"/>
              <w:right w:w="62" w:type="dxa"/>
            </w:tcMar>
          </w:tcPr>
          <w:p w:rsidR="00000000" w:rsidP="00B01E6D">
            <w:pPr>
              <w:pStyle w:val="ListBullet"/>
              <w:rPr>
                <w:lang w:val="en-NZ"/>
              </w:rPr>
            </w:pPr>
            <w:r w:rsidRPr="00B01E6D">
              <w:t>a building solution that complies with BCA performance requirements, other than by reason of satisfying the Deemed-to-Satisfy provisions.</w:t>
            </w:r>
          </w:p>
        </w:tc>
      </w:tr>
      <w:tr w:rsidTr="00054D9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t xml:space="preserve">An </w:t>
            </w:r>
            <w:r w:rsidRPr="00B01E6D">
              <w:rPr>
                <w:rStyle w:val="BoldandItalics"/>
              </w:rPr>
              <w:t>application for exception from a requirement of</w:t>
            </w:r>
            <w:r w:rsidRPr="00B01E6D">
              <w:rPr>
                <w:rStyle w:val="BoldandItalics"/>
              </w:rPr>
              <w:t xml:space="preserve"> the BCA</w:t>
            </w:r>
            <w:r w:rsidRPr="00B01E6D">
              <w:t xml:space="preserve"> refers to:</w:t>
            </w:r>
          </w:p>
        </w:tc>
        <w:tc>
          <w:tcPr>
            <w:tcW w:w="5606" w:type="dxa"/>
            <w:tcBorders>
              <w:top w:val="nil"/>
              <w:left w:val="nil"/>
              <w:bottom w:val="nil"/>
              <w:right w:val="nil"/>
            </w:tcBorders>
            <w:tcMar>
              <w:top w:w="0" w:type="dxa"/>
              <w:left w:w="62" w:type="dxa"/>
              <w:bottom w:w="0" w:type="dxa"/>
              <w:right w:w="62" w:type="dxa"/>
            </w:tcMar>
          </w:tcPr>
          <w:p w:rsidR="00000000" w:rsidP="00B01E6D">
            <w:pPr>
              <w:pStyle w:val="ListBullet"/>
              <w:rPr>
                <w:lang w:val="en-NZ"/>
              </w:rPr>
            </w:pPr>
            <w:r w:rsidRPr="00B01E6D">
              <w:t>a process under the Building Access Regulatory Compliance Process that allows applicants to seek an exception from a requirement of the BCA.</w:t>
            </w:r>
          </w:p>
        </w:tc>
      </w:tr>
      <w:tr w:rsidTr="00054D9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BoldandItalics"/>
              </w:rPr>
              <w:t>Legislative requirements</w:t>
            </w:r>
            <w:r w:rsidRPr="00B01E6D">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01E6D" w:rsidP="00B01E6D">
            <w:pPr>
              <w:pStyle w:val="ListBullet"/>
            </w:pPr>
            <w:r w:rsidRPr="00B01E6D">
              <w:t>DDA</w:t>
            </w:r>
          </w:p>
          <w:p w:rsidR="00000000" w:rsidRPr="00B01E6D" w:rsidP="00B01E6D">
            <w:pPr>
              <w:pStyle w:val="ListBullet"/>
            </w:pPr>
            <w:r w:rsidRPr="00B01E6D">
              <w:t>commonwealth, state and territory anti-discriminatio</w:t>
            </w:r>
            <w:r w:rsidRPr="00B01E6D">
              <w:t>n legislation and regulations</w:t>
            </w:r>
          </w:p>
          <w:p w:rsidR="00000000" w:rsidRPr="00B01E6D" w:rsidP="00B01E6D">
            <w:pPr>
              <w:pStyle w:val="ListBullet"/>
            </w:pPr>
            <w:r w:rsidRPr="00B01E6D">
              <w:t>DDA Premises Standard</w:t>
            </w:r>
          </w:p>
          <w:p w:rsidR="00000000" w:rsidRPr="00B01E6D" w:rsidP="00B01E6D">
            <w:pPr>
              <w:pStyle w:val="ListBullet"/>
            </w:pPr>
            <w:r w:rsidRPr="00B01E6D">
              <w:t>BCA</w:t>
            </w:r>
          </w:p>
          <w:p w:rsidR="00000000" w:rsidRPr="00B01E6D" w:rsidP="00B01E6D">
            <w:pPr>
              <w:pStyle w:val="ListBullet"/>
            </w:pPr>
            <w:r w:rsidRPr="00B01E6D">
              <w:t>Australian standards</w:t>
            </w:r>
          </w:p>
          <w:p w:rsidR="00000000" w:rsidRPr="00B01E6D" w:rsidP="00B01E6D">
            <w:pPr>
              <w:pStyle w:val="ListBullet"/>
            </w:pPr>
            <w:r w:rsidRPr="00B01E6D">
              <w:t>international codes and standards</w:t>
            </w:r>
          </w:p>
          <w:p w:rsidR="00000000" w:rsidP="00B01E6D">
            <w:pPr>
              <w:pStyle w:val="ListBullet"/>
              <w:rPr>
                <w:lang w:val="en-NZ"/>
              </w:rPr>
            </w:pPr>
            <w:r w:rsidRPr="00B01E6D">
              <w:t>Process to Administer Access to Buildings (The Protocol).</w:t>
            </w:r>
          </w:p>
        </w:tc>
      </w:tr>
      <w:tr w:rsidTr="00054D9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01E6D">
            <w:pPr>
              <w:pStyle w:val="BodyText"/>
              <w:rPr>
                <w:lang w:val="en-NZ"/>
              </w:rPr>
            </w:pPr>
            <w:r w:rsidRPr="00B01E6D">
              <w:rPr>
                <w:rStyle w:val="BoldandItalics"/>
              </w:rPr>
              <w:t>Unjustifiable hardship considerations</w:t>
            </w:r>
            <w:r w:rsidRPr="00B01E6D">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01E6D" w:rsidP="00B01E6D">
            <w:pPr>
              <w:pStyle w:val="ListBullet"/>
            </w:pPr>
            <w:r w:rsidRPr="00B01E6D">
              <w:t>the financial viability of a project</w:t>
            </w:r>
          </w:p>
          <w:p w:rsidR="00000000" w:rsidRPr="00B01E6D" w:rsidP="00B01E6D">
            <w:pPr>
              <w:pStyle w:val="ListBullet"/>
            </w:pPr>
            <w:r w:rsidRPr="00B01E6D">
              <w:t>the involvement of public funds in the building work</w:t>
            </w:r>
          </w:p>
          <w:p w:rsidR="00000000" w:rsidRPr="00B01E6D" w:rsidP="00B01E6D">
            <w:pPr>
              <w:pStyle w:val="ListBullet"/>
            </w:pPr>
            <w:r w:rsidRPr="00B01E6D">
              <w:t>the extent of the benefit from providing access</w:t>
            </w:r>
          </w:p>
          <w:p w:rsidR="00000000" w:rsidRPr="00B01E6D" w:rsidP="00B01E6D">
            <w:pPr>
              <w:pStyle w:val="ListBullet"/>
            </w:pPr>
            <w:r w:rsidRPr="00B01E6D">
              <w:t>the significance of any heritage value of features in a building that may be affected by the provision of access</w:t>
            </w:r>
          </w:p>
          <w:p w:rsidR="00000000" w:rsidRPr="00B01E6D" w:rsidP="00B01E6D">
            <w:pPr>
              <w:pStyle w:val="ListBullet"/>
            </w:pPr>
            <w:r w:rsidRPr="00B01E6D">
              <w:t>techn</w:t>
            </w:r>
            <w:r w:rsidRPr="00B01E6D">
              <w:t>ical limits</w:t>
            </w:r>
          </w:p>
          <w:p w:rsidR="00000000" w:rsidRPr="00B01E6D" w:rsidP="00B01E6D">
            <w:pPr>
              <w:pStyle w:val="ListBullet"/>
            </w:pPr>
            <w:r w:rsidRPr="00B01E6D">
              <w:t>topographical restrictions or other site constraints</w:t>
            </w:r>
          </w:p>
          <w:p w:rsidR="00000000" w:rsidRPr="00B01E6D" w:rsidP="00B01E6D">
            <w:pPr>
              <w:pStyle w:val="ListBullet"/>
            </w:pPr>
            <w:r w:rsidRPr="00B01E6D">
              <w:t>any relevant safety or health factors</w:t>
            </w:r>
          </w:p>
          <w:p w:rsidR="00000000" w:rsidRPr="00B01E6D" w:rsidP="00B01E6D">
            <w:pPr>
              <w:pStyle w:val="ListBullet"/>
            </w:pPr>
            <w:r w:rsidRPr="00B01E6D">
              <w:t>the requirements of other legislation.</w:t>
            </w:r>
          </w:p>
        </w:tc>
      </w:tr>
    </w:tbl>
    <w:p w:rsidR="00054D9D" w:rsidP="00B01E6D">
      <w:pPr>
        <w:pStyle w:val="BodyText"/>
      </w:pPr>
    </w:p>
    <w:p w:rsidR="00054D9D" w:rsidP="00B01E6D">
      <w:pPr>
        <w:pStyle w:val="BodyText"/>
      </w:pPr>
    </w:p>
    <w:p w:rsidR="00000000" w:rsidRPr="00B01E6D" w:rsidP="00B01E6D">
      <w:pPr>
        <w:pStyle w:val="Heading1"/>
      </w:pPr>
      <w:bookmarkStart w:id="12" w:name="O_200653"/>
      <w:bookmarkEnd w:id="12"/>
      <w:r w:rsidRPr="00B01E6D">
        <w:t>Unit Sector(s)</w:t>
      </w:r>
    </w:p>
    <w:p w:rsidR="00000000" w:rsidRPr="00B01E6D" w:rsidP="00B01E6D">
      <w:pPr>
        <w:pStyle w:val="BodyText"/>
      </w:pPr>
      <w:r w:rsidRPr="00B01E6D">
        <w:rPr>
          <w:rStyle w:val="SpecialBold"/>
        </w:rPr>
        <w:t>Unit sector</w:t>
      </w:r>
    </w:p>
    <w:p w:rsidR="00054D9D" w:rsidP="00B01E6D">
      <w:pPr>
        <w:pStyle w:val="BodyText"/>
      </w:pPr>
      <w:r w:rsidRPr="00B01E6D">
        <w:t>Access consulting</w:t>
      </w:r>
    </w:p>
    <w:p w:rsidR="00054D9D" w:rsidP="00B01E6D">
      <w:pPr>
        <w:pStyle w:val="BodyText"/>
      </w:pPr>
    </w:p>
    <w:p w:rsidR="00000000" w:rsidRPr="00B01E6D" w:rsidP="00B01E6D"/>
    <w:sectPr w:rsidSect="00B01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D9D" w:rsidP="00054D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9D" w:rsidP="00B01E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4D9D" w:rsidP="00B01E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4D9D" w:rsidP="00B01E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6D" w:rsidRPr="00054D9D" w:rsidP="00054D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9D" w:rsidRPr="002D2AF8" w:rsidP="00B01E6D">
    <w:pPr>
      <w:pStyle w:val="Header"/>
      <w:framePr w:wrap="around"/>
    </w:pPr>
    <w:r>
      <w:fldChar w:fldCharType="begin"/>
    </w:r>
    <w:r>
      <w:instrText xml:space="preserve"> TITLE   \* MERGEFORMAT </w:instrText>
    </w:r>
    <w:r>
      <w:fldChar w:fldCharType="separate"/>
    </w:r>
    <w:r>
      <w:t>CPPACC6003A Apply unjustifiable hardship principles to Alternative Building Solutions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54D9D" w:rsidP="00B01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AD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69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427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E6D"/>
    <w:pPr>
      <w:spacing w:before="360" w:after="60"/>
      <w:outlineLvl w:val="0"/>
    </w:pPr>
    <w:rPr>
      <w:sz w:val="32"/>
    </w:rPr>
  </w:style>
  <w:style w:type="paragraph" w:styleId="Heading2">
    <w:name w:val="heading 2"/>
    <w:basedOn w:val="HeadingBase"/>
    <w:next w:val="BodyText"/>
    <w:link w:val="Heading2Char"/>
    <w:qFormat/>
    <w:rsid w:val="00B01E6D"/>
    <w:pPr>
      <w:keepLines/>
      <w:spacing w:before="240" w:after="120"/>
      <w:outlineLvl w:val="1"/>
    </w:pPr>
    <w:rPr>
      <w:sz w:val="28"/>
      <w:szCs w:val="40"/>
    </w:rPr>
  </w:style>
  <w:style w:type="paragraph" w:styleId="Heading3">
    <w:name w:val="heading 3"/>
    <w:basedOn w:val="HeadingBase"/>
    <w:next w:val="BodyText"/>
    <w:link w:val="Heading3Char"/>
    <w:qFormat/>
    <w:rsid w:val="00B01E6D"/>
    <w:pPr>
      <w:spacing w:before="180" w:after="120"/>
      <w:outlineLvl w:val="2"/>
    </w:pPr>
    <w:rPr>
      <w:spacing w:val="-10"/>
      <w:kern w:val="32"/>
    </w:rPr>
  </w:style>
  <w:style w:type="paragraph" w:styleId="Heading4">
    <w:name w:val="heading 4"/>
    <w:basedOn w:val="HeadingBase"/>
    <w:next w:val="BodyText"/>
    <w:link w:val="Heading4Char"/>
    <w:qFormat/>
    <w:rsid w:val="00B01E6D"/>
    <w:pPr>
      <w:spacing w:before="160" w:after="120"/>
      <w:outlineLvl w:val="3"/>
    </w:pPr>
    <w:rPr>
      <w:sz w:val="22"/>
    </w:rPr>
  </w:style>
  <w:style w:type="paragraph" w:styleId="Heading5">
    <w:name w:val="heading 5"/>
    <w:basedOn w:val="HeadingBase"/>
    <w:next w:val="Normal"/>
    <w:link w:val="Heading5Char"/>
    <w:qFormat/>
    <w:rsid w:val="00B01E6D"/>
    <w:pPr>
      <w:spacing w:before="80"/>
      <w:outlineLvl w:val="4"/>
    </w:pPr>
    <w:rPr>
      <w:color w:val="918585"/>
      <w:sz w:val="20"/>
    </w:rPr>
  </w:style>
  <w:style w:type="paragraph" w:styleId="Heading6">
    <w:name w:val="heading 6"/>
    <w:basedOn w:val="HeadingBase"/>
    <w:next w:val="Normal"/>
    <w:link w:val="Heading6Char"/>
    <w:qFormat/>
    <w:rsid w:val="00B01E6D"/>
    <w:pPr>
      <w:spacing w:before="60"/>
      <w:outlineLvl w:val="5"/>
    </w:pPr>
    <w:rPr>
      <w:color w:val="918585"/>
      <w:sz w:val="20"/>
    </w:rPr>
  </w:style>
  <w:style w:type="paragraph" w:styleId="Heading7">
    <w:name w:val="heading 7"/>
    <w:basedOn w:val="Normal"/>
    <w:next w:val="Normal"/>
    <w:link w:val="Heading7Char"/>
    <w:qFormat/>
    <w:rsid w:val="00B01E6D"/>
    <w:pPr>
      <w:ind w:left="720"/>
      <w:outlineLvl w:val="6"/>
    </w:pPr>
    <w:rPr>
      <w:i/>
    </w:rPr>
  </w:style>
  <w:style w:type="paragraph" w:styleId="Heading8">
    <w:name w:val="heading 8"/>
    <w:basedOn w:val="Normal"/>
    <w:next w:val="Normal"/>
    <w:link w:val="Heading8Char"/>
    <w:qFormat/>
    <w:rsid w:val="00B01E6D"/>
    <w:pPr>
      <w:ind w:left="720"/>
      <w:outlineLvl w:val="7"/>
    </w:pPr>
    <w:rPr>
      <w:i/>
    </w:rPr>
  </w:style>
  <w:style w:type="paragraph" w:styleId="Heading9">
    <w:name w:val="heading 9"/>
    <w:basedOn w:val="Normal"/>
    <w:next w:val="Normal"/>
    <w:link w:val="Heading9Char"/>
    <w:qFormat/>
    <w:rsid w:val="00B01E6D"/>
    <w:pPr>
      <w:ind w:left="720"/>
      <w:outlineLvl w:val="8"/>
    </w:pPr>
    <w:rPr>
      <w:i/>
    </w:rPr>
  </w:style>
  <w:style w:type="character" w:default="1" w:styleId="DefaultParagraphFont">
    <w:name w:val="Default Paragraph Font"/>
    <w:uiPriority w:val="1"/>
    <w:unhideWhenUsed/>
    <w:rsid w:val="00B01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E6D"/>
  </w:style>
  <w:style w:type="character" w:customStyle="1" w:styleId="Heading1Char">
    <w:name w:val="Heading 1 Char"/>
    <w:basedOn w:val="DefaultParagraphFont"/>
    <w:link w:val="Heading1"/>
    <w:rsid w:val="00B01E6D"/>
    <w:rPr>
      <w:rFonts w:ascii="Times New Roman" w:eastAsia="Times New Roman" w:hAnsi="Times New Roman" w:cs="Times New Roman"/>
      <w:b/>
      <w:sz w:val="32"/>
      <w:szCs w:val="20"/>
      <w:lang w:eastAsia="en-US"/>
    </w:rPr>
  </w:style>
  <w:style w:type="paragraph" w:styleId="BodyText">
    <w:name w:val="Body Text"/>
    <w:basedOn w:val="Normal"/>
    <w:link w:val="BodyTextChar"/>
    <w:rsid w:val="00B01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E6D"/>
    <w:rPr>
      <w:rFonts w:ascii="Times New Roman" w:eastAsia="Times New Roman" w:hAnsi="Times New Roman" w:cs="Times New Roman"/>
      <w:sz w:val="24"/>
      <w:lang w:eastAsia="en-US"/>
    </w:rPr>
  </w:style>
  <w:style w:type="paragraph" w:styleId="Footer">
    <w:name w:val="footer"/>
    <w:basedOn w:val="Normal"/>
    <w:link w:val="FooterChar"/>
    <w:rsid w:val="00B01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E6D"/>
    <w:rPr>
      <w:rFonts w:ascii="Times New Roman" w:eastAsia="Times New Roman" w:hAnsi="Times New Roman" w:cs="Times New Roman"/>
      <w:sz w:val="16"/>
      <w:lang w:eastAsia="en-US"/>
    </w:rPr>
  </w:style>
  <w:style w:type="paragraph" w:styleId="List">
    <w:name w:val="List"/>
    <w:basedOn w:val="BodyText"/>
    <w:next w:val="BodyText"/>
    <w:rsid w:val="00B01E6D"/>
    <w:pPr>
      <w:tabs>
        <w:tab w:val="left" w:pos="340"/>
      </w:tabs>
      <w:spacing w:before="60" w:after="60"/>
      <w:ind w:left="340" w:hanging="340"/>
    </w:pPr>
  </w:style>
  <w:style w:type="paragraph" w:styleId="ListBullet">
    <w:name w:val="List Bullet"/>
    <w:basedOn w:val="List"/>
    <w:rsid w:val="00B01E6D"/>
    <w:pPr>
      <w:numPr>
        <w:numId w:val="13"/>
      </w:numPr>
      <w:tabs>
        <w:tab w:val="clear" w:pos="340"/>
      </w:tabs>
      <w:spacing w:before="40" w:after="40"/>
    </w:pPr>
  </w:style>
  <w:style w:type="character" w:customStyle="1" w:styleId="SpecialBold">
    <w:name w:val="Special Bold"/>
    <w:basedOn w:val="DefaultParagraphFont"/>
    <w:rsid w:val="00B01E6D"/>
    <w:rPr>
      <w:b/>
      <w:spacing w:val="0"/>
    </w:rPr>
  </w:style>
  <w:style w:type="paragraph" w:styleId="ListBullet2">
    <w:name w:val="List Bullet 2"/>
    <w:basedOn w:val="List2"/>
    <w:rsid w:val="00B01E6D"/>
    <w:pPr>
      <w:numPr>
        <w:numId w:val="14"/>
      </w:numPr>
      <w:tabs>
        <w:tab w:val="clear" w:pos="680"/>
      </w:tabs>
    </w:pPr>
  </w:style>
  <w:style w:type="paragraph" w:customStyle="1" w:styleId="SuperHeading">
    <w:name w:val="SuperHeading"/>
    <w:basedOn w:val="Normal"/>
    <w:rsid w:val="00B01E6D"/>
    <w:pPr>
      <w:spacing w:before="240" w:after="120"/>
      <w:outlineLvl w:val="0"/>
    </w:pPr>
    <w:rPr>
      <w:rFonts w:ascii="Times New Roman" w:hAnsi="Times New Roman"/>
      <w:b/>
      <w:sz w:val="28"/>
    </w:rPr>
  </w:style>
  <w:style w:type="paragraph" w:customStyle="1" w:styleId="AllowPageBreak">
    <w:name w:val="AllowPageBreak"/>
    <w:rsid w:val="00B01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1E6D"/>
    <w:rPr>
      <w:b/>
      <w:i/>
      <w:u w:val="none"/>
    </w:rPr>
  </w:style>
  <w:style w:type="character" w:customStyle="1" w:styleId="Heading2Char">
    <w:name w:val="Heading 2 Char"/>
    <w:basedOn w:val="DefaultParagraphFont"/>
    <w:link w:val="Heading2"/>
    <w:rsid w:val="00B01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E6D"/>
    <w:rPr>
      <w:rFonts w:ascii="Courier New" w:eastAsia="Times New Roman" w:hAnsi="Courier New" w:cs="Times New Roman"/>
      <w:i/>
      <w:szCs w:val="20"/>
      <w:lang w:eastAsia="en-US"/>
    </w:rPr>
  </w:style>
  <w:style w:type="paragraph" w:customStyle="1" w:styleId="HeadingBase">
    <w:name w:val="Heading Base"/>
    <w:rsid w:val="00B01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E6D"/>
    <w:pPr>
      <w:tabs>
        <w:tab w:val="right" w:leader="dot" w:pos="9072"/>
      </w:tabs>
      <w:ind w:left="567"/>
    </w:pPr>
    <w:rPr>
      <w:szCs w:val="22"/>
    </w:rPr>
  </w:style>
  <w:style w:type="paragraph" w:customStyle="1" w:styleId="TOCBase">
    <w:name w:val="TOC Base"/>
    <w:rsid w:val="00B01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E6D"/>
    <w:pPr>
      <w:tabs>
        <w:tab w:val="right" w:leader="dot" w:pos="9072"/>
      </w:tabs>
      <w:spacing w:before="40" w:after="40"/>
      <w:ind w:left="284"/>
    </w:pPr>
    <w:rPr>
      <w:rFonts w:ascii="Times New Roman" w:hAnsi="Times New Roman"/>
    </w:rPr>
  </w:style>
  <w:style w:type="paragraph" w:styleId="TOC1">
    <w:name w:val="toc 1"/>
    <w:basedOn w:val="TOCBase"/>
    <w:next w:val="Normal"/>
    <w:rsid w:val="00B01E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E6D"/>
    <w:pPr>
      <w:spacing w:before="5040"/>
      <w:jc w:val="center"/>
    </w:pPr>
    <w:rPr>
      <w:sz w:val="48"/>
      <w:szCs w:val="72"/>
      <w:lang w:val="en-US"/>
    </w:rPr>
  </w:style>
  <w:style w:type="character" w:customStyle="1" w:styleId="TitleChar">
    <w:name w:val="Title Char"/>
    <w:basedOn w:val="DefaultParagraphFont"/>
    <w:link w:val="Title"/>
    <w:rsid w:val="00B01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E6D"/>
    <w:pPr>
      <w:tabs>
        <w:tab w:val="left" w:pos="3600"/>
        <w:tab w:val="left" w:pos="3958"/>
      </w:tabs>
    </w:pPr>
  </w:style>
  <w:style w:type="paragraph" w:customStyle="1" w:styleId="Note">
    <w:name w:val="Note"/>
    <w:basedOn w:val="BodyText"/>
    <w:rsid w:val="00B01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E6D"/>
    <w:pPr>
      <w:framePr w:wrap="auto" w:hAnchor="text" w:y="6049"/>
    </w:pPr>
    <w:rPr>
      <w:color w:val="000000"/>
      <w:sz w:val="40"/>
    </w:rPr>
  </w:style>
  <w:style w:type="paragraph" w:customStyle="1" w:styleId="TOCTitle">
    <w:name w:val="TOCTitle"/>
    <w:basedOn w:val="Heading1"/>
    <w:rsid w:val="00B01E6D"/>
    <w:pPr>
      <w:spacing w:after="240"/>
      <w:jc w:val="center"/>
      <w:outlineLvl w:val="9"/>
    </w:pPr>
    <w:rPr>
      <w:caps/>
    </w:rPr>
  </w:style>
  <w:style w:type="paragraph" w:customStyle="1" w:styleId="Version">
    <w:name w:val="Version"/>
    <w:rsid w:val="00B01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E6D"/>
    <w:pPr>
      <w:keepNext w:val="0"/>
      <w:tabs>
        <w:tab w:val="right" w:pos="4176"/>
      </w:tabs>
      <w:ind w:left="198" w:hanging="198"/>
    </w:pPr>
    <w:rPr>
      <w:rFonts w:ascii="Garamond" w:hAnsi="Garamond"/>
    </w:rPr>
  </w:style>
  <w:style w:type="paragraph" w:styleId="IndexHeading">
    <w:name w:val="index heading"/>
    <w:basedOn w:val="Normal"/>
    <w:next w:val="Index1"/>
    <w:semiHidden/>
    <w:rsid w:val="00B01E6D"/>
    <w:pPr>
      <w:spacing w:before="120" w:after="120"/>
    </w:pPr>
    <w:rPr>
      <w:rFonts w:ascii="Arial" w:hAnsi="Arial"/>
      <w:b/>
      <w:color w:val="918585"/>
      <w:sz w:val="24"/>
    </w:rPr>
  </w:style>
  <w:style w:type="paragraph" w:styleId="Header">
    <w:name w:val="header"/>
    <w:basedOn w:val="Normal"/>
    <w:link w:val="HeaderChar"/>
    <w:rsid w:val="00B01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E6D"/>
    <w:rPr>
      <w:rFonts w:ascii="Times New Roman" w:eastAsia="Times New Roman" w:hAnsi="Times New Roman" w:cs="Times New Roman"/>
      <w:sz w:val="16"/>
      <w:szCs w:val="20"/>
      <w:lang w:val="en-GB" w:eastAsia="en-US"/>
    </w:rPr>
  </w:style>
  <w:style w:type="paragraph" w:customStyle="1" w:styleId="Chapter">
    <w:name w:val="Chapter"/>
    <w:basedOn w:val="Normal"/>
    <w:rsid w:val="00B01E6D"/>
    <w:pPr>
      <w:spacing w:before="240"/>
    </w:pPr>
    <w:rPr>
      <w:rFonts w:ascii="Times New Roman" w:hAnsi="Times New Roman"/>
      <w:smallCaps/>
      <w:spacing w:val="80"/>
      <w:sz w:val="28"/>
    </w:rPr>
  </w:style>
  <w:style w:type="paragraph" w:customStyle="1" w:styleId="InChapter">
    <w:name w:val="InChapter"/>
    <w:basedOn w:val="Heading3"/>
    <w:rsid w:val="00B01E6D"/>
    <w:pPr>
      <w:spacing w:after="240"/>
      <w:outlineLvl w:val="9"/>
    </w:pPr>
    <w:rPr>
      <w:noProof/>
    </w:rPr>
  </w:style>
  <w:style w:type="paragraph" w:styleId="Index2">
    <w:name w:val="index 2"/>
    <w:basedOn w:val="Normal"/>
    <w:next w:val="Normal"/>
    <w:semiHidden/>
    <w:rsid w:val="00B01E6D"/>
    <w:pPr>
      <w:tabs>
        <w:tab w:val="right" w:pos="4176"/>
      </w:tabs>
      <w:ind w:left="568" w:hanging="284"/>
    </w:pPr>
    <w:rPr>
      <w:rFonts w:ascii="Garamond" w:hAnsi="Garamond"/>
    </w:rPr>
  </w:style>
  <w:style w:type="paragraph" w:customStyle="1" w:styleId="Byline">
    <w:name w:val="Byline"/>
    <w:rsid w:val="00B01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E6D"/>
    <w:pPr>
      <w:tabs>
        <w:tab w:val="clear" w:pos="3600"/>
        <w:tab w:val="clear" w:pos="3958"/>
      </w:tabs>
      <w:jc w:val="right"/>
    </w:pPr>
  </w:style>
  <w:style w:type="character" w:styleId="Emphasis">
    <w:name w:val="Emphasis"/>
    <w:basedOn w:val="DefaultParagraphFont"/>
    <w:qFormat/>
    <w:rsid w:val="00B01E6D"/>
    <w:rPr>
      <w:i/>
    </w:rPr>
  </w:style>
  <w:style w:type="paragraph" w:styleId="Caption">
    <w:name w:val="caption"/>
    <w:basedOn w:val="BodyText"/>
    <w:next w:val="Normal"/>
    <w:qFormat/>
    <w:rsid w:val="00B01E6D"/>
    <w:pPr>
      <w:framePr w:w="2268" w:hSpace="181" w:vSpace="181" w:wrap="around" w:vAnchor="text" w:hAnchor="page" w:x="1135" w:y="285" w:anchorLock="1"/>
    </w:pPr>
    <w:rPr>
      <w:i/>
    </w:rPr>
  </w:style>
  <w:style w:type="paragraph" w:customStyle="1" w:styleId="MiniTOCTitle">
    <w:name w:val="MiniTOCTitle"/>
    <w:basedOn w:val="Heading4"/>
    <w:rsid w:val="00B01E6D"/>
    <w:pPr>
      <w:spacing w:before="240"/>
      <w:outlineLvl w:val="9"/>
    </w:pPr>
    <w:rPr>
      <w:noProof/>
      <w:sz w:val="24"/>
    </w:rPr>
  </w:style>
  <w:style w:type="paragraph" w:customStyle="1" w:styleId="MiniTOCItem">
    <w:name w:val="MiniTOCItem"/>
    <w:basedOn w:val="ListBullet"/>
    <w:rsid w:val="00B01E6D"/>
    <w:pPr>
      <w:numPr>
        <w:numId w:val="0"/>
      </w:numPr>
      <w:tabs>
        <w:tab w:val="right" w:leader="dot" w:pos="6521"/>
      </w:tabs>
      <w:spacing w:before="0" w:after="0"/>
    </w:pPr>
  </w:style>
  <w:style w:type="paragraph" w:customStyle="1" w:styleId="TOFTitle">
    <w:name w:val="TOFTitle"/>
    <w:basedOn w:val="TOCTitle"/>
    <w:rsid w:val="00B01E6D"/>
  </w:style>
  <w:style w:type="paragraph" w:styleId="TableofFigures">
    <w:name w:val="table of figures"/>
    <w:basedOn w:val="Normal"/>
    <w:next w:val="Normal"/>
    <w:semiHidden/>
    <w:rsid w:val="00B01E6D"/>
    <w:pPr>
      <w:tabs>
        <w:tab w:val="right" w:leader="dot" w:pos="9072"/>
      </w:tabs>
      <w:ind w:left="970" w:hanging="403"/>
    </w:pPr>
    <w:rPr>
      <w:rFonts w:ascii="Times New Roman" w:hAnsi="Times New Roman"/>
      <w:b/>
    </w:rPr>
  </w:style>
  <w:style w:type="paragraph" w:styleId="ListNumber">
    <w:name w:val="List Number"/>
    <w:basedOn w:val="List"/>
    <w:rsid w:val="00B01E6D"/>
    <w:pPr>
      <w:numPr>
        <w:numId w:val="11"/>
      </w:numPr>
    </w:pPr>
  </w:style>
  <w:style w:type="character" w:customStyle="1" w:styleId="WingdingSymbols">
    <w:name w:val="Wingding Symbols"/>
    <w:rsid w:val="00B01E6D"/>
    <w:rPr>
      <w:rFonts w:ascii="Wingdings" w:hAnsi="Wingdings"/>
    </w:rPr>
  </w:style>
  <w:style w:type="paragraph" w:customStyle="1" w:styleId="TableHeading">
    <w:name w:val="Table Heading"/>
    <w:basedOn w:val="HeadingBase"/>
    <w:rsid w:val="00B01E6D"/>
    <w:pPr>
      <w:keepLines/>
      <w:pBdr>
        <w:bottom w:val="single" w:sz="6" w:space="1" w:color="918585"/>
      </w:pBdr>
      <w:spacing w:before="240"/>
    </w:pPr>
  </w:style>
  <w:style w:type="character" w:customStyle="1" w:styleId="HotSpot">
    <w:name w:val="HotSpot"/>
    <w:rsid w:val="00B01E6D"/>
    <w:rPr>
      <w:color w:val="0033CC"/>
      <w:u w:val="none"/>
    </w:rPr>
  </w:style>
  <w:style w:type="paragraph" w:customStyle="1" w:styleId="BodyTextRight">
    <w:name w:val="Body Text Right"/>
    <w:basedOn w:val="BodyText"/>
    <w:rsid w:val="00B01E6D"/>
    <w:pPr>
      <w:spacing w:before="0" w:after="0"/>
      <w:jc w:val="right"/>
    </w:pPr>
  </w:style>
  <w:style w:type="paragraph" w:styleId="Index3">
    <w:name w:val="index 3"/>
    <w:basedOn w:val="ListNumber2"/>
    <w:next w:val="Normal"/>
    <w:semiHidden/>
    <w:rsid w:val="00B01E6D"/>
    <w:pPr>
      <w:numPr>
        <w:numId w:val="0"/>
      </w:numPr>
      <w:tabs>
        <w:tab w:val="right" w:leader="dot" w:pos="4176"/>
      </w:tabs>
    </w:pPr>
  </w:style>
  <w:style w:type="paragraph" w:styleId="ListNumber2">
    <w:name w:val="List Number 2"/>
    <w:basedOn w:val="List2"/>
    <w:rsid w:val="00B01E6D"/>
    <w:pPr>
      <w:numPr>
        <w:numId w:val="10"/>
      </w:numPr>
      <w:tabs>
        <w:tab w:val="clear" w:pos="1060"/>
      </w:tabs>
    </w:pPr>
  </w:style>
  <w:style w:type="paragraph" w:customStyle="1" w:styleId="MarginNote">
    <w:name w:val="Margin Note"/>
    <w:basedOn w:val="BodyText"/>
    <w:rsid w:val="00B01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E6D"/>
    <w:rPr>
      <w:sz w:val="32"/>
    </w:rPr>
  </w:style>
  <w:style w:type="paragraph" w:customStyle="1" w:styleId="HeadingProcedure">
    <w:name w:val="Heading Procedure"/>
    <w:basedOn w:val="HeadingBase"/>
    <w:next w:val="Normal"/>
    <w:rsid w:val="00B01E6D"/>
    <w:pPr>
      <w:tabs>
        <w:tab w:val="left" w:pos="0"/>
      </w:tabs>
      <w:spacing w:before="120" w:after="60"/>
    </w:pPr>
    <w:rPr>
      <w:i/>
      <w:color w:val="918585"/>
      <w:sz w:val="22"/>
    </w:rPr>
  </w:style>
  <w:style w:type="paragraph" w:customStyle="1" w:styleId="TableBodyText">
    <w:name w:val="Table Body Text"/>
    <w:basedOn w:val="BodyText"/>
    <w:rsid w:val="00B01E6D"/>
    <w:pPr>
      <w:spacing w:before="60" w:after="60"/>
    </w:pPr>
  </w:style>
  <w:style w:type="paragraph" w:styleId="ListContinue">
    <w:name w:val="List Continue"/>
    <w:basedOn w:val="List"/>
    <w:rsid w:val="00B01E6D"/>
    <w:pPr>
      <w:ind w:firstLine="0"/>
    </w:pPr>
  </w:style>
  <w:style w:type="paragraph" w:customStyle="1" w:styleId="ListNote">
    <w:name w:val="List Note"/>
    <w:basedOn w:val="List"/>
    <w:rsid w:val="00B01E6D"/>
    <w:pPr>
      <w:pBdr>
        <w:top w:val="single" w:sz="6" w:space="2" w:color="918585"/>
        <w:bottom w:val="single" w:sz="6" w:space="2" w:color="918585"/>
      </w:pBdr>
      <w:tabs>
        <w:tab w:val="left" w:pos="1021"/>
      </w:tabs>
      <w:ind w:firstLine="0"/>
    </w:pPr>
  </w:style>
  <w:style w:type="paragraph" w:customStyle="1" w:styleId="Warning">
    <w:name w:val="Warning"/>
    <w:basedOn w:val="BodyText"/>
    <w:rsid w:val="00B01E6D"/>
    <w:pPr>
      <w:shd w:val="clear" w:color="auto" w:fill="D9D9D9"/>
      <w:tabs>
        <w:tab w:val="left" w:pos="992"/>
      </w:tabs>
      <w:ind w:left="119" w:right="119"/>
    </w:pPr>
    <w:rPr>
      <w:sz w:val="20"/>
    </w:rPr>
  </w:style>
  <w:style w:type="paragraph" w:customStyle="1" w:styleId="MarginIcons">
    <w:name w:val="Margin Icons"/>
    <w:basedOn w:val="BodyText"/>
    <w:rsid w:val="00B01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E6D"/>
    <w:rPr>
      <w:rFonts w:ascii="Courier New" w:hAnsi="Courier New"/>
    </w:rPr>
  </w:style>
  <w:style w:type="paragraph" w:customStyle="1" w:styleId="NoteBullet">
    <w:name w:val="Note Bullet"/>
    <w:basedOn w:val="Note"/>
    <w:rsid w:val="00B01E6D"/>
    <w:pPr>
      <w:tabs>
        <w:tab w:val="clear" w:pos="680"/>
      </w:tabs>
      <w:spacing w:before="60" w:after="60"/>
    </w:pPr>
  </w:style>
  <w:style w:type="paragraph" w:customStyle="1" w:styleId="SubHeading2">
    <w:name w:val="SubHeading2"/>
    <w:basedOn w:val="HeadingBase"/>
    <w:rsid w:val="00B01E6D"/>
    <w:pPr>
      <w:spacing w:before="240" w:after="60"/>
    </w:pPr>
    <w:rPr>
      <w:sz w:val="20"/>
    </w:rPr>
  </w:style>
  <w:style w:type="paragraph" w:customStyle="1" w:styleId="SubHeading1">
    <w:name w:val="SubHeading1"/>
    <w:basedOn w:val="HeadingBase"/>
    <w:rsid w:val="00B01E6D"/>
    <w:pPr>
      <w:spacing w:before="240" w:after="60"/>
    </w:pPr>
    <w:rPr>
      <w:color w:val="918585"/>
      <w:sz w:val="22"/>
    </w:rPr>
  </w:style>
  <w:style w:type="paragraph" w:customStyle="1" w:styleId="SideHeading">
    <w:name w:val="Side Heading"/>
    <w:basedOn w:val="HeadingBase"/>
    <w:rsid w:val="00B01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E6D"/>
    <w:pPr>
      <w:numPr>
        <w:numId w:val="12"/>
      </w:numPr>
    </w:pPr>
  </w:style>
  <w:style w:type="paragraph" w:styleId="PlainText">
    <w:name w:val="Plain Text"/>
    <w:basedOn w:val="Normal"/>
    <w:link w:val="PlainTextChar"/>
    <w:rsid w:val="00B01E6D"/>
    <w:rPr>
      <w:sz w:val="20"/>
    </w:rPr>
  </w:style>
  <w:style w:type="character" w:customStyle="1" w:styleId="PlainTextChar">
    <w:name w:val="Plain Text Char"/>
    <w:basedOn w:val="DefaultParagraphFont"/>
    <w:link w:val="PlainText"/>
    <w:rsid w:val="00B01E6D"/>
    <w:rPr>
      <w:rFonts w:ascii="Courier New" w:eastAsia="Times New Roman" w:hAnsi="Courier New" w:cs="Times New Roman"/>
      <w:sz w:val="20"/>
      <w:szCs w:val="20"/>
      <w:lang w:eastAsia="en-US"/>
    </w:rPr>
  </w:style>
  <w:style w:type="character" w:customStyle="1" w:styleId="MenuOption">
    <w:name w:val="Menu Option"/>
    <w:basedOn w:val="DefaultParagraphFont"/>
    <w:rsid w:val="00B01E6D"/>
    <w:rPr>
      <w:b/>
      <w:smallCaps/>
    </w:rPr>
  </w:style>
  <w:style w:type="paragraph" w:customStyle="1" w:styleId="TableListNumber">
    <w:name w:val="Table List Number"/>
    <w:basedOn w:val="ListNumber"/>
    <w:rsid w:val="00B01E6D"/>
    <w:pPr>
      <w:numPr>
        <w:numId w:val="0"/>
      </w:numPr>
    </w:pPr>
  </w:style>
  <w:style w:type="paragraph" w:styleId="TOC4">
    <w:name w:val="toc 4"/>
    <w:basedOn w:val="TOCBase"/>
    <w:next w:val="Normal"/>
    <w:semiHidden/>
    <w:rsid w:val="00B01E6D"/>
    <w:pPr>
      <w:tabs>
        <w:tab w:val="right" w:leader="dot" w:pos="9071"/>
      </w:tabs>
      <w:ind w:left="1701"/>
    </w:pPr>
  </w:style>
  <w:style w:type="paragraph" w:customStyle="1" w:styleId="ListAlpha">
    <w:name w:val="List Alpha"/>
    <w:basedOn w:val="List"/>
    <w:rsid w:val="00B01E6D"/>
    <w:pPr>
      <w:numPr>
        <w:numId w:val="9"/>
      </w:numPr>
    </w:pPr>
  </w:style>
  <w:style w:type="paragraph" w:customStyle="1" w:styleId="ListAlpha2">
    <w:name w:val="List Alpha 2"/>
    <w:basedOn w:val="List2"/>
    <w:rsid w:val="00B01E6D"/>
    <w:pPr>
      <w:numPr>
        <w:numId w:val="8"/>
      </w:numPr>
    </w:pPr>
  </w:style>
  <w:style w:type="paragraph" w:styleId="List2">
    <w:name w:val="List 2"/>
    <w:basedOn w:val="BodyText"/>
    <w:rsid w:val="00B01E6D"/>
    <w:pPr>
      <w:tabs>
        <w:tab w:val="left" w:pos="680"/>
      </w:tabs>
      <w:spacing w:before="60" w:after="60"/>
      <w:ind w:left="680" w:hanging="340"/>
    </w:pPr>
  </w:style>
  <w:style w:type="paragraph" w:styleId="List3">
    <w:name w:val="List 3"/>
    <w:basedOn w:val="BodyText"/>
    <w:rsid w:val="00B01E6D"/>
    <w:pPr>
      <w:tabs>
        <w:tab w:val="left" w:pos="1021"/>
      </w:tabs>
      <w:spacing w:before="60" w:after="60"/>
      <w:ind w:left="1020" w:hanging="340"/>
    </w:pPr>
  </w:style>
  <w:style w:type="paragraph" w:styleId="List4">
    <w:name w:val="List 4"/>
    <w:basedOn w:val="BodyText"/>
    <w:rsid w:val="00B01E6D"/>
    <w:pPr>
      <w:tabs>
        <w:tab w:val="left" w:pos="1361"/>
      </w:tabs>
      <w:spacing w:before="60" w:after="60"/>
      <w:ind w:left="1361" w:hanging="340"/>
    </w:pPr>
  </w:style>
  <w:style w:type="paragraph" w:styleId="List5">
    <w:name w:val="List 5"/>
    <w:basedOn w:val="BodyText"/>
    <w:rsid w:val="00B01E6D"/>
    <w:pPr>
      <w:tabs>
        <w:tab w:val="left" w:pos="1701"/>
      </w:tabs>
      <w:spacing w:before="60" w:after="60"/>
      <w:ind w:left="1701" w:hanging="340"/>
    </w:pPr>
  </w:style>
  <w:style w:type="paragraph" w:styleId="ListBullet3">
    <w:name w:val="List Bullet 3"/>
    <w:basedOn w:val="List3"/>
    <w:rsid w:val="00B01E6D"/>
    <w:pPr>
      <w:numPr>
        <w:numId w:val="15"/>
      </w:numPr>
      <w:tabs>
        <w:tab w:val="clear" w:pos="1021"/>
      </w:tabs>
      <w:ind w:left="1037" w:hanging="357"/>
    </w:pPr>
  </w:style>
  <w:style w:type="paragraph" w:styleId="ListBullet4">
    <w:name w:val="List Bullet 4"/>
    <w:basedOn w:val="List4"/>
    <w:rsid w:val="00B01E6D"/>
    <w:pPr>
      <w:numPr>
        <w:numId w:val="3"/>
      </w:numPr>
    </w:pPr>
  </w:style>
  <w:style w:type="paragraph" w:styleId="ListBullet5">
    <w:name w:val="List Bullet 5"/>
    <w:basedOn w:val="List5"/>
    <w:rsid w:val="00B01E6D"/>
    <w:pPr>
      <w:numPr>
        <w:numId w:val="4"/>
      </w:numPr>
    </w:pPr>
  </w:style>
  <w:style w:type="paragraph" w:styleId="ListContinue2">
    <w:name w:val="List Continue 2"/>
    <w:basedOn w:val="List2"/>
    <w:rsid w:val="00B01E6D"/>
    <w:pPr>
      <w:ind w:firstLine="0"/>
    </w:pPr>
  </w:style>
  <w:style w:type="paragraph" w:styleId="ListContinue3">
    <w:name w:val="List Continue 3"/>
    <w:basedOn w:val="List3"/>
    <w:rsid w:val="00B01E6D"/>
    <w:pPr>
      <w:ind w:left="1021" w:firstLine="0"/>
    </w:pPr>
  </w:style>
  <w:style w:type="paragraph" w:styleId="ListContinue4">
    <w:name w:val="List Continue 4"/>
    <w:basedOn w:val="List4"/>
    <w:rsid w:val="00B01E6D"/>
    <w:pPr>
      <w:ind w:firstLine="0"/>
    </w:pPr>
  </w:style>
  <w:style w:type="paragraph" w:styleId="ListContinue5">
    <w:name w:val="List Continue 5"/>
    <w:basedOn w:val="List5"/>
    <w:rsid w:val="00B01E6D"/>
    <w:pPr>
      <w:ind w:firstLine="0"/>
    </w:pPr>
  </w:style>
  <w:style w:type="paragraph" w:styleId="ListNumber3">
    <w:name w:val="List Number 3"/>
    <w:basedOn w:val="List3"/>
    <w:rsid w:val="00B01E6D"/>
    <w:pPr>
      <w:numPr>
        <w:numId w:val="5"/>
      </w:numPr>
    </w:pPr>
  </w:style>
  <w:style w:type="paragraph" w:styleId="ListNumber4">
    <w:name w:val="List Number 4"/>
    <w:basedOn w:val="List4"/>
    <w:rsid w:val="00B01E6D"/>
    <w:pPr>
      <w:numPr>
        <w:numId w:val="6"/>
      </w:numPr>
    </w:pPr>
  </w:style>
  <w:style w:type="paragraph" w:styleId="ListNumber5">
    <w:name w:val="List Number 5"/>
    <w:basedOn w:val="List5"/>
    <w:rsid w:val="00B01E6D"/>
    <w:pPr>
      <w:numPr>
        <w:numId w:val="7"/>
      </w:numPr>
    </w:pPr>
  </w:style>
  <w:style w:type="paragraph" w:styleId="BlockText">
    <w:name w:val="Block Text"/>
    <w:basedOn w:val="Normal"/>
    <w:rsid w:val="00B01E6D"/>
    <w:pPr>
      <w:spacing w:after="120"/>
      <w:ind w:left="1440" w:right="1440"/>
    </w:pPr>
  </w:style>
  <w:style w:type="character" w:customStyle="1" w:styleId="Subscript">
    <w:name w:val="Subscript"/>
    <w:basedOn w:val="DefaultParagraphFont"/>
    <w:rsid w:val="00B01E6D"/>
    <w:rPr>
      <w:sz w:val="16"/>
      <w:vertAlign w:val="subscript"/>
    </w:rPr>
  </w:style>
  <w:style w:type="character" w:customStyle="1" w:styleId="Superscript">
    <w:name w:val="Superscript"/>
    <w:basedOn w:val="DefaultParagraphFont"/>
    <w:rsid w:val="00B01E6D"/>
    <w:rPr>
      <w:sz w:val="16"/>
      <w:vertAlign w:val="superscript"/>
    </w:rPr>
  </w:style>
  <w:style w:type="character" w:customStyle="1" w:styleId="Symbols">
    <w:name w:val="Symbols"/>
    <w:basedOn w:val="DefaultParagraphFont"/>
    <w:rsid w:val="00B01E6D"/>
    <w:rPr>
      <w:rFonts w:ascii="Symbol" w:hAnsi="Symbol"/>
    </w:rPr>
  </w:style>
  <w:style w:type="character" w:customStyle="1" w:styleId="MenuOptions">
    <w:name w:val="Menu Options"/>
    <w:basedOn w:val="DefaultParagraphFont"/>
    <w:rsid w:val="00B01E6D"/>
    <w:rPr>
      <w:rFonts w:ascii="Arial Narrow" w:hAnsi="Arial Narrow"/>
      <w:smallCaps/>
    </w:rPr>
  </w:style>
  <w:style w:type="character" w:customStyle="1" w:styleId="Buttons">
    <w:name w:val="Buttons"/>
    <w:basedOn w:val="DefaultParagraphFont"/>
    <w:rsid w:val="00B01E6D"/>
    <w:rPr>
      <w:b/>
    </w:rPr>
  </w:style>
  <w:style w:type="character" w:customStyle="1" w:styleId="Underlined">
    <w:name w:val="Underlined"/>
    <w:basedOn w:val="DefaultParagraphFont"/>
    <w:rsid w:val="00B01E6D"/>
    <w:rPr>
      <w:u w:val="single"/>
    </w:rPr>
  </w:style>
  <w:style w:type="paragraph" w:customStyle="1" w:styleId="TableBodyTextRight">
    <w:name w:val="Table Body Text Right"/>
    <w:basedOn w:val="TableBodyText"/>
    <w:rsid w:val="00B01E6D"/>
    <w:pPr>
      <w:widowControl w:val="0"/>
      <w:autoSpaceDE w:val="0"/>
      <w:autoSpaceDN w:val="0"/>
      <w:adjustRightInd w:val="0"/>
      <w:jc w:val="right"/>
    </w:pPr>
    <w:rPr>
      <w:rFonts w:cs="Arial"/>
      <w:szCs w:val="18"/>
    </w:rPr>
  </w:style>
  <w:style w:type="paragraph" w:customStyle="1" w:styleId="CopyrightText">
    <w:name w:val="Copyright Text"/>
    <w:basedOn w:val="BodyText"/>
    <w:rsid w:val="00B01E6D"/>
    <w:rPr>
      <w:sz w:val="18"/>
    </w:rPr>
  </w:style>
  <w:style w:type="paragraph" w:customStyle="1" w:styleId="BodySmallRight">
    <w:name w:val="Body Small Right"/>
    <w:basedOn w:val="BodyTextRight"/>
    <w:rsid w:val="00B01E6D"/>
    <w:rPr>
      <w:sz w:val="18"/>
      <w:szCs w:val="18"/>
    </w:rPr>
  </w:style>
  <w:style w:type="paragraph" w:customStyle="1" w:styleId="MarginEdition">
    <w:name w:val="Margin Edition"/>
    <w:basedOn w:val="MarginNote"/>
    <w:rsid w:val="00B01E6D"/>
    <w:pPr>
      <w:spacing w:before="0" w:after="0"/>
    </w:pPr>
    <w:rPr>
      <w:rFonts w:ascii="Times New Roman" w:hAnsi="Times New Roman"/>
      <w:color w:val="999999"/>
    </w:rPr>
  </w:style>
  <w:style w:type="paragraph" w:customStyle="1" w:styleId="Spacer">
    <w:name w:val="Spacer"/>
    <w:basedOn w:val="Normal"/>
    <w:rsid w:val="00B01E6D"/>
    <w:rPr>
      <w:sz w:val="2"/>
      <w:szCs w:val="2"/>
    </w:rPr>
  </w:style>
  <w:style w:type="character" w:customStyle="1" w:styleId="Small">
    <w:name w:val="Small"/>
    <w:basedOn w:val="DefaultParagraphFont"/>
    <w:rsid w:val="00B01E6D"/>
    <w:rPr>
      <w:sz w:val="16"/>
    </w:rPr>
  </w:style>
  <w:style w:type="paragraph" w:customStyle="1" w:styleId="WideTable">
    <w:name w:val="Wide Table"/>
    <w:basedOn w:val="Normal"/>
    <w:rsid w:val="00B01E6D"/>
    <w:pPr>
      <w:ind w:left="-1418"/>
    </w:pPr>
    <w:rPr>
      <w:sz w:val="2"/>
      <w:szCs w:val="2"/>
    </w:rPr>
  </w:style>
  <w:style w:type="character" w:styleId="PageNumber">
    <w:name w:val="page number"/>
    <w:basedOn w:val="DefaultParagraphFont"/>
    <w:rsid w:val="00B01E6D"/>
  </w:style>
  <w:style w:type="paragraph" w:styleId="Quote">
    <w:name w:val="Quote"/>
    <w:basedOn w:val="Heading1"/>
    <w:link w:val="QuoteChar"/>
    <w:qFormat/>
    <w:rsid w:val="00B01E6D"/>
    <w:rPr>
      <w:b w:val="0"/>
      <w:sz w:val="72"/>
      <w:szCs w:val="72"/>
      <w:lang w:val="en-NZ"/>
    </w:rPr>
  </w:style>
  <w:style w:type="character" w:customStyle="1" w:styleId="QuoteChar">
    <w:name w:val="Quote Char"/>
    <w:basedOn w:val="DefaultParagraphFont"/>
    <w:link w:val="Quote"/>
    <w:rsid w:val="00B01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E6D"/>
    <w:pPr>
      <w:pageBreakBefore/>
    </w:pPr>
  </w:style>
  <w:style w:type="paragraph" w:customStyle="1" w:styleId="Border">
    <w:name w:val="Border"/>
    <w:basedOn w:val="Normal"/>
    <w:qFormat/>
    <w:rsid w:val="00B01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E6D"/>
    <w:rPr>
      <w:b/>
      <w:bCs/>
      <w:i/>
      <w:iCs/>
      <w:color w:val="auto"/>
    </w:rPr>
  </w:style>
  <w:style w:type="paragraph" w:styleId="IntenseQuote">
    <w:name w:val="Intense Quote"/>
    <w:basedOn w:val="Normal"/>
    <w:next w:val="Normal"/>
    <w:link w:val="IntenseQuoteChar"/>
    <w:uiPriority w:val="30"/>
    <w:qFormat/>
    <w:rsid w:val="00B01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E6D"/>
    <w:rPr>
      <w:smallCaps/>
      <w:color w:val="auto"/>
      <w:u w:val="single"/>
    </w:rPr>
  </w:style>
  <w:style w:type="character" w:styleId="IntenseReference">
    <w:name w:val="Intense Reference"/>
    <w:basedOn w:val="DefaultParagraphFont"/>
    <w:uiPriority w:val="32"/>
    <w:qFormat/>
    <w:rsid w:val="00B01E6D"/>
    <w:rPr>
      <w:b/>
      <w:bCs/>
      <w:smallCaps/>
      <w:color w:val="auto"/>
      <w:spacing w:val="5"/>
      <w:u w:val="single"/>
    </w:rPr>
  </w:style>
  <w:style w:type="paragraph" w:customStyle="1" w:styleId="2ColumnHeading">
    <w:name w:val="2Column Heading"/>
    <w:basedOn w:val="BodyText"/>
    <w:qFormat/>
    <w:rsid w:val="00B01E6D"/>
    <w:pPr>
      <w:spacing w:after="60"/>
      <w:ind w:left="-2268"/>
    </w:pPr>
    <w:rPr>
      <w:b/>
    </w:rPr>
  </w:style>
  <w:style w:type="paragraph" w:customStyle="1" w:styleId="Heading1TOC">
    <w:name w:val="Heading1 TOC"/>
    <w:basedOn w:val="Normal"/>
    <w:qFormat/>
    <w:rsid w:val="00B01E6D"/>
    <w:pPr>
      <w:spacing w:before="240" w:after="120"/>
    </w:pPr>
    <w:rPr>
      <w:rFonts w:ascii="Times New Roman" w:hAnsi="Times New Roman"/>
      <w:b/>
      <w:sz w:val="32"/>
    </w:rPr>
  </w:style>
  <w:style w:type="paragraph" w:customStyle="1" w:styleId="Heading2TOC">
    <w:name w:val="Heading2 TOC"/>
    <w:basedOn w:val="Normal"/>
    <w:qFormat/>
    <w:rsid w:val="00B01E6D"/>
    <w:pPr>
      <w:spacing w:before="240" w:after="60"/>
    </w:pPr>
    <w:rPr>
      <w:rFonts w:ascii="Times New Roman" w:hAnsi="Times New Roman"/>
      <w:b/>
      <w:sz w:val="28"/>
    </w:rPr>
  </w:style>
  <w:style w:type="character" w:customStyle="1" w:styleId="Underline">
    <w:name w:val="Underline"/>
    <w:basedOn w:val="DefaultParagraphFont"/>
    <w:qFormat/>
    <w:rsid w:val="00B01E6D"/>
    <w:rPr>
      <w:u w:val="single"/>
    </w:rPr>
  </w:style>
  <w:style w:type="paragraph" w:styleId="BalloonText">
    <w:name w:val="Balloon Text"/>
    <w:basedOn w:val="Normal"/>
    <w:link w:val="BalloonTextChar"/>
    <w:rsid w:val="00B01E6D"/>
    <w:rPr>
      <w:rFonts w:ascii="Tahoma" w:hAnsi="Tahoma" w:cs="Tahoma"/>
      <w:sz w:val="16"/>
      <w:szCs w:val="16"/>
    </w:rPr>
  </w:style>
  <w:style w:type="character" w:customStyle="1" w:styleId="BalloonTextChar">
    <w:name w:val="Balloon Text Char"/>
    <w:basedOn w:val="DefaultParagraphFont"/>
    <w:link w:val="BalloonText"/>
    <w:rsid w:val="00B01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E6D"/>
    <w:rPr>
      <w:b/>
      <w:color w:val="660033"/>
      <w:spacing w:val="0"/>
    </w:rPr>
  </w:style>
  <w:style w:type="paragraph" w:customStyle="1" w:styleId="Nameditemlist">
    <w:name w:val="Named item list"/>
    <w:basedOn w:val="BodyText"/>
    <w:qFormat/>
    <w:rsid w:val="00B01E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1868</Words>
  <Characters>11680</Characters>
  <Application>Microsoft Office Word</Application>
  <DocSecurity>0</DocSecurity>
  <Lines>340</Lines>
  <Paragraphs>175</Paragraphs>
  <ScaleCrop>false</ScaleCrop>
  <Company>Author-it Software Corporation Ltd.</Company>
  <LinksUpToDate>false</LinksUpToDate>
  <CharactersWithSpaces>13482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CPPACC6003A Apply unjustifiable hardship principles to Alternative Building Solutions for access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2012-10-05T13:52:00Z</dcterms:created>
  <dcterms:modified xsi:type="dcterms:W3CDTF">2012-10-05T13:52:00Z</dcterms:modified>
</cp:coreProperties>
</file>