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D95" w:rsidP="00473D95">
      <w:pPr>
        <w:pStyle w:val="Title"/>
      </w:pPr>
      <w:bookmarkStart w:id="0" w:name="_GoBack"/>
      <w:bookmarkEnd w:id="0"/>
      <w:r>
        <w:fldChar w:fldCharType="begin"/>
      </w:r>
      <w:r>
        <w:instrText xml:space="preserve"> TITLE   \* MERGEFORMAT </w:instrText>
      </w:r>
      <w:r>
        <w:fldChar w:fldCharType="separate"/>
      </w:r>
      <w:r>
        <w:t>CPPACC5007A Apply mechanics of human body functions to accessible building design and fitout</w:t>
      </w:r>
      <w:r>
        <w:fldChar w:fldCharType="end"/>
      </w:r>
    </w:p>
    <w:p w:rsidR="00473D95" w:rsidP="00473D95">
      <w:pPr>
        <w:pStyle w:val="Version"/>
        <w:sectPr w:rsidSect="00A65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B02" w:rsidP="00A65B02">
      <w:pPr>
        <w:pStyle w:val="SuperHeading"/>
      </w:pPr>
      <w:r w:rsidRPr="00A65B02">
        <w:t>CPPACC5007A Apply mechanics of human body functions to accessible building design and fitout</w:t>
      </w:r>
    </w:p>
    <w:p w:rsidR="00000000" w:rsidRPr="00A65B02" w:rsidP="00A65B02">
      <w:pPr>
        <w:pStyle w:val="Heading1"/>
      </w:pPr>
      <w:bookmarkStart w:id="1" w:name="O_269985"/>
      <w:bookmarkEnd w:id="1"/>
      <w:r w:rsidRPr="00A65B02">
        <w:t>Modification History</w:t>
      </w:r>
    </w:p>
    <w:p w:rsidR="00000000" w:rsidRPr="00A65B02" w:rsidP="00A65B02">
      <w:pPr>
        <w:pStyle w:val="BodyText"/>
      </w:pPr>
      <w:r w:rsidRPr="00A65B02">
        <w:t>Not Applicable</w:t>
      </w:r>
    </w:p>
    <w:p w:rsidR="00000000" w:rsidRPr="00A65B02" w:rsidP="00A65B02">
      <w:pPr>
        <w:pStyle w:val="AllowPageBreak"/>
      </w:pPr>
    </w:p>
    <w:p w:rsidR="00000000" w:rsidRPr="00A65B02" w:rsidP="00A65B02">
      <w:pPr>
        <w:pStyle w:val="Heading1"/>
      </w:pPr>
      <w:bookmarkStart w:id="2" w:name="O_200586"/>
      <w:bookmarkEnd w:id="2"/>
      <w:r w:rsidRPr="00A65B02">
        <w:t>Unit</w:t>
      </w:r>
      <w:r w:rsidRPr="00A65B02">
        <w:t xml:space="preserve"> Descriptor</w:t>
      </w:r>
    </w:p>
    <w:p w:rsidR="00000000" w:rsidRPr="00A65B02" w:rsidP="00A65B02">
      <w:pPr>
        <w:pStyle w:val="BodyText"/>
      </w:pPr>
      <w:r w:rsidRPr="00A65B02">
        <w:rPr>
          <w:rStyle w:val="SpecialBold"/>
        </w:rPr>
        <w:t>Unit descriptor</w:t>
      </w:r>
    </w:p>
    <w:p w:rsidR="00000000" w:rsidRPr="00A65B02" w:rsidP="00A65B02">
      <w:pPr>
        <w:pStyle w:val="BodyText"/>
      </w:pPr>
      <w:r w:rsidRPr="00A65B02">
        <w:t>This unit specifies the competency required to apply knowledge of human anatomy, body function and the functional limitations that result from impairment of the various body systems to the design of an accessible environment.</w:t>
      </w:r>
    </w:p>
    <w:p w:rsidR="00000000" w:rsidRPr="00A65B02" w:rsidP="00A65B02">
      <w:pPr>
        <w:pStyle w:val="BodyText"/>
      </w:pPr>
      <w:r w:rsidRPr="00A65B02">
        <w:t>Th</w:t>
      </w:r>
      <w:r w:rsidRPr="00A65B02">
        <w:t>e application of this unit requires knowledge of human anatomy including the brain and nervous system, the musculoskeletal system, the eye and the ear. Knowledge of the consequences of dysfunction of the various body systems will be necessary for the acces</w:t>
      </w:r>
      <w:r w:rsidRPr="00A65B02">
        <w:t>s consultant to provide advice on appropriate design solutions for achieving an accessible environment.</w:t>
      </w:r>
    </w:p>
    <w:p w:rsidR="00473D95" w:rsidP="00A65B02">
      <w:pPr>
        <w:pStyle w:val="BodyText"/>
      </w:pPr>
      <w:r w:rsidRPr="00A65B02">
        <w:t>The access consultant may work alone or contribute to a team.</w:t>
      </w:r>
    </w:p>
    <w:p w:rsidR="00473D95" w:rsidP="00A65B02">
      <w:pPr>
        <w:pStyle w:val="BodyText"/>
      </w:pPr>
    </w:p>
    <w:p w:rsidR="00000000" w:rsidRPr="00A65B02" w:rsidP="00A65B02">
      <w:pPr>
        <w:pStyle w:val="Heading1"/>
      </w:pPr>
      <w:bookmarkStart w:id="3" w:name="O_200588"/>
      <w:bookmarkEnd w:id="3"/>
      <w:r w:rsidRPr="00A65B02">
        <w:t>Application of the Unit</w:t>
      </w:r>
    </w:p>
    <w:p w:rsidR="00000000" w:rsidRPr="00A65B02" w:rsidP="00A65B02">
      <w:pPr>
        <w:pStyle w:val="BodyText"/>
      </w:pPr>
      <w:r w:rsidRPr="00A65B02">
        <w:rPr>
          <w:rStyle w:val="SpecialBold"/>
        </w:rPr>
        <w:t>Application of the unit</w:t>
      </w:r>
    </w:p>
    <w:p w:rsidR="00473D95" w:rsidP="00A65B02">
      <w:pPr>
        <w:pStyle w:val="BodyText"/>
      </w:pPr>
      <w:r w:rsidRPr="00A65B02">
        <w:t>This unit of competency</w:t>
      </w:r>
      <w:r w:rsidRPr="00A65B02">
        <w:t xml:space="preserve"> supports a number of access consulting services associated with the design and fitout of accessible buildings and the accessibility of the built environment.</w:t>
      </w:r>
    </w:p>
    <w:p w:rsidR="00473D95" w:rsidP="00A65B02">
      <w:pPr>
        <w:pStyle w:val="BodyText"/>
      </w:pPr>
    </w:p>
    <w:p w:rsidR="00000000" w:rsidRPr="00A65B02" w:rsidP="00A65B02">
      <w:pPr>
        <w:pStyle w:val="Heading1"/>
      </w:pPr>
      <w:bookmarkStart w:id="4" w:name="O_278245"/>
      <w:bookmarkEnd w:id="4"/>
      <w:r w:rsidRPr="00A65B02">
        <w:t>Licensing/Regulatory Information</w:t>
      </w:r>
    </w:p>
    <w:p w:rsidR="00000000" w:rsidRPr="00A65B02" w:rsidP="00A65B02">
      <w:pPr>
        <w:pStyle w:val="BodyText"/>
      </w:pPr>
      <w:r w:rsidRPr="00A65B02">
        <w:t>Not Applicable</w:t>
      </w:r>
    </w:p>
    <w:p w:rsidR="00000000" w:rsidRPr="00A65B02" w:rsidP="00A65B02">
      <w:pPr>
        <w:pStyle w:val="AllowPageBreak"/>
      </w:pPr>
    </w:p>
    <w:p w:rsidR="00000000" w:rsidRPr="00A65B02" w:rsidP="00A65B02">
      <w:pPr>
        <w:pStyle w:val="Heading1"/>
      </w:pPr>
      <w:bookmarkStart w:id="5" w:name="O_283519"/>
      <w:bookmarkEnd w:id="5"/>
      <w:r w:rsidRPr="00A65B02">
        <w:t>Pre-Requisites</w:t>
      </w:r>
    </w:p>
    <w:p w:rsidR="00000000" w:rsidRPr="00A65B02" w:rsidP="00A65B02">
      <w:pPr>
        <w:pStyle w:val="BodyText"/>
      </w:pPr>
      <w:r w:rsidRPr="00A65B02">
        <w:t>Not Applicable</w:t>
      </w:r>
    </w:p>
    <w:p w:rsidR="00000000" w:rsidRPr="00A65B02" w:rsidP="00A65B02">
      <w:pPr>
        <w:pStyle w:val="AllowPageBreak"/>
      </w:pPr>
    </w:p>
    <w:p w:rsidR="00000000" w:rsidRPr="00A65B02" w:rsidP="00A65B02">
      <w:pPr>
        <w:pStyle w:val="Heading1"/>
      </w:pPr>
      <w:bookmarkStart w:id="6" w:name="O_200587"/>
      <w:bookmarkEnd w:id="6"/>
      <w:r w:rsidRPr="00A65B02">
        <w:t>Employability Skills Information</w:t>
      </w:r>
    </w:p>
    <w:p w:rsidR="00000000" w:rsidRPr="00A65B02" w:rsidP="00A65B02">
      <w:pPr>
        <w:pStyle w:val="BodyText"/>
      </w:pPr>
      <w:r w:rsidRPr="00A65B02">
        <w:rPr>
          <w:rStyle w:val="SpecialBold"/>
        </w:rPr>
        <w:t>Employability skills</w:t>
      </w:r>
    </w:p>
    <w:p w:rsidR="00473D95" w:rsidP="00A65B02">
      <w:pPr>
        <w:pStyle w:val="BodyText"/>
      </w:pPr>
      <w:r w:rsidRPr="00A65B02">
        <w:t>This unit contains employability skills.</w:t>
      </w:r>
    </w:p>
    <w:p w:rsidR="00473D95" w:rsidP="00A65B02">
      <w:pPr>
        <w:pStyle w:val="BodyText"/>
      </w:pPr>
    </w:p>
    <w:p w:rsidR="00000000" w:rsidRPr="00A65B02" w:rsidP="00A65B02">
      <w:pPr>
        <w:pStyle w:val="Heading1"/>
      </w:pPr>
      <w:bookmarkStart w:id="7" w:name="O_288031"/>
      <w:bookmarkEnd w:id="7"/>
      <w:r w:rsidRPr="00A65B02">
        <w:t>Elements and Performance Criteria Pre-Content</w:t>
      </w:r>
    </w:p>
    <w:tbl>
      <w:tblPr>
        <w:tblW w:w="0" w:type="auto"/>
        <w:tblLayout w:type="fixed"/>
        <w:tblCellMar>
          <w:left w:w="62" w:type="dxa"/>
          <w:right w:w="62" w:type="dxa"/>
        </w:tblCellMar>
        <w:tblLook w:val="0000"/>
      </w:tblPr>
      <w:tblGrid>
        <w:gridCol w:w="2991"/>
        <w:gridCol w:w="5505"/>
      </w:tblGrid>
      <w:tr w:rsidTr="00473D95">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t>Elements describe the essential outcomes of a uni</w:t>
            </w:r>
            <w:r w:rsidRPr="00A65B02">
              <w:t>t of competency.</w:t>
            </w:r>
          </w:p>
        </w:tc>
        <w:tc>
          <w:tcPr>
            <w:tcW w:w="5505" w:type="dxa"/>
            <w:tcBorders>
              <w:top w:val="nil"/>
              <w:left w:val="nil"/>
              <w:bottom w:val="nil"/>
              <w:right w:val="nil"/>
            </w:tcBorders>
            <w:tcMar>
              <w:top w:w="0" w:type="dxa"/>
              <w:left w:w="62" w:type="dxa"/>
              <w:bottom w:w="0" w:type="dxa"/>
              <w:right w:w="62" w:type="dxa"/>
            </w:tcMar>
          </w:tcPr>
          <w:p w:rsidR="00000000" w:rsidRPr="00A65B02" w:rsidP="00A65B02">
            <w:pPr>
              <w:pStyle w:val="BodyText"/>
            </w:pPr>
            <w:r w:rsidRPr="00A65B02">
              <w:t>Performance criteria describe the required performance needed to demonstrate achievement of the element. Where bold italicised text is used, further information is detailed in the required skills and knowledge and/or the range statement. A</w:t>
            </w:r>
            <w:r w:rsidRPr="00A65B02">
              <w:t>ssessment of performance is to be consistent with the evidence guide.</w:t>
            </w:r>
          </w:p>
        </w:tc>
      </w:tr>
    </w:tbl>
    <w:p w:rsidR="00000000" w:rsidRPr="00A65B02" w:rsidP="00A65B02">
      <w:pPr>
        <w:pStyle w:val="BodyText"/>
      </w:pPr>
    </w:p>
    <w:p w:rsidR="00000000" w:rsidRPr="00A65B02" w:rsidP="00A65B02">
      <w:pPr>
        <w:pStyle w:val="AllowPageBreak"/>
      </w:pPr>
    </w:p>
    <w:p w:rsidR="00000000" w:rsidRPr="00A65B02" w:rsidP="00A65B02">
      <w:pPr>
        <w:pStyle w:val="Heading1"/>
      </w:pPr>
      <w:bookmarkStart w:id="8" w:name="O_234698"/>
      <w:bookmarkEnd w:id="8"/>
      <w:r w:rsidRPr="00A65B02">
        <w:t>Elements and Performance Criteria</w:t>
      </w:r>
    </w:p>
    <w:tbl>
      <w:tblPr>
        <w:tblW w:w="0" w:type="auto"/>
        <w:tblLayout w:type="fixed"/>
        <w:tblCellMar>
          <w:left w:w="62" w:type="dxa"/>
          <w:right w:w="62" w:type="dxa"/>
        </w:tblCellMar>
        <w:tblLook w:val="0000"/>
      </w:tblPr>
      <w:tblGrid>
        <w:gridCol w:w="2991"/>
        <w:gridCol w:w="17"/>
        <w:gridCol w:w="5488"/>
        <w:gridCol w:w="17"/>
      </w:tblGrid>
      <w:tr w:rsidTr="00473D95">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A65B02" w:rsidP="00A65B02">
            <w:pPr>
              <w:pStyle w:val="List"/>
            </w:pPr>
            <w:r w:rsidRPr="00A65B02">
              <w:rPr>
                <w:rStyle w:val="SpecialBold"/>
              </w:rPr>
              <w:t>ELEMENT</w:t>
            </w:r>
          </w:p>
        </w:tc>
        <w:tc>
          <w:tcPr>
            <w:tcW w:w="5505" w:type="dxa"/>
            <w:gridSpan w:val="2"/>
            <w:tcBorders>
              <w:top w:val="nil"/>
              <w:left w:val="nil"/>
              <w:bottom w:val="nil"/>
              <w:right w:val="nil"/>
            </w:tcBorders>
            <w:tcMar>
              <w:top w:w="0" w:type="dxa"/>
              <w:left w:w="62" w:type="dxa"/>
              <w:bottom w:w="0" w:type="dxa"/>
              <w:right w:w="62" w:type="dxa"/>
            </w:tcMar>
          </w:tcPr>
          <w:p w:rsidR="00000000" w:rsidP="00A65B02">
            <w:pPr>
              <w:pStyle w:val="List"/>
              <w:rPr>
                <w:lang w:val="en-NZ"/>
              </w:rPr>
            </w:pPr>
            <w:r w:rsidRPr="00A65B02">
              <w:rPr>
                <w:rStyle w:val="SpecialBold"/>
              </w:rPr>
              <w:t>PERFORMANCE CRITERIA</w:t>
            </w:r>
          </w:p>
        </w:tc>
      </w:tr>
      <w:tr w:rsidTr="00473D95">
        <w:tblPrEx>
          <w:tblW w:w="0" w:type="auto"/>
          <w:tblLayout w:type="fixed"/>
          <w:tblCellMar>
            <w:left w:w="62" w:type="dxa"/>
            <w:right w:w="62" w:type="dxa"/>
          </w:tblCellMar>
          <w:tblLook w:val="0000"/>
        </w:tblPrEx>
        <w:trPr>
          <w:gridAfter w:val="1"/>
          <w:wAfter w:w="17" w:type="dxa"/>
        </w:trPr>
        <w:tc>
          <w:tcPr>
            <w:tcW w:w="2991" w:type="dxa"/>
            <w:tcBorders>
              <w:top w:val="nil"/>
              <w:left w:val="nil"/>
              <w:bottom w:val="nil"/>
              <w:right w:val="nil"/>
            </w:tcBorders>
            <w:tcMar>
              <w:top w:w="0" w:type="dxa"/>
              <w:left w:w="62" w:type="dxa"/>
              <w:bottom w:w="0" w:type="dxa"/>
              <w:right w:w="62" w:type="dxa"/>
            </w:tcMar>
          </w:tcPr>
          <w:p w:rsidR="00000000" w:rsidP="00A65B02">
            <w:pPr>
              <w:pStyle w:val="List"/>
              <w:rPr>
                <w:lang w:val="en-NZ"/>
              </w:rPr>
            </w:pPr>
            <w:r w:rsidRPr="00A65B02">
              <w:rPr>
                <w:rStyle w:val="SpecialBold"/>
              </w:rPr>
              <w:t>1</w:t>
            </w:r>
            <w:r w:rsidRPr="00A65B02">
              <w:tab/>
            </w:r>
            <w:r w:rsidRPr="00A65B02">
              <w:rPr>
                <w:rStyle w:val="SpecialBold"/>
              </w:rPr>
              <w:t>Determine the level of impairment in human anatomy and body function within a defined population</w:t>
            </w:r>
            <w:r w:rsidRPr="00A65B02">
              <w:t>.</w:t>
            </w:r>
          </w:p>
        </w:tc>
        <w:tc>
          <w:tcPr>
            <w:tcW w:w="5505" w:type="dxa"/>
            <w:gridSpan w:val="2"/>
            <w:tcBorders>
              <w:top w:val="nil"/>
              <w:left w:val="nil"/>
              <w:bottom w:val="nil"/>
              <w:right w:val="nil"/>
            </w:tcBorders>
            <w:tcMar>
              <w:top w:w="0" w:type="dxa"/>
              <w:left w:w="62" w:type="dxa"/>
              <w:bottom w:w="0" w:type="dxa"/>
              <w:right w:w="62" w:type="dxa"/>
            </w:tcMar>
          </w:tcPr>
          <w:p w:rsidR="00000000" w:rsidRPr="00A65B02" w:rsidP="00A65B02">
            <w:pPr>
              <w:pStyle w:val="List"/>
            </w:pPr>
            <w:r w:rsidRPr="00A65B02">
              <w:t>1.1</w:t>
            </w:r>
            <w:r w:rsidRPr="00A65B02">
              <w:tab/>
              <w:t xml:space="preserve">Key </w:t>
            </w:r>
            <w:r w:rsidRPr="00A65B02">
              <w:rPr>
                <w:rStyle w:val="BoldandItalics"/>
              </w:rPr>
              <w:t>functional systems of the human body</w:t>
            </w:r>
            <w:r w:rsidRPr="00A65B02">
              <w:t xml:space="preserve"> are identified accurately.</w:t>
            </w:r>
          </w:p>
          <w:p w:rsidR="00000000" w:rsidRPr="00A65B02" w:rsidP="00A65B02">
            <w:pPr>
              <w:pStyle w:val="List"/>
            </w:pPr>
            <w:r w:rsidRPr="00A65B02">
              <w:t>1.2</w:t>
            </w:r>
            <w:r w:rsidRPr="00A65B02">
              <w:tab/>
              <w:t xml:space="preserve">Appropriate </w:t>
            </w:r>
            <w:r w:rsidRPr="00A65B02">
              <w:rPr>
                <w:rStyle w:val="BoldandItalics"/>
              </w:rPr>
              <w:t>terminology for describing impairment of key body functions</w:t>
            </w:r>
            <w:r w:rsidRPr="00A65B02">
              <w:t xml:space="preserve"> is selected and applied.</w:t>
            </w:r>
          </w:p>
          <w:p w:rsidR="00000000" w:rsidRPr="00A65B02" w:rsidP="00A65B02">
            <w:pPr>
              <w:pStyle w:val="List"/>
            </w:pPr>
            <w:r w:rsidRPr="00A65B02">
              <w:t>1.3</w:t>
            </w:r>
            <w:r w:rsidRPr="00A65B02">
              <w:tab/>
              <w:t xml:space="preserve">The relationship between </w:t>
            </w:r>
            <w:r w:rsidRPr="00A65B02">
              <w:rPr>
                <w:rStyle w:val="BoldandItalics"/>
              </w:rPr>
              <w:t>impairment</w:t>
            </w:r>
            <w:r w:rsidRPr="00A65B02">
              <w:t xml:space="preserve">, </w:t>
            </w:r>
            <w:r w:rsidRPr="00A65B02">
              <w:rPr>
                <w:rStyle w:val="BoldandItalics"/>
              </w:rPr>
              <w:t>disability</w:t>
            </w:r>
            <w:r w:rsidRPr="00A65B02">
              <w:t xml:space="preserve"> and </w:t>
            </w:r>
            <w:r w:rsidRPr="00A65B02">
              <w:rPr>
                <w:rStyle w:val="BoldandItalics"/>
              </w:rPr>
              <w:t>handicap</w:t>
            </w:r>
            <w:r w:rsidRPr="00A65B02">
              <w:t xml:space="preserve"> is recognised.</w:t>
            </w:r>
          </w:p>
          <w:p w:rsidR="00000000" w:rsidP="00A65B02">
            <w:pPr>
              <w:pStyle w:val="List"/>
              <w:rPr>
                <w:lang w:val="en-NZ"/>
              </w:rPr>
            </w:pPr>
            <w:r w:rsidRPr="00A65B02">
              <w:t>1.4</w:t>
            </w:r>
            <w:r w:rsidRPr="00A65B02">
              <w:tab/>
              <w:t>Ex</w:t>
            </w:r>
            <w:r w:rsidRPr="00A65B02">
              <w:t>tent of impairment in a defined population is recorded in a recognised format for retrieval and statistical analysis in accordance with organisational requirements.</w:t>
            </w:r>
          </w:p>
        </w:tc>
      </w:tr>
      <w:tr w:rsidTr="00473D95">
        <w:tblPrEx>
          <w:tblW w:w="0" w:type="auto"/>
          <w:tblLayout w:type="fixed"/>
          <w:tblCellMar>
            <w:left w:w="62" w:type="dxa"/>
            <w:right w:w="62" w:type="dxa"/>
          </w:tblCellMar>
          <w:tblLook w:val="0000"/>
        </w:tblPrEx>
        <w:trPr>
          <w:gridAfter w:val="1"/>
          <w:wAfter w:w="17" w:type="dxa"/>
        </w:trPr>
        <w:tc>
          <w:tcPr>
            <w:tcW w:w="2991" w:type="dxa"/>
            <w:tcBorders>
              <w:top w:val="nil"/>
              <w:left w:val="nil"/>
              <w:bottom w:val="nil"/>
              <w:right w:val="nil"/>
            </w:tcBorders>
            <w:tcMar>
              <w:top w:w="0" w:type="dxa"/>
              <w:left w:w="62" w:type="dxa"/>
              <w:bottom w:w="0" w:type="dxa"/>
              <w:right w:w="62" w:type="dxa"/>
            </w:tcMar>
          </w:tcPr>
          <w:p w:rsidR="00000000" w:rsidP="00A65B02">
            <w:pPr>
              <w:pStyle w:val="List"/>
              <w:rPr>
                <w:lang w:val="en-NZ"/>
              </w:rPr>
            </w:pPr>
            <w:r w:rsidRPr="00A65B02">
              <w:rPr>
                <w:rStyle w:val="SpecialBold"/>
              </w:rPr>
              <w:t>2</w:t>
            </w:r>
            <w:r w:rsidRPr="00A65B02">
              <w:tab/>
            </w:r>
            <w:r w:rsidRPr="00A65B02">
              <w:rPr>
                <w:rStyle w:val="SpecialBold"/>
              </w:rPr>
              <w:t>Analyse the impact of anatomical and functional impairment of the musculoskeletal system</w:t>
            </w:r>
            <w:r w:rsidRPr="00A65B02">
              <w:rPr>
                <w:rStyle w:val="SpecialBold"/>
              </w:rPr>
              <w:t xml:space="preserve"> on the mobility needs of a defined population</w:t>
            </w:r>
            <w:r w:rsidRPr="00A65B02">
              <w:t xml:space="preserve">, </w:t>
            </w:r>
            <w:r w:rsidRPr="00A65B02">
              <w:rPr>
                <w:rStyle w:val="SpecialBold"/>
              </w:rPr>
              <w:t>and the consequences for accessible design</w:t>
            </w:r>
            <w:r w:rsidRPr="00A65B02">
              <w:t>.</w:t>
            </w:r>
          </w:p>
        </w:tc>
        <w:tc>
          <w:tcPr>
            <w:tcW w:w="5505" w:type="dxa"/>
            <w:gridSpan w:val="2"/>
            <w:tcBorders>
              <w:top w:val="nil"/>
              <w:left w:val="nil"/>
              <w:bottom w:val="nil"/>
              <w:right w:val="nil"/>
            </w:tcBorders>
            <w:tcMar>
              <w:top w:w="0" w:type="dxa"/>
              <w:left w:w="62" w:type="dxa"/>
              <w:bottom w:w="0" w:type="dxa"/>
              <w:right w:w="62" w:type="dxa"/>
            </w:tcMar>
          </w:tcPr>
          <w:p w:rsidR="00000000" w:rsidRPr="00A65B02" w:rsidP="00A65B02">
            <w:pPr>
              <w:pStyle w:val="List"/>
            </w:pPr>
            <w:r w:rsidRPr="00A65B02">
              <w:t>2.1</w:t>
            </w:r>
            <w:r w:rsidRPr="00A65B02">
              <w:tab/>
              <w:t xml:space="preserve">Published </w:t>
            </w:r>
            <w:r w:rsidRPr="00A65B02">
              <w:rPr>
                <w:rStyle w:val="BoldandItalics"/>
              </w:rPr>
              <w:t>accessibility design data for mobility</w:t>
            </w:r>
            <w:r w:rsidRPr="00A65B02">
              <w:t xml:space="preserve"> is assessed against anatomical and functional impairment data for its ability to meet the mobility needs of the</w:t>
            </w:r>
            <w:r w:rsidRPr="00A65B02">
              <w:t xml:space="preserve"> defined population.</w:t>
            </w:r>
          </w:p>
          <w:p w:rsidR="00000000" w:rsidP="00A65B02">
            <w:pPr>
              <w:pStyle w:val="List"/>
              <w:rPr>
                <w:lang w:val="en-NZ"/>
              </w:rPr>
            </w:pPr>
            <w:r w:rsidRPr="00A65B02">
              <w:t>2.2</w:t>
            </w:r>
            <w:r w:rsidRPr="00A65B02">
              <w:tab/>
              <w:t xml:space="preserve">Data on </w:t>
            </w:r>
            <w:r w:rsidRPr="00A65B02">
              <w:rPr>
                <w:rStyle w:val="BoldandItalics"/>
              </w:rPr>
              <w:t>anatomical and functional impairment of the musculoskeletal system</w:t>
            </w:r>
            <w:r w:rsidRPr="00A65B02">
              <w:t xml:space="preserve"> for a defined population is compared with published accessibility design data to identify any differences in mobility needs and the extent of those differen</w:t>
            </w:r>
            <w:r w:rsidRPr="00A65B02">
              <w:t>ces.</w:t>
            </w:r>
          </w:p>
        </w:tc>
      </w:tr>
      <w:tr w:rsidTr="00473D95">
        <w:tblPrEx>
          <w:tblW w:w="0" w:type="auto"/>
          <w:tblLayout w:type="fixed"/>
          <w:tblCellMar>
            <w:left w:w="62" w:type="dxa"/>
            <w:right w:w="62" w:type="dxa"/>
          </w:tblCellMar>
          <w:tblLook w:val="0000"/>
        </w:tblPrEx>
        <w:trPr>
          <w:gridAfter w:val="1"/>
          <w:wAfter w:w="17" w:type="dxa"/>
        </w:trPr>
        <w:tc>
          <w:tcPr>
            <w:tcW w:w="2991"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p>
        </w:tc>
        <w:tc>
          <w:tcPr>
            <w:tcW w:w="5505" w:type="dxa"/>
            <w:gridSpan w:val="2"/>
            <w:tcBorders>
              <w:top w:val="nil"/>
              <w:left w:val="nil"/>
              <w:bottom w:val="nil"/>
              <w:right w:val="nil"/>
            </w:tcBorders>
            <w:tcMar>
              <w:top w:w="0" w:type="dxa"/>
              <w:left w:w="62" w:type="dxa"/>
              <w:bottom w:w="0" w:type="dxa"/>
              <w:right w:w="62" w:type="dxa"/>
            </w:tcMar>
          </w:tcPr>
          <w:p w:rsidR="00000000" w:rsidP="00A65B02">
            <w:pPr>
              <w:pStyle w:val="List"/>
              <w:rPr>
                <w:lang w:val="en-NZ"/>
              </w:rPr>
            </w:pPr>
            <w:r w:rsidRPr="00A65B02">
              <w:t>2.3</w:t>
            </w:r>
            <w:r w:rsidRPr="00A65B02">
              <w:tab/>
              <w:t>Possible causes for the difference between the defined population and the published accessibility design data are identified, and the likely consequences of altering published accessibility design data are assessed.</w:t>
            </w:r>
          </w:p>
        </w:tc>
      </w:tr>
      <w:tr w:rsidTr="00473D95">
        <w:tblPrEx>
          <w:tblW w:w="0" w:type="auto"/>
          <w:tblLayout w:type="fixed"/>
          <w:tblCellMar>
            <w:left w:w="62" w:type="dxa"/>
            <w:right w:w="62" w:type="dxa"/>
          </w:tblCellMar>
          <w:tblLook w:val="0000"/>
        </w:tblPrEx>
        <w:trPr>
          <w:gridAfter w:val="1"/>
          <w:wAfter w:w="17" w:type="dxa"/>
        </w:trPr>
        <w:tc>
          <w:tcPr>
            <w:tcW w:w="2991" w:type="dxa"/>
            <w:tcBorders>
              <w:top w:val="nil"/>
              <w:left w:val="nil"/>
              <w:bottom w:val="nil"/>
              <w:right w:val="nil"/>
            </w:tcBorders>
            <w:tcMar>
              <w:top w:w="0" w:type="dxa"/>
              <w:left w:w="62" w:type="dxa"/>
              <w:bottom w:w="0" w:type="dxa"/>
              <w:right w:w="62" w:type="dxa"/>
            </w:tcMar>
          </w:tcPr>
          <w:p w:rsidR="00000000" w:rsidP="00A65B02">
            <w:pPr>
              <w:pStyle w:val="List"/>
              <w:rPr>
                <w:lang w:val="en-NZ"/>
              </w:rPr>
            </w:pPr>
            <w:r w:rsidRPr="00A65B02">
              <w:rPr>
                <w:rStyle w:val="SpecialBold"/>
              </w:rPr>
              <w:t>3</w:t>
            </w:r>
            <w:r w:rsidRPr="00A65B02">
              <w:tab/>
            </w:r>
            <w:r w:rsidRPr="00A65B02">
              <w:rPr>
                <w:rStyle w:val="SpecialBold"/>
              </w:rPr>
              <w:t>Analyse the impact of anatomical and functional impairment of the eye and vision system on the wayfinding needs of a defined population and the consequences for accessible design</w:t>
            </w:r>
            <w:r w:rsidRPr="00A65B02">
              <w:t>.</w:t>
            </w:r>
          </w:p>
        </w:tc>
        <w:tc>
          <w:tcPr>
            <w:tcW w:w="5505" w:type="dxa"/>
            <w:gridSpan w:val="2"/>
            <w:tcBorders>
              <w:top w:val="nil"/>
              <w:left w:val="nil"/>
              <w:bottom w:val="nil"/>
              <w:right w:val="nil"/>
            </w:tcBorders>
            <w:tcMar>
              <w:top w:w="0" w:type="dxa"/>
              <w:left w:w="62" w:type="dxa"/>
              <w:bottom w:w="0" w:type="dxa"/>
              <w:right w:w="62" w:type="dxa"/>
            </w:tcMar>
          </w:tcPr>
          <w:p w:rsidR="00000000" w:rsidRPr="00A65B02" w:rsidP="00A65B02">
            <w:pPr>
              <w:pStyle w:val="List"/>
            </w:pPr>
            <w:r w:rsidRPr="00A65B02">
              <w:t>3.1</w:t>
            </w:r>
            <w:r w:rsidRPr="00A65B02">
              <w:tab/>
              <w:t xml:space="preserve">Published </w:t>
            </w:r>
            <w:r w:rsidRPr="00A65B02">
              <w:rPr>
                <w:rStyle w:val="BoldandItalics"/>
              </w:rPr>
              <w:t>accessibility design data for wayfinding</w:t>
            </w:r>
            <w:r w:rsidRPr="00A65B02">
              <w:t xml:space="preserve"> is assessed against </w:t>
            </w:r>
            <w:r w:rsidRPr="00A65B02">
              <w:rPr>
                <w:rStyle w:val="BoldandItalics"/>
              </w:rPr>
              <w:t>a</w:t>
            </w:r>
            <w:r w:rsidRPr="00A65B02">
              <w:rPr>
                <w:rStyle w:val="BoldandItalics"/>
              </w:rPr>
              <w:t>natomical and functional impairment of the eye and vision system</w:t>
            </w:r>
            <w:r w:rsidRPr="00A65B02">
              <w:t xml:space="preserve"> data for its ability to meet the wayfinding needs of the defined population.</w:t>
            </w:r>
          </w:p>
          <w:p w:rsidR="00000000" w:rsidRPr="00A65B02" w:rsidP="00A65B02">
            <w:pPr>
              <w:pStyle w:val="List"/>
            </w:pPr>
            <w:r w:rsidRPr="00A65B02">
              <w:t>3.2</w:t>
            </w:r>
            <w:r w:rsidRPr="00A65B02">
              <w:tab/>
              <w:t>Data on anatomical and functional impairment of the eye and vision system for a defined population is compared</w:t>
            </w:r>
            <w:r w:rsidRPr="00A65B02">
              <w:t xml:space="preserve"> with published accessibility design data to identify any differences in mobility needs and the extent of those differences.</w:t>
            </w:r>
          </w:p>
          <w:p w:rsidR="00000000" w:rsidP="00A65B02">
            <w:pPr>
              <w:pStyle w:val="List"/>
              <w:rPr>
                <w:lang w:val="en-NZ"/>
              </w:rPr>
            </w:pPr>
            <w:r w:rsidRPr="00A65B02">
              <w:t>3.3</w:t>
            </w:r>
            <w:r w:rsidRPr="00A65B02">
              <w:tab/>
              <w:t>Possible causes for the difference between the defined population and the published accessibility design data are identified, a</w:t>
            </w:r>
            <w:r w:rsidRPr="00A65B02">
              <w:t>nd the likely consequences of altering published accessibility design data are assessed.</w:t>
            </w:r>
          </w:p>
        </w:tc>
      </w:tr>
      <w:tr w:rsidTr="00473D95">
        <w:tblPrEx>
          <w:tblW w:w="0" w:type="auto"/>
          <w:tblLayout w:type="fixed"/>
          <w:tblCellMar>
            <w:left w:w="62" w:type="dxa"/>
            <w:right w:w="62" w:type="dxa"/>
          </w:tblCellMar>
          <w:tblLook w:val="0000"/>
        </w:tblPrEx>
        <w:trPr>
          <w:gridAfter w:val="1"/>
          <w:wAfter w:w="17" w:type="dxa"/>
        </w:trPr>
        <w:tc>
          <w:tcPr>
            <w:tcW w:w="2991" w:type="dxa"/>
            <w:tcBorders>
              <w:top w:val="nil"/>
              <w:left w:val="nil"/>
              <w:bottom w:val="nil"/>
              <w:right w:val="nil"/>
            </w:tcBorders>
            <w:tcMar>
              <w:top w:w="0" w:type="dxa"/>
              <w:left w:w="62" w:type="dxa"/>
              <w:bottom w:w="0" w:type="dxa"/>
              <w:right w:w="62" w:type="dxa"/>
            </w:tcMar>
          </w:tcPr>
          <w:p w:rsidR="00000000" w:rsidP="00A65B02">
            <w:pPr>
              <w:pStyle w:val="List"/>
              <w:rPr>
                <w:lang w:val="en-NZ"/>
              </w:rPr>
            </w:pPr>
            <w:r w:rsidRPr="00A65B02">
              <w:rPr>
                <w:rStyle w:val="SpecialBold"/>
              </w:rPr>
              <w:t>4</w:t>
            </w:r>
            <w:r w:rsidRPr="00A65B02">
              <w:tab/>
            </w:r>
            <w:r w:rsidRPr="00A65B02">
              <w:rPr>
                <w:rStyle w:val="SpecialBold"/>
              </w:rPr>
              <w:t>Analyse the impact of anatomical and functional impairment of the ear and auditory system on the communication needs of a defined population and the consequences fo</w:t>
            </w:r>
            <w:r w:rsidRPr="00A65B02">
              <w:rPr>
                <w:rStyle w:val="SpecialBold"/>
              </w:rPr>
              <w:t>r accessible design</w:t>
            </w:r>
            <w:r w:rsidRPr="00A65B02">
              <w:t>.</w:t>
            </w:r>
          </w:p>
        </w:tc>
        <w:tc>
          <w:tcPr>
            <w:tcW w:w="5505" w:type="dxa"/>
            <w:gridSpan w:val="2"/>
            <w:tcBorders>
              <w:top w:val="nil"/>
              <w:left w:val="nil"/>
              <w:bottom w:val="nil"/>
              <w:right w:val="nil"/>
            </w:tcBorders>
            <w:tcMar>
              <w:top w:w="0" w:type="dxa"/>
              <w:left w:w="62" w:type="dxa"/>
              <w:bottom w:w="0" w:type="dxa"/>
              <w:right w:w="62" w:type="dxa"/>
            </w:tcMar>
          </w:tcPr>
          <w:p w:rsidR="00000000" w:rsidRPr="00A65B02" w:rsidP="00A65B02">
            <w:pPr>
              <w:pStyle w:val="List"/>
            </w:pPr>
            <w:r w:rsidRPr="00A65B02">
              <w:t>4.1</w:t>
            </w:r>
            <w:r w:rsidRPr="00A65B02">
              <w:tab/>
              <w:t xml:space="preserve">Published </w:t>
            </w:r>
            <w:r w:rsidRPr="00A65B02">
              <w:rPr>
                <w:rStyle w:val="BoldandItalics"/>
              </w:rPr>
              <w:t>accessibility design data for communication</w:t>
            </w:r>
            <w:r w:rsidRPr="00A65B02">
              <w:t xml:space="preserve"> is assessed against </w:t>
            </w:r>
            <w:r w:rsidRPr="00A65B02">
              <w:rPr>
                <w:rStyle w:val="BoldandItalics"/>
              </w:rPr>
              <w:t>anatomical and functional impairment of the ear and auditory system</w:t>
            </w:r>
            <w:r w:rsidRPr="00A65B02">
              <w:t xml:space="preserve"> data for its ability to meet the communication needs of the defined population.</w:t>
            </w:r>
          </w:p>
          <w:p w:rsidR="00000000" w:rsidRPr="00A65B02" w:rsidP="00A65B02">
            <w:pPr>
              <w:pStyle w:val="List"/>
            </w:pPr>
            <w:r w:rsidRPr="00A65B02">
              <w:t>4.2</w:t>
            </w:r>
            <w:r w:rsidRPr="00A65B02">
              <w:tab/>
              <w:t xml:space="preserve">Data </w:t>
            </w:r>
            <w:r w:rsidRPr="00A65B02">
              <w:t>on anatomical and functional impairment of the ear and auditory system for a defined population is compared with published accessibility design data to identify any differences in mobility needs and the extent of those differences.</w:t>
            </w:r>
          </w:p>
          <w:p w:rsidR="00000000" w:rsidRPr="00A65B02" w:rsidP="00A65B02">
            <w:pPr>
              <w:pStyle w:val="List"/>
            </w:pPr>
            <w:r w:rsidRPr="00A65B02">
              <w:t>4.3</w:t>
            </w:r>
            <w:r w:rsidRPr="00A65B02">
              <w:tab/>
              <w:t xml:space="preserve">Possible causes for </w:t>
            </w:r>
            <w:r w:rsidRPr="00A65B02">
              <w:t>the difference between the defined population and the published accessibility design data are identified, and the likely consequences of altering published accessibility design data are assessed.</w:t>
            </w:r>
          </w:p>
        </w:tc>
      </w:tr>
    </w:tbl>
    <w:p w:rsidR="00473D95" w:rsidP="00A65B02">
      <w:pPr>
        <w:pStyle w:val="BodyText"/>
      </w:pPr>
    </w:p>
    <w:p w:rsidR="00473D95" w:rsidP="00A65B02">
      <w:pPr>
        <w:pStyle w:val="BodyText"/>
      </w:pPr>
    </w:p>
    <w:p w:rsidR="00000000" w:rsidRPr="00A65B02" w:rsidP="00A65B02">
      <w:pPr>
        <w:pStyle w:val="Heading1"/>
      </w:pPr>
      <w:bookmarkStart w:id="9" w:name="O_258648"/>
      <w:bookmarkEnd w:id="9"/>
      <w:r w:rsidRPr="00A65B02">
        <w:t>Required Skills and Knowledge</w:t>
      </w:r>
    </w:p>
    <w:p w:rsidR="00000000" w:rsidRPr="00A65B02" w:rsidP="00A65B02">
      <w:pPr>
        <w:pStyle w:val="BodyText"/>
      </w:pPr>
      <w:r w:rsidRPr="00A65B02">
        <w:rPr>
          <w:rStyle w:val="SpecialBold"/>
        </w:rPr>
        <w:t>REQUIRED S</w:t>
      </w:r>
      <w:r w:rsidRPr="00A65B02">
        <w:rPr>
          <w:rStyle w:val="SpecialBold"/>
        </w:rPr>
        <w:t>KILLS AND KNOWLEDGE</w:t>
      </w:r>
    </w:p>
    <w:p w:rsidR="00000000" w:rsidRPr="00A65B02" w:rsidP="00A65B02">
      <w:pPr>
        <w:pStyle w:val="BodyText"/>
      </w:pPr>
      <w:r w:rsidRPr="00A65B02">
        <w:t>This section describes the essential skills and knowledge and their level, required for this unit.</w:t>
      </w:r>
    </w:p>
    <w:p w:rsidR="00000000" w:rsidRPr="00A65B02" w:rsidP="00A65B02">
      <w:pPr>
        <w:pStyle w:val="BodyText"/>
      </w:pPr>
      <w:r w:rsidRPr="00A65B02">
        <w:rPr>
          <w:rStyle w:val="SpecialBold"/>
        </w:rPr>
        <w:t>Required knowledge and understanding include</w:t>
      </w:r>
      <w:r w:rsidRPr="00A65B02">
        <w:t>:</w:t>
      </w:r>
    </w:p>
    <w:p w:rsidR="00000000" w:rsidRPr="00A65B02" w:rsidP="00A65B02">
      <w:pPr>
        <w:pStyle w:val="ListBullet"/>
      </w:pPr>
      <w:r w:rsidRPr="00A65B02">
        <w:t>anatomical terminology</w:t>
      </w:r>
    </w:p>
    <w:p w:rsidR="00000000" w:rsidRPr="00A65B02" w:rsidP="00A65B02">
      <w:pPr>
        <w:pStyle w:val="ListBullet"/>
      </w:pPr>
      <w:r w:rsidRPr="00A65B02">
        <w:t>commonwealth, state and territory anti-discrimination legislation and regulations</w:t>
      </w:r>
    </w:p>
    <w:p w:rsidR="00000000" w:rsidRPr="00A65B02" w:rsidP="00A65B02">
      <w:pPr>
        <w:pStyle w:val="ListBullet"/>
      </w:pPr>
      <w:r w:rsidRPr="00A65B02">
        <w:t>disability awareness</w:t>
      </w:r>
    </w:p>
    <w:p w:rsidR="00000000" w:rsidRPr="00A65B02" w:rsidP="00A65B02">
      <w:pPr>
        <w:pStyle w:val="ListBullet"/>
      </w:pPr>
      <w:r w:rsidRPr="00A65B02">
        <w:t>human anatomy, body systems and functions</w:t>
      </w:r>
    </w:p>
    <w:p w:rsidR="00000000" w:rsidRPr="00A65B02" w:rsidP="00A65B02">
      <w:pPr>
        <w:pStyle w:val="ListBullet"/>
      </w:pPr>
      <w:r w:rsidRPr="00A65B02">
        <w:t>industry codes of practice and ethics</w:t>
      </w:r>
    </w:p>
    <w:p w:rsidR="00000000" w:rsidRPr="00A65B02" w:rsidP="00A65B02">
      <w:pPr>
        <w:pStyle w:val="ListBullet"/>
      </w:pPr>
      <w:r w:rsidRPr="00A65B02">
        <w:t xml:space="preserve">international codes, standards, regulations and practices </w:t>
      </w:r>
    </w:p>
    <w:p w:rsidR="00000000" w:rsidRPr="00A65B02" w:rsidP="00A65B02">
      <w:pPr>
        <w:pStyle w:val="ListBullet"/>
      </w:pPr>
      <w:r w:rsidRPr="00A65B02">
        <w:t>limitations of</w:t>
      </w:r>
      <w:r w:rsidRPr="00A65B02">
        <w:t xml:space="preserve"> work role, responsibility and professional abilities</w:t>
      </w:r>
    </w:p>
    <w:p w:rsidR="00000000" w:rsidRPr="00A65B02" w:rsidP="00A65B02">
      <w:pPr>
        <w:pStyle w:val="ListBullet"/>
      </w:pPr>
      <w:r w:rsidRPr="00A65B02">
        <w:t>normal population variance</w:t>
      </w:r>
    </w:p>
    <w:p w:rsidR="00000000" w:rsidRPr="00A65B02" w:rsidP="00A65B02">
      <w:pPr>
        <w:pStyle w:val="ListBullet"/>
      </w:pPr>
      <w:r w:rsidRPr="00A65B02">
        <w:t>occupational health and safety legislation and procedures</w:t>
      </w:r>
    </w:p>
    <w:p w:rsidR="00000000" w:rsidRPr="00A65B02" w:rsidP="00A65B02">
      <w:pPr>
        <w:pStyle w:val="ListBullet"/>
      </w:pPr>
      <w:r w:rsidRPr="00A65B02">
        <w:t>processes for interpreting reports, working drawings and specifications</w:t>
      </w:r>
    </w:p>
    <w:p w:rsidR="00000000" w:rsidRPr="00A65B02" w:rsidP="00A65B02">
      <w:pPr>
        <w:pStyle w:val="ListBullet"/>
      </w:pPr>
      <w:r w:rsidRPr="00A65B02">
        <w:t>preparation of research findings</w:t>
      </w:r>
    </w:p>
    <w:p w:rsidR="00000000" w:rsidRPr="00A65B02" w:rsidP="00A65B02">
      <w:pPr>
        <w:pStyle w:val="ListBullet"/>
      </w:pPr>
      <w:r w:rsidRPr="00A65B02">
        <w:t>principles o</w:t>
      </w:r>
      <w:r w:rsidRPr="00A65B02">
        <w:t>f design relating to accessible buildings and fitouts</w:t>
      </w:r>
    </w:p>
    <w:p w:rsidR="00000000" w:rsidRPr="00A65B02" w:rsidP="00A65B02">
      <w:pPr>
        <w:pStyle w:val="ListBullet"/>
      </w:pPr>
      <w:r w:rsidRPr="00A65B02">
        <w:t>principles of safe and efficient workplace design</w:t>
      </w:r>
    </w:p>
    <w:p w:rsidR="00000000" w:rsidRPr="00A65B02" w:rsidP="00A65B02">
      <w:pPr>
        <w:pStyle w:val="ListBullet"/>
      </w:pPr>
      <w:r w:rsidRPr="00A65B02">
        <w:t>relevant commonwealth, state and territory building legislation, local government regulations and Australian standards</w:t>
      </w:r>
    </w:p>
    <w:p w:rsidR="00000000" w:rsidRPr="00A65B02" w:rsidP="00A65B02">
      <w:pPr>
        <w:pStyle w:val="ListBullet"/>
      </w:pPr>
      <w:r w:rsidRPr="00A65B02">
        <w:t>research methodologies and analyt</w:t>
      </w:r>
      <w:r w:rsidRPr="00A65B02">
        <w:t>ical processes</w:t>
      </w:r>
    </w:p>
    <w:p w:rsidR="00000000" w:rsidRPr="00A65B02" w:rsidP="00A65B02">
      <w:pPr>
        <w:pStyle w:val="ListBullet"/>
      </w:pPr>
      <w:r w:rsidRPr="00A65B02">
        <w:t>statistical parameters of a normally distributed population</w:t>
      </w:r>
    </w:p>
    <w:p w:rsidR="00000000" w:rsidRPr="00A65B02" w:rsidP="00A65B02">
      <w:pPr>
        <w:pStyle w:val="ListBullet"/>
      </w:pPr>
      <w:r w:rsidRPr="00A65B02">
        <w:t>relevant terminology and definitions in hazard identification.</w:t>
      </w:r>
    </w:p>
    <w:p w:rsidR="00000000" w:rsidRPr="00A65B02" w:rsidP="00A65B02">
      <w:pPr>
        <w:pStyle w:val="BodyText"/>
      </w:pPr>
      <w:r w:rsidRPr="00A65B02">
        <w:rPr>
          <w:rStyle w:val="SpecialBold"/>
        </w:rPr>
        <w:t>Required skills and attributes include</w:t>
      </w:r>
      <w:r w:rsidRPr="00A65B02">
        <w:t>:</w:t>
      </w:r>
    </w:p>
    <w:tbl>
      <w:tblPr>
        <w:tblW w:w="9356" w:type="dxa"/>
        <w:tblLayout w:type="fixed"/>
        <w:tblCellMar>
          <w:left w:w="62" w:type="dxa"/>
          <w:right w:w="62" w:type="dxa"/>
        </w:tblCellMar>
        <w:tblLook w:val="0000"/>
      </w:tblPr>
      <w:tblGrid>
        <w:gridCol w:w="9356"/>
      </w:tblGrid>
      <w:tr w:rsidTr="00473D9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analytical skills to:</w:t>
            </w:r>
          </w:p>
          <w:p w:rsidR="00000000" w:rsidRPr="00A65B02" w:rsidP="00A65B02">
            <w:pPr>
              <w:pStyle w:val="ListBullet2"/>
            </w:pPr>
            <w:r w:rsidRPr="00A65B02">
              <w:t>analyse, evaluate and apply legislative requirements pe</w:t>
            </w:r>
            <w:r w:rsidRPr="00A65B02">
              <w:t>rtaining to disability access</w:t>
            </w:r>
          </w:p>
          <w:p w:rsidR="00000000" w:rsidRPr="00A65B02" w:rsidP="00A65B02">
            <w:pPr>
              <w:pStyle w:val="ListBullet2"/>
            </w:pPr>
            <w:r w:rsidRPr="00A65B02">
              <w:t>analyse and evaluate the impacts of the full range of disabilities and the limitations that each disability places on the individual's ability to access the environment</w:t>
            </w:r>
          </w:p>
          <w:p w:rsidR="00000000" w:rsidRPr="00A65B02" w:rsidP="00A65B02">
            <w:pPr>
              <w:pStyle w:val="ListBullet2"/>
            </w:pPr>
            <w:r w:rsidRPr="00A65B02">
              <w:t>analyse and evaluate how environmental barriers impact on people with disabilities</w:t>
            </w:r>
          </w:p>
          <w:p w:rsidR="00000000" w:rsidRPr="00A65B02" w:rsidP="00A65B02">
            <w:pPr>
              <w:pStyle w:val="ListBullet2"/>
            </w:pPr>
            <w:r w:rsidRPr="00A65B02">
              <w:t>interpret and analyse routine and non-routine situations to establish suitable methods of reporting</w:t>
            </w:r>
          </w:p>
          <w:p w:rsidR="00000000" w:rsidRPr="00A65B02" w:rsidP="00A65B02">
            <w:pPr>
              <w:pStyle w:val="ListBullet"/>
            </w:pPr>
            <w:r w:rsidRPr="00A65B02">
              <w:t>application skills to:</w:t>
            </w:r>
          </w:p>
          <w:p w:rsidR="00000000" w:rsidRPr="00A65B02" w:rsidP="00A65B02">
            <w:pPr>
              <w:pStyle w:val="ListBullet2"/>
            </w:pPr>
            <w:r w:rsidRPr="00A65B02">
              <w:t>apply relevant anti-discrimination and building l</w:t>
            </w:r>
            <w:r w:rsidRPr="00A65B02">
              <w:t>egislation</w:t>
            </w:r>
          </w:p>
          <w:p w:rsidR="00000000" w:rsidRPr="00A65B02" w:rsidP="00A65B02">
            <w:pPr>
              <w:pStyle w:val="ListBullet2"/>
            </w:pPr>
            <w:r w:rsidRPr="00A65B02">
              <w:t>apply relevant industry codes of practice and ethics, and other legislative requirements to work processes</w:t>
            </w:r>
          </w:p>
          <w:p w:rsidR="00000000" w:rsidRPr="00A65B02" w:rsidP="00A65B02">
            <w:pPr>
              <w:pStyle w:val="ListBullet2"/>
            </w:pPr>
            <w:r w:rsidRPr="00A65B02">
              <w:t>apply disability awareness to work processes</w:t>
            </w:r>
          </w:p>
          <w:p w:rsidR="00000000" w:rsidRPr="00A65B02" w:rsidP="00A65B02">
            <w:pPr>
              <w:pStyle w:val="ListBullet2"/>
            </w:pPr>
            <w:r w:rsidRPr="00A65B02">
              <w:t>apply current Australian and international building codes, standards, regulations and practic</w:t>
            </w:r>
            <w:r w:rsidRPr="00A65B02">
              <w:t>es</w:t>
            </w:r>
          </w:p>
          <w:p w:rsidR="00000000" w:rsidRPr="00A65B02" w:rsidP="00A65B02">
            <w:pPr>
              <w:pStyle w:val="ListBullet"/>
            </w:pPr>
            <w:r w:rsidRPr="00A65B02">
              <w:t>communication skills to:</w:t>
            </w:r>
          </w:p>
          <w:p w:rsidR="00000000" w:rsidRPr="00A65B02" w:rsidP="00A65B02">
            <w:pPr>
              <w:pStyle w:val="ListBullet2"/>
            </w:pPr>
            <w:r w:rsidRPr="00A65B02">
              <w:t>explain clearly the findings from data analysis on human body functions and the relevance of the findings to ensuring appropriate access</w:t>
            </w:r>
          </w:p>
          <w:p w:rsidR="00000000" w:rsidRPr="00A65B02" w:rsidP="00A65B02">
            <w:pPr>
              <w:pStyle w:val="ListBullet2"/>
            </w:pPr>
            <w:r w:rsidRPr="00A65B02">
              <w:t>explain clearly information on issues and legislation relating to the provision of access</w:t>
            </w:r>
          </w:p>
          <w:p w:rsidR="00000000" w:rsidRPr="00A65B02" w:rsidP="00A65B02">
            <w:pPr>
              <w:pStyle w:val="ListBullet2"/>
            </w:pPr>
            <w:r w:rsidRPr="00A65B02">
              <w:t>consult effectively with colleagues and other experts</w:t>
            </w:r>
          </w:p>
          <w:p w:rsidR="00000000" w:rsidRPr="00A65B02" w:rsidP="00A65B02">
            <w:pPr>
              <w:pStyle w:val="ListBullet2"/>
            </w:pPr>
            <w:r w:rsidRPr="00A65B02">
              <w:t>impart knowledge and ideas through oral, written and visual means</w:t>
            </w:r>
          </w:p>
          <w:p w:rsidR="00000000" w:rsidRPr="00A65B02" w:rsidP="00A65B02">
            <w:pPr>
              <w:pStyle w:val="ListBullet2"/>
            </w:pPr>
            <w:r w:rsidRPr="00A65B02">
              <w:t>use workplace equipment and communication methods</w:t>
            </w:r>
          </w:p>
          <w:p w:rsidR="00000000" w:rsidRPr="00A65B02" w:rsidP="00A65B02">
            <w:pPr>
              <w:pStyle w:val="ListBullet"/>
            </w:pPr>
            <w:r w:rsidRPr="00A65B02">
              <w:t>literacy and numeracy skills to:</w:t>
            </w:r>
          </w:p>
          <w:p w:rsidR="00000000" w:rsidRPr="00A65B02" w:rsidP="00A65B02">
            <w:pPr>
              <w:pStyle w:val="ListBullet2"/>
            </w:pPr>
            <w:r w:rsidRPr="00A65B02">
              <w:t>assess and use workplace information</w:t>
            </w:r>
          </w:p>
          <w:p w:rsidR="00000000" w:rsidRPr="00A65B02" w:rsidP="00A65B02">
            <w:pPr>
              <w:pStyle w:val="ListBullet2"/>
            </w:pPr>
            <w:r w:rsidRPr="00A65B02">
              <w:t>measure anatomi</w:t>
            </w:r>
            <w:r w:rsidRPr="00A65B02">
              <w:t>cal and functional impairment and record data</w:t>
            </w:r>
          </w:p>
          <w:p w:rsidR="00000000" w:rsidRPr="00A65B02" w:rsidP="00A65B02">
            <w:pPr>
              <w:pStyle w:val="ListBullet2"/>
            </w:pPr>
            <w:r w:rsidRPr="00A65B02">
              <w:t>read and interpret statistical data</w:t>
            </w:r>
          </w:p>
          <w:p w:rsidR="00000000" w:rsidRPr="00A65B02" w:rsidP="00A65B02">
            <w:pPr>
              <w:pStyle w:val="ListBullet"/>
            </w:pPr>
            <w:r w:rsidRPr="00A65B02">
              <w:t>organisational skills to:</w:t>
            </w:r>
          </w:p>
          <w:p w:rsidR="00000000" w:rsidRPr="00A65B02" w:rsidP="00A65B02">
            <w:pPr>
              <w:pStyle w:val="ListBullet2"/>
            </w:pPr>
            <w:r w:rsidRPr="00A65B02">
              <w:t>coordinate data collection of defined populations</w:t>
            </w:r>
          </w:p>
          <w:p w:rsidR="00000000" w:rsidRPr="00A65B02" w:rsidP="00A65B02">
            <w:pPr>
              <w:pStyle w:val="ListBullet2"/>
            </w:pPr>
            <w:r w:rsidRPr="00A65B02">
              <w:t>prepare and manage documentation</w:t>
            </w:r>
          </w:p>
          <w:p w:rsidR="00000000" w:rsidRPr="00A65B02" w:rsidP="00A65B02">
            <w:pPr>
              <w:pStyle w:val="ListBullet2"/>
            </w:pPr>
            <w:r w:rsidRPr="00A65B02">
              <w:t>collect, store and retrieve data for analysis and reporting</w:t>
            </w:r>
          </w:p>
          <w:p w:rsidR="00000000" w:rsidRPr="00A65B02" w:rsidP="00A65B02">
            <w:pPr>
              <w:pStyle w:val="ListBullet2"/>
            </w:pPr>
            <w:r w:rsidRPr="00A65B02">
              <w:t>develop and implement organisational policies and procedures</w:t>
            </w:r>
          </w:p>
          <w:p w:rsidR="00000000" w:rsidRPr="00A65B02" w:rsidP="00A65B02">
            <w:pPr>
              <w:pStyle w:val="ListBullet"/>
            </w:pPr>
            <w:r w:rsidRPr="00A65B02">
              <w:t>interpersonal skills to:</w:t>
            </w:r>
          </w:p>
          <w:p w:rsidR="00000000" w:rsidRPr="00A65B02" w:rsidP="00A65B02">
            <w:pPr>
              <w:pStyle w:val="ListBullet2"/>
            </w:pPr>
            <w:r w:rsidRPr="00A65B02">
              <w:t>relate to people from a range of social, cultural and ethnic backgrounds and with a range of physical and mental abilities</w:t>
            </w:r>
          </w:p>
          <w:p w:rsidR="00000000" w:rsidRPr="00A65B02" w:rsidP="00A65B02">
            <w:pPr>
              <w:pStyle w:val="ListBullet2"/>
            </w:pPr>
            <w:r w:rsidRPr="00A65B02">
              <w:t xml:space="preserve">consult and provide advice in a sensitive and </w:t>
            </w:r>
            <w:r w:rsidRPr="00A65B02">
              <w:t>appropriate manner</w:t>
            </w:r>
          </w:p>
          <w:p w:rsidR="00000000" w:rsidRPr="00A65B02" w:rsidP="00A65B02">
            <w:pPr>
              <w:pStyle w:val="ListBullet2"/>
            </w:pPr>
            <w:r w:rsidRPr="00A65B02">
              <w:t>facilitate change for greater awareness of disability access</w:t>
            </w:r>
          </w:p>
          <w:p w:rsidR="00000000" w:rsidRPr="00A65B02" w:rsidP="00A65B02">
            <w:pPr>
              <w:pStyle w:val="ListBullet2"/>
            </w:pPr>
            <w:r w:rsidRPr="00A65B02">
              <w:t>analyse own work practices and process outcomes critically</w:t>
            </w:r>
          </w:p>
          <w:p w:rsidR="00000000" w:rsidRPr="00A65B02" w:rsidP="00A65B02">
            <w:pPr>
              <w:pStyle w:val="ListBullet2"/>
            </w:pPr>
            <w:r w:rsidRPr="00A65B02">
              <w:t>engage colleagues and share disability access knowledge</w:t>
            </w:r>
          </w:p>
          <w:p w:rsidR="00000000" w:rsidRPr="00A65B02" w:rsidP="00A65B02">
            <w:pPr>
              <w:pStyle w:val="ListBullet2"/>
            </w:pPr>
            <w:r w:rsidRPr="00A65B02">
              <w:t>adapt to new workplace situations</w:t>
            </w:r>
          </w:p>
          <w:p w:rsidR="00000000" w:rsidRPr="00A65B02" w:rsidP="00A65B02">
            <w:pPr>
              <w:pStyle w:val="ListBullet"/>
            </w:pPr>
            <w:r w:rsidRPr="00A65B02">
              <w:t>research and evaluation ski</w:t>
            </w:r>
            <w:r w:rsidRPr="00A65B02">
              <w:t>lls to:</w:t>
            </w:r>
          </w:p>
          <w:p w:rsidR="00000000" w:rsidRPr="00A65B02" w:rsidP="00A65B02">
            <w:pPr>
              <w:pStyle w:val="ListBullet2"/>
            </w:pPr>
            <w:r w:rsidRPr="00A65B02">
              <w:t>source, analyse and evaluate published architectural design data</w:t>
            </w:r>
          </w:p>
          <w:p w:rsidR="00000000" w:rsidRPr="00A65B02" w:rsidP="00A65B02">
            <w:pPr>
              <w:pStyle w:val="ListBullet2"/>
            </w:pPr>
            <w:r w:rsidRPr="00A65B02">
              <w:t>source, analyse and evaluate legislative requirements for the provision of access</w:t>
            </w:r>
          </w:p>
          <w:p w:rsidR="00000000" w:rsidRPr="00A65B02" w:rsidP="00A65B02">
            <w:pPr>
              <w:pStyle w:val="ListBullet"/>
            </w:pPr>
            <w:r w:rsidRPr="00A65B02">
              <w:t>technical skills to determine:</w:t>
            </w:r>
          </w:p>
          <w:p w:rsidR="00000000" w:rsidRPr="00A65B02" w:rsidP="00A65B02">
            <w:pPr>
              <w:pStyle w:val="ListBullet2"/>
            </w:pPr>
            <w:r w:rsidRPr="00A65B02">
              <w:t>the normality of population variance</w:t>
            </w:r>
          </w:p>
          <w:p w:rsidR="00000000" w:rsidRPr="00A65B02" w:rsidP="00A65B02">
            <w:pPr>
              <w:pStyle w:val="ListBullet2"/>
            </w:pPr>
            <w:r w:rsidRPr="00A65B02">
              <w:t>human body dysfunction and abil</w:t>
            </w:r>
            <w:r w:rsidRPr="00A65B02">
              <w:t>ity</w:t>
            </w:r>
          </w:p>
          <w:p w:rsidR="00000000" w:rsidRPr="00A65B02" w:rsidP="00A65B02">
            <w:pPr>
              <w:pStyle w:val="ListBullet2"/>
            </w:pPr>
            <w:r w:rsidRPr="00A65B02">
              <w:t>design solutions to overcome environmental barriers for the full range of disabilities and increase the ability of people to work and function in the community</w:t>
            </w:r>
          </w:p>
          <w:p w:rsidR="00000000" w:rsidRPr="00A65B02" w:rsidP="00A65B02">
            <w:pPr>
              <w:pStyle w:val="ListBullet2"/>
            </w:pPr>
            <w:r w:rsidRPr="00A65B02">
              <w:t>the statistical parameters of a normal population distribution.</w:t>
            </w:r>
          </w:p>
        </w:tc>
      </w:tr>
    </w:tbl>
    <w:p w:rsidR="00473D95" w:rsidP="00A65B02">
      <w:pPr>
        <w:pStyle w:val="BodyText"/>
      </w:pPr>
    </w:p>
    <w:p w:rsidR="00473D95" w:rsidP="00A65B02">
      <w:pPr>
        <w:pStyle w:val="BodyText"/>
      </w:pPr>
    </w:p>
    <w:p w:rsidR="00000000" w:rsidRPr="00A65B02" w:rsidP="00A65B02">
      <w:pPr>
        <w:pStyle w:val="Heading1"/>
      </w:pPr>
      <w:bookmarkStart w:id="10" w:name="O_242682"/>
      <w:bookmarkEnd w:id="10"/>
      <w:r w:rsidRPr="00A65B02">
        <w:t>Evidence Guide</w:t>
      </w:r>
    </w:p>
    <w:p w:rsidR="00000000" w:rsidRPr="00A65B02" w:rsidP="00A65B02">
      <w:pPr>
        <w:pStyle w:val="BodyText"/>
      </w:pPr>
      <w:r w:rsidRPr="00A65B02">
        <w:rPr>
          <w:rStyle w:val="SpecialBold"/>
        </w:rPr>
        <w:t>EVIDENCE GUIDE</w:t>
      </w:r>
    </w:p>
    <w:p w:rsidR="00000000" w:rsidRPr="00A65B02" w:rsidP="00A65B02">
      <w:pPr>
        <w:pStyle w:val="BodyText"/>
      </w:pPr>
      <w:r w:rsidRPr="00A65B02">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473D95">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SpecialBold"/>
              </w:rPr>
              <w:t>Overvi</w:t>
            </w:r>
            <w:r w:rsidRPr="00A65B02">
              <w:rPr>
                <w:rStyle w:val="SpecialBold"/>
              </w:rPr>
              <w:t>ew of assessment</w:t>
            </w:r>
          </w:p>
        </w:tc>
        <w:tc>
          <w:tcPr>
            <w:tcW w:w="5808" w:type="dxa"/>
            <w:tcBorders>
              <w:top w:val="nil"/>
              <w:left w:val="nil"/>
              <w:bottom w:val="nil"/>
              <w:right w:val="nil"/>
            </w:tcBorders>
            <w:tcMar>
              <w:top w:w="0" w:type="dxa"/>
              <w:left w:w="62" w:type="dxa"/>
              <w:bottom w:w="0" w:type="dxa"/>
              <w:right w:w="62" w:type="dxa"/>
            </w:tcMar>
          </w:tcPr>
          <w:p w:rsidR="00000000" w:rsidP="00A65B02">
            <w:pPr>
              <w:pStyle w:val="ListBullet"/>
              <w:rPr>
                <w:lang w:val="en-NZ"/>
              </w:rPr>
            </w:pPr>
            <w:r w:rsidRPr="00A65B02">
              <w:t>This unit of competency could be assessed on its own or as part of an integrated assessment activity involving other competencies relevant to the job function.</w:t>
            </w:r>
          </w:p>
        </w:tc>
      </w:tr>
      <w:tr w:rsidTr="00473D95">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SpecialBold"/>
              </w:rPr>
              <w:t>Critical aspects for assessment</w:t>
            </w:r>
            <w:r w:rsidRPr="00A65B02">
              <w:rPr>
                <w:rStyle w:val="SpecialBold"/>
              </w:rPr>
              <w:t xml:space="preserve">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A person who demonstrates competency in this unit must be able to provide evidence of:</w:t>
            </w:r>
          </w:p>
          <w:p w:rsidR="00000000" w:rsidRPr="00A65B02" w:rsidP="00A65B02">
            <w:pPr>
              <w:pStyle w:val="ListBullet2"/>
            </w:pPr>
            <w:r w:rsidRPr="00A65B02">
              <w:t>recognising the needs and desires of people with disabilities to engage fully in all aspects of society, a</w:t>
            </w:r>
            <w:r w:rsidRPr="00A65B02">
              <w:t>nd their right to do so</w:t>
            </w:r>
          </w:p>
          <w:p w:rsidR="00000000" w:rsidRPr="00A65B02" w:rsidP="00A65B02">
            <w:pPr>
              <w:pStyle w:val="ListBullet2"/>
            </w:pPr>
            <w:r w:rsidRPr="00A65B02">
              <w:t>interpreting accurately the impacts of the full range of disabilities and the limitations that each disability places on the individual's ability to access the environment</w:t>
            </w:r>
          </w:p>
          <w:p w:rsidR="00000000" w:rsidRPr="00A65B02" w:rsidP="00A65B02">
            <w:pPr>
              <w:pStyle w:val="ListBullet2"/>
            </w:pPr>
            <w:r w:rsidRPr="00A65B02">
              <w:t xml:space="preserve">interpreting accurately how the full range of environmental </w:t>
            </w:r>
            <w:r w:rsidRPr="00A65B02">
              <w:t>barriers impact on any of the impairments that people with disabilities might have</w:t>
            </w:r>
          </w:p>
          <w:p w:rsidR="00000000" w:rsidRPr="00A65B02" w:rsidP="00A65B02">
            <w:pPr>
              <w:pStyle w:val="ListBullet2"/>
            </w:pPr>
            <w:r w:rsidRPr="00A65B02">
              <w:t>identifying functional systems of the human body and their behaviour, and recording data accurately in preparation for analysis</w:t>
            </w:r>
          </w:p>
          <w:p w:rsidR="00000000" w:rsidRPr="00A65B02" w:rsidP="00A65B02">
            <w:pPr>
              <w:pStyle w:val="ListBullet2"/>
            </w:pPr>
            <w:r w:rsidRPr="00A65B02">
              <w:t>analysing human body systems data using appro</w:t>
            </w:r>
            <w:r w:rsidRPr="00A65B02">
              <w:t>priate statistical methodologies</w:t>
            </w:r>
          </w:p>
          <w:p w:rsidR="00000000" w:rsidRPr="00A65B02" w:rsidP="00A65B02">
            <w:pPr>
              <w:pStyle w:val="ListBullet2"/>
            </w:pPr>
            <w:r w:rsidRPr="00A65B02">
              <w:t>conducting comparative analysis on anatomical and impairment data of human body systems derived from defined population and published accessibility design data</w:t>
            </w:r>
          </w:p>
          <w:p w:rsidR="00000000" w:rsidRPr="00A65B02" w:rsidP="00A65B02">
            <w:pPr>
              <w:pStyle w:val="ListBullet2"/>
            </w:pPr>
            <w:r w:rsidRPr="00A65B02">
              <w:t>identifying design solutions to architectural barriers that imp</w:t>
            </w:r>
            <w:r w:rsidRPr="00A65B02">
              <w:t>act on people with impairment of body systems</w:t>
            </w:r>
          </w:p>
          <w:p w:rsidR="00000000" w:rsidP="00A65B02">
            <w:pPr>
              <w:pStyle w:val="ListBullet2"/>
              <w:rPr>
                <w:lang w:val="en-NZ"/>
              </w:rPr>
            </w:pPr>
            <w:r w:rsidRPr="00A65B02">
              <w:t>applying organisational management policies and procedures, including quality assurance requirements.</w:t>
            </w:r>
          </w:p>
        </w:tc>
      </w:tr>
      <w:tr w:rsidTr="00473D95">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Resource implications for assessment include:</w:t>
            </w:r>
          </w:p>
          <w:p w:rsidR="00000000" w:rsidRPr="00A65B02" w:rsidP="00A65B02">
            <w:pPr>
              <w:pStyle w:val="ListBullet2"/>
            </w:pPr>
            <w:r w:rsidRPr="00A65B02">
              <w:t>a registered provider of assessment services</w:t>
            </w:r>
          </w:p>
          <w:p w:rsidR="00000000" w:rsidRPr="00A65B02" w:rsidP="00A65B02">
            <w:pPr>
              <w:pStyle w:val="ListBullet2"/>
            </w:pPr>
            <w:r w:rsidRPr="00A65B02">
              <w:t>competency standards</w:t>
            </w:r>
          </w:p>
          <w:p w:rsidR="00000000" w:rsidRPr="00A65B02" w:rsidP="00A65B02">
            <w:pPr>
              <w:pStyle w:val="ListBullet2"/>
            </w:pPr>
            <w:r w:rsidRPr="00A65B02">
              <w:t>assessment materials and tools</w:t>
            </w:r>
          </w:p>
          <w:p w:rsidR="00000000" w:rsidRPr="00A65B02" w:rsidP="00A65B02">
            <w:pPr>
              <w:pStyle w:val="ListBullet2"/>
            </w:pPr>
            <w:r w:rsidRPr="00A65B02">
              <w:t>suitable assessment venue/equipment</w:t>
            </w:r>
          </w:p>
          <w:p w:rsidR="00000000" w:rsidRPr="00A65B02" w:rsidP="00A65B02">
            <w:pPr>
              <w:pStyle w:val="ListBullet2"/>
            </w:pPr>
            <w:r w:rsidRPr="00A65B02">
              <w:t>workplace documentation</w:t>
            </w:r>
          </w:p>
          <w:p w:rsidR="00000000" w:rsidRPr="00A65B02" w:rsidP="00A65B02">
            <w:pPr>
              <w:pStyle w:val="ListBullet2"/>
            </w:pPr>
            <w:r w:rsidRPr="00A65B02">
              <w:t>candidate special requirements</w:t>
            </w:r>
          </w:p>
          <w:p w:rsidR="00000000" w:rsidRPr="00A65B02" w:rsidP="00A65B02">
            <w:pPr>
              <w:pStyle w:val="ListBullet2"/>
            </w:pPr>
            <w:r w:rsidRPr="00A65B02">
              <w:t>cost and time considerations.</w:t>
            </w:r>
          </w:p>
          <w:p w:rsidR="00000000" w:rsidRPr="00A65B02" w:rsidP="00A65B02">
            <w:pPr>
              <w:pStyle w:val="ListBullet"/>
            </w:pPr>
            <w:r w:rsidRPr="00A65B02">
              <w:t>Validity and sufficiency of evidence r</w:t>
            </w:r>
            <w:r w:rsidRPr="00A65B02">
              <w:t>equires that:</w:t>
            </w:r>
          </w:p>
          <w:p w:rsidR="00000000" w:rsidRPr="00A65B02" w:rsidP="00A65B02">
            <w:pPr>
              <w:pStyle w:val="ListBullet2"/>
            </w:pPr>
            <w:r w:rsidRPr="00A65B02">
              <w:t>competency will need to be demonstrated over a period of time reflecting the scope of the role</w:t>
            </w:r>
          </w:p>
          <w:p w:rsidR="00000000" w:rsidRPr="00A65B02" w:rsidP="00A65B02">
            <w:pPr>
              <w:pStyle w:val="ListBullet2"/>
            </w:pPr>
            <w:r w:rsidRPr="00A65B02">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A65B02">
              <w:t>the point when the assessor has complete confidence in the person's competence</w:t>
            </w:r>
          </w:p>
          <w:p w:rsidR="00000000" w:rsidRPr="00A65B02" w:rsidP="00A65B02">
            <w:pPr>
              <w:pStyle w:val="ListBullet2"/>
            </w:pPr>
            <w:r w:rsidRPr="00A65B02">
              <w:t>all assessment that is part of a structured learning experience must include a combination of direct, indirect and supplementary evidence</w:t>
            </w:r>
          </w:p>
          <w:p w:rsidR="00000000" w:rsidRPr="00A65B02" w:rsidP="00A65B02">
            <w:pPr>
              <w:pStyle w:val="ListBullet2"/>
            </w:pPr>
            <w:r w:rsidRPr="00A65B02">
              <w:t xml:space="preserve">where assessment is for the purpose of </w:t>
            </w:r>
            <w:r w:rsidRPr="00A65B02">
              <w:t>recognition (RCC/RPL), the evidence provided will need to be current and show that it represents competency demonstrated over a period of time</w:t>
            </w:r>
          </w:p>
          <w:p w:rsidR="00000000" w:rsidRPr="00A65B02" w:rsidP="00A65B02">
            <w:pPr>
              <w:pStyle w:val="ListBullet2"/>
            </w:pPr>
            <w:r w:rsidRPr="00A65B02">
              <w:t>assessment can be through simulated project-based activity and must include evidence relating to each of the elem</w:t>
            </w:r>
            <w:r w:rsidRPr="00A65B02">
              <w:t>ents in this unit.</w:t>
            </w:r>
          </w:p>
        </w:tc>
      </w:tr>
    </w:tbl>
    <w:p w:rsidR="00473D95" w:rsidP="00A65B02">
      <w:pPr>
        <w:pStyle w:val="BodyText"/>
      </w:pPr>
    </w:p>
    <w:p w:rsidR="00473D95" w:rsidP="00A65B02">
      <w:pPr>
        <w:pStyle w:val="BodyText"/>
      </w:pPr>
    </w:p>
    <w:p w:rsidR="00000000" w:rsidRPr="00A65B02" w:rsidP="00A65B02">
      <w:pPr>
        <w:pStyle w:val="Heading1"/>
      </w:pPr>
      <w:bookmarkStart w:id="11" w:name="O_250665"/>
      <w:bookmarkEnd w:id="11"/>
      <w:r w:rsidRPr="00A65B02">
        <w:t>Range Statement</w:t>
      </w:r>
    </w:p>
    <w:p w:rsidR="00000000" w:rsidRPr="00A65B02" w:rsidP="00A65B02">
      <w:pPr>
        <w:pStyle w:val="BodyText"/>
      </w:pPr>
      <w:r w:rsidRPr="00A65B02">
        <w:rPr>
          <w:rStyle w:val="SpecialBold"/>
        </w:rPr>
        <w:t>RANGE STATEMENT</w:t>
      </w:r>
    </w:p>
    <w:p w:rsidR="00000000" w:rsidRPr="00A65B02" w:rsidP="00A65B02">
      <w:pPr>
        <w:pStyle w:val="BodyText"/>
      </w:pPr>
      <w:r w:rsidRPr="00A65B02">
        <w:t>The range statement relates to the unit of competency as a whole. It allows for different work environments and situations that may affect performance. Bold italicised wording in the performance criteria is detailed below. Add any essential operating condi</w:t>
      </w:r>
      <w:r w:rsidRPr="00A65B0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Functional systems of the human body</w:t>
            </w:r>
            <w:r w:rsidRPr="00A65B02">
              <w:t xml:space="preserve">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musculoskeletal</w:t>
            </w:r>
          </w:p>
          <w:p w:rsidR="00000000" w:rsidRPr="00A65B02" w:rsidP="00A65B02">
            <w:pPr>
              <w:pStyle w:val="ListBullet"/>
            </w:pPr>
            <w:r w:rsidRPr="00A65B02">
              <w:t>nervous</w:t>
            </w:r>
          </w:p>
          <w:p w:rsidR="00000000" w:rsidRPr="00A65B02" w:rsidP="00A65B02">
            <w:pPr>
              <w:pStyle w:val="ListBullet"/>
            </w:pPr>
            <w:r w:rsidRPr="00A65B02">
              <w:t>circu</w:t>
            </w:r>
            <w:r w:rsidRPr="00A65B02">
              <w:t>latory</w:t>
            </w:r>
          </w:p>
          <w:p w:rsidR="00000000" w:rsidRPr="00A65B02" w:rsidP="00A65B02">
            <w:pPr>
              <w:pStyle w:val="ListBullet"/>
            </w:pPr>
            <w:r w:rsidRPr="00A65B02">
              <w:t>respiratory</w:t>
            </w:r>
          </w:p>
          <w:p w:rsidR="00000000" w:rsidRPr="00A65B02" w:rsidP="00A65B02">
            <w:pPr>
              <w:pStyle w:val="ListBullet"/>
            </w:pPr>
            <w:r w:rsidRPr="00A65B02">
              <w:t>digestive</w:t>
            </w:r>
          </w:p>
          <w:p w:rsidR="00000000" w:rsidRPr="00A65B02" w:rsidP="00A65B02">
            <w:pPr>
              <w:pStyle w:val="ListBullet"/>
            </w:pPr>
            <w:r w:rsidRPr="00A65B02">
              <w:t>urinary</w:t>
            </w:r>
          </w:p>
          <w:p w:rsidR="00000000" w:rsidRPr="00A65B02" w:rsidP="00A65B02">
            <w:pPr>
              <w:pStyle w:val="ListBullet"/>
            </w:pPr>
            <w:r w:rsidRPr="00A65B02">
              <w:t>endocrine</w:t>
            </w:r>
          </w:p>
          <w:p w:rsidR="00000000" w:rsidRPr="00A65B02" w:rsidP="00A65B02">
            <w:pPr>
              <w:pStyle w:val="ListBullet"/>
            </w:pPr>
            <w:r w:rsidRPr="00A65B02">
              <w:t>eyes and vision</w:t>
            </w:r>
          </w:p>
          <w:p w:rsidR="00000000" w:rsidRPr="00A65B02" w:rsidP="00A65B02">
            <w:pPr>
              <w:pStyle w:val="ListBullet"/>
            </w:pPr>
            <w:r w:rsidRPr="00A65B02">
              <w:t>ears and auditory</w:t>
            </w:r>
          </w:p>
          <w:p w:rsidR="00000000" w:rsidP="00A65B02">
            <w:pPr>
              <w:pStyle w:val="ListBullet"/>
              <w:rPr>
                <w:lang w:val="en-NZ"/>
              </w:rPr>
            </w:pPr>
            <w:r w:rsidRPr="00A65B02">
              <w:t>nose and olfactory.</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Terminology for describing impairment of key body functions</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musculoskeletal system</w:t>
            </w:r>
          </w:p>
          <w:p w:rsidR="00000000" w:rsidRPr="00A65B02" w:rsidP="00A65B02">
            <w:pPr>
              <w:pStyle w:val="ListBullet2"/>
            </w:pPr>
            <w:r w:rsidRPr="00A65B02">
              <w:t>arthritis</w:t>
            </w:r>
          </w:p>
          <w:p w:rsidR="00000000" w:rsidRPr="00A65B02" w:rsidP="00A65B02">
            <w:pPr>
              <w:pStyle w:val="ListBullet2"/>
            </w:pPr>
            <w:r w:rsidRPr="00A65B02">
              <w:t>rheumatism</w:t>
            </w:r>
          </w:p>
          <w:p w:rsidR="00000000" w:rsidRPr="00A65B02" w:rsidP="00A65B02">
            <w:pPr>
              <w:pStyle w:val="ListBullet2"/>
            </w:pPr>
            <w:r w:rsidRPr="00A65B02">
              <w:t>osteoporosis</w:t>
            </w:r>
          </w:p>
          <w:p w:rsidR="00000000" w:rsidRPr="00A65B02" w:rsidP="00A65B02">
            <w:pPr>
              <w:pStyle w:val="ListBullet2"/>
            </w:pPr>
            <w:r w:rsidRPr="00A65B02">
              <w:t>brittle bones (Osteogenesis imperfecta)</w:t>
            </w:r>
          </w:p>
          <w:p w:rsidR="00000000" w:rsidRPr="00A65B02" w:rsidP="00A65B02">
            <w:pPr>
              <w:pStyle w:val="ListBullet2"/>
            </w:pPr>
            <w:r w:rsidRPr="00A65B02">
              <w:t>muscular dystrophy</w:t>
            </w:r>
          </w:p>
          <w:p w:rsidR="00000000" w:rsidRPr="00A65B02" w:rsidP="00A65B02">
            <w:pPr>
              <w:pStyle w:val="BodyText"/>
            </w:pPr>
            <w:r w:rsidRPr="00A65B02">
              <w:t>Duchenne disease</w:t>
            </w:r>
          </w:p>
          <w:p w:rsidR="00000000" w:rsidRPr="00A65B02" w:rsidP="00A65B02">
            <w:pPr>
              <w:pStyle w:val="BodyText"/>
            </w:pPr>
            <w:r w:rsidRPr="00A65B02">
              <w:t>Landouzy-Dejerine disease</w:t>
            </w:r>
          </w:p>
          <w:p w:rsidR="00000000" w:rsidRPr="00A65B02" w:rsidP="00A65B02">
            <w:pPr>
              <w:pStyle w:val="BodyText"/>
            </w:pPr>
            <w:r w:rsidRPr="00A65B02">
              <w:t>Myotonic dystrophy</w:t>
            </w:r>
          </w:p>
          <w:p w:rsidR="00000000" w:rsidRPr="00A65B02" w:rsidP="00A65B02">
            <w:pPr>
              <w:pStyle w:val="ListBullet2"/>
            </w:pPr>
            <w:r w:rsidRPr="00A65B02">
              <w:t>repetitive strain injury</w:t>
            </w:r>
          </w:p>
          <w:p w:rsidR="00000000" w:rsidRPr="00A65B02" w:rsidP="00A65B02">
            <w:pPr>
              <w:pStyle w:val="ListBullet2"/>
            </w:pPr>
            <w:r w:rsidRPr="00A65B02">
              <w:t>fractures</w:t>
            </w:r>
          </w:p>
          <w:p w:rsidR="00000000" w:rsidRPr="00A65B02" w:rsidP="00A65B02">
            <w:pPr>
              <w:pStyle w:val="ListBullet2"/>
            </w:pPr>
            <w:r w:rsidRPr="00A65B02">
              <w:t>amputation</w:t>
            </w:r>
          </w:p>
          <w:p w:rsidR="00000000" w:rsidRPr="00A65B02" w:rsidP="00A65B02">
            <w:pPr>
              <w:pStyle w:val="ListBullet2"/>
            </w:pPr>
            <w:r w:rsidRPr="00A65B02">
              <w:t>arthrogryposis multiplex congenita</w:t>
            </w:r>
          </w:p>
          <w:p w:rsidR="00000000" w:rsidRPr="00A65B02" w:rsidP="00A65B02">
            <w:pPr>
              <w:pStyle w:val="ListBullet2"/>
            </w:pPr>
            <w:r w:rsidRPr="00A65B02">
              <w:t>contracture</w:t>
            </w:r>
          </w:p>
          <w:p w:rsidR="00000000" w:rsidRPr="00A65B02" w:rsidP="00A65B02">
            <w:pPr>
              <w:pStyle w:val="ListBullet2"/>
            </w:pPr>
            <w:r w:rsidRPr="00A65B02">
              <w:t>achondroplasia (Dwarfism)</w:t>
            </w:r>
          </w:p>
          <w:p w:rsidR="00000000" w:rsidRPr="00A65B02" w:rsidP="00A65B02">
            <w:pPr>
              <w:pStyle w:val="ListBullet2"/>
            </w:pPr>
            <w:r w:rsidRPr="00A65B02">
              <w:t>myasthenia grav</w:t>
            </w:r>
            <w:r w:rsidRPr="00A65B02">
              <w:t>is</w:t>
            </w:r>
          </w:p>
          <w:p w:rsidR="00000000" w:rsidRPr="00A65B02" w:rsidP="00A65B02">
            <w:pPr>
              <w:pStyle w:val="ListBullet2"/>
            </w:pPr>
            <w:r w:rsidRPr="00A65B02">
              <w:t>osteomyelitis</w:t>
            </w:r>
          </w:p>
          <w:p w:rsidR="00000000" w:rsidRPr="00A65B02" w:rsidP="00A65B02">
            <w:pPr>
              <w:pStyle w:val="ListBullet2"/>
            </w:pPr>
            <w:r w:rsidRPr="00A65B02">
              <w:t>Paget's disease</w:t>
            </w:r>
          </w:p>
          <w:p w:rsidR="00000000" w:rsidP="00A65B02">
            <w:pPr>
              <w:pStyle w:val="ListBullet2"/>
              <w:rPr>
                <w:lang w:val="en-NZ"/>
              </w:rPr>
            </w:pPr>
            <w:r w:rsidRPr="00A65B02">
              <w:t>spondylitis (ankylosis)</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nervous system</w:t>
            </w:r>
          </w:p>
          <w:p w:rsidR="00000000" w:rsidRPr="00A65B02" w:rsidP="00A65B02">
            <w:pPr>
              <w:pStyle w:val="ListBullet2"/>
            </w:pPr>
            <w:r w:rsidRPr="00A65B02">
              <w:t>cerebral palsy</w:t>
            </w:r>
          </w:p>
          <w:p w:rsidR="00000000" w:rsidRPr="00A65B02" w:rsidP="00A65B02">
            <w:pPr>
              <w:pStyle w:val="ListBullet2"/>
            </w:pPr>
            <w:r w:rsidRPr="00A65B02">
              <w:t>epilepsy</w:t>
            </w:r>
          </w:p>
          <w:p w:rsidR="00000000" w:rsidRPr="00A65B02" w:rsidP="00A65B02">
            <w:pPr>
              <w:pStyle w:val="ListBullet2"/>
            </w:pPr>
            <w:r w:rsidRPr="00A65B02">
              <w:t>poliomyelitis</w:t>
            </w:r>
          </w:p>
          <w:p w:rsidR="00000000" w:rsidRPr="00A65B02" w:rsidP="00A65B02">
            <w:pPr>
              <w:pStyle w:val="ListBullet2"/>
            </w:pPr>
            <w:r w:rsidRPr="00A65B02">
              <w:t>multiple sclerosis</w:t>
            </w:r>
          </w:p>
          <w:p w:rsidR="00000000" w:rsidRPr="00A65B02" w:rsidP="00A65B02">
            <w:pPr>
              <w:pStyle w:val="ListBullet2"/>
            </w:pPr>
            <w:r w:rsidRPr="00A65B02">
              <w:t>motor neurone disease</w:t>
            </w:r>
          </w:p>
          <w:p w:rsidR="00000000" w:rsidRPr="00A65B02" w:rsidP="00A65B02">
            <w:pPr>
              <w:pStyle w:val="ListBullet2"/>
            </w:pPr>
            <w:r w:rsidRPr="00A65B02">
              <w:t>Parkinson's disease</w:t>
            </w:r>
          </w:p>
          <w:p w:rsidR="00000000" w:rsidRPr="00A65B02" w:rsidP="00A65B02">
            <w:pPr>
              <w:pStyle w:val="ListBullet2"/>
            </w:pPr>
            <w:r w:rsidRPr="00A65B02">
              <w:t>Friedreich's ataxia</w:t>
            </w:r>
          </w:p>
          <w:p w:rsidR="00000000" w:rsidRPr="00A65B02" w:rsidP="00A65B02">
            <w:pPr>
              <w:pStyle w:val="ListBullet2"/>
            </w:pPr>
            <w:r w:rsidRPr="00A65B02">
              <w:t>Alzheimer's disease</w:t>
            </w:r>
          </w:p>
          <w:p w:rsidR="00000000" w:rsidRPr="00A65B02" w:rsidP="00A65B02">
            <w:pPr>
              <w:pStyle w:val="ListBullet2"/>
            </w:pPr>
            <w:r w:rsidRPr="00A65B02">
              <w:t>spina bifida</w:t>
            </w:r>
          </w:p>
          <w:p w:rsidR="00000000" w:rsidRPr="00A65B02" w:rsidP="00A65B02">
            <w:pPr>
              <w:pStyle w:val="ListBullet2"/>
            </w:pPr>
            <w:r w:rsidRPr="00A65B02">
              <w:t>spinal injury (paraplegia and quadriplegia)</w:t>
            </w:r>
          </w:p>
          <w:p w:rsidR="00000000" w:rsidRPr="00A65B02" w:rsidP="00A65B02">
            <w:pPr>
              <w:pStyle w:val="ListBullet2"/>
            </w:pPr>
            <w:r w:rsidRPr="00A65B02">
              <w:t>head injuries</w:t>
            </w:r>
          </w:p>
          <w:p w:rsidR="00000000" w:rsidRPr="00A65B02" w:rsidP="00A65B02">
            <w:pPr>
              <w:pStyle w:val="ListBullet2"/>
            </w:pPr>
            <w:r w:rsidRPr="00A65B02">
              <w:t>amyotrophic lateral sclerosis</w:t>
            </w:r>
          </w:p>
          <w:p w:rsidR="00000000" w:rsidRPr="00A65B02" w:rsidP="00A65B02">
            <w:pPr>
              <w:pStyle w:val="ListBullet2"/>
            </w:pPr>
            <w:r w:rsidRPr="00A65B02">
              <w:t>aphasia</w:t>
            </w:r>
          </w:p>
          <w:p w:rsidR="00000000" w:rsidRPr="00A65B02" w:rsidP="00A65B02">
            <w:pPr>
              <w:pStyle w:val="ListBullet2"/>
            </w:pPr>
            <w:r w:rsidRPr="00A65B02">
              <w:t>ataxia</w:t>
            </w:r>
          </w:p>
          <w:p w:rsidR="00000000" w:rsidRPr="00A65B02" w:rsidP="00A65B02">
            <w:pPr>
              <w:pStyle w:val="ListBullet2"/>
            </w:pPr>
            <w:r w:rsidRPr="00A65B02">
              <w:t>athetosis</w:t>
            </w:r>
          </w:p>
          <w:p w:rsidR="00000000" w:rsidRPr="00A65B02" w:rsidP="00A65B02">
            <w:pPr>
              <w:pStyle w:val="ListBullet2"/>
            </w:pPr>
            <w:r w:rsidRPr="00A65B02">
              <w:t>benign congenital hypotonia</w:t>
            </w:r>
          </w:p>
          <w:p w:rsidR="00000000" w:rsidRPr="00A65B02" w:rsidP="00A65B02">
            <w:pPr>
              <w:pStyle w:val="ListBullet2"/>
            </w:pPr>
            <w:r w:rsidRPr="00A65B02">
              <w:t>encephalitis</w:t>
            </w:r>
          </w:p>
          <w:p w:rsidR="00000000" w:rsidRPr="00A65B02" w:rsidP="00A65B02">
            <w:pPr>
              <w:pStyle w:val="ListBullet2"/>
            </w:pPr>
            <w:r w:rsidRPr="00A65B02">
              <w:t>hemiplegia and monoplegia</w:t>
            </w:r>
          </w:p>
          <w:p w:rsidR="00000000" w:rsidRPr="00A65B02" w:rsidP="00A65B02">
            <w:pPr>
              <w:pStyle w:val="ListBullet2"/>
            </w:pPr>
            <w:r w:rsidRPr="00A65B02">
              <w:t>Huntington's chorea</w:t>
            </w:r>
          </w:p>
          <w:p w:rsidR="00000000" w:rsidRPr="00A65B02" w:rsidP="00A65B02">
            <w:pPr>
              <w:pStyle w:val="ListBullet2"/>
            </w:pPr>
            <w:r w:rsidRPr="00A65B02">
              <w:t>hydrocephalus</w:t>
            </w:r>
          </w:p>
          <w:p w:rsidR="00000000" w:rsidP="00A65B02">
            <w:pPr>
              <w:pStyle w:val="ListBullet2"/>
              <w:rPr>
                <w:lang w:val="en-NZ"/>
              </w:rPr>
            </w:pPr>
            <w:r w:rsidRPr="00A65B02">
              <w:t>syringomyelia</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intellectual and mental disorders</w:t>
            </w:r>
          </w:p>
          <w:p w:rsidR="00000000" w:rsidRPr="00A65B02" w:rsidP="00A65B02">
            <w:pPr>
              <w:pStyle w:val="ListBullet2"/>
            </w:pPr>
            <w:r w:rsidRPr="00A65B02">
              <w:t>Down syndrome</w:t>
            </w:r>
          </w:p>
          <w:p w:rsidR="00000000" w:rsidRPr="00A65B02" w:rsidP="00A65B02">
            <w:pPr>
              <w:pStyle w:val="ListBullet2"/>
            </w:pPr>
            <w:r w:rsidRPr="00A65B02">
              <w:t>autism</w:t>
            </w:r>
          </w:p>
          <w:p w:rsidR="00000000" w:rsidRPr="00A65B02" w:rsidP="00A65B02">
            <w:pPr>
              <w:pStyle w:val="ListBullet2"/>
            </w:pPr>
            <w:r w:rsidRPr="00A65B02">
              <w:t>low intellectual development</w:t>
            </w:r>
          </w:p>
          <w:p w:rsidR="00000000" w:rsidRPr="00A65B02" w:rsidP="00A65B02">
            <w:pPr>
              <w:pStyle w:val="ListBullet2"/>
            </w:pPr>
            <w:r w:rsidRPr="00A65B02">
              <w:t>schizophrenia and delusional disorders</w:t>
            </w:r>
          </w:p>
          <w:p w:rsidR="00000000" w:rsidRPr="00A65B02" w:rsidP="00A65B02">
            <w:pPr>
              <w:pStyle w:val="ListBullet2"/>
            </w:pPr>
            <w:r w:rsidRPr="00A65B02">
              <w:t>anxiety disorders</w:t>
            </w:r>
          </w:p>
          <w:p w:rsidR="00000000" w:rsidRPr="00A65B02" w:rsidP="00A65B02">
            <w:pPr>
              <w:pStyle w:val="BodyText"/>
            </w:pPr>
            <w:r w:rsidRPr="00A65B02">
              <w:t>obsessive-compulsive disorder</w:t>
            </w:r>
          </w:p>
          <w:p w:rsidR="00000000" w:rsidRPr="00A65B02" w:rsidP="00A65B02">
            <w:pPr>
              <w:pStyle w:val="BodyText"/>
            </w:pPr>
            <w:r w:rsidRPr="00A65B02">
              <w:t>phobias</w:t>
            </w:r>
          </w:p>
          <w:p w:rsidR="00000000" w:rsidRPr="00A65B02" w:rsidP="00A65B02">
            <w:pPr>
              <w:pStyle w:val="BodyText"/>
            </w:pPr>
            <w:r w:rsidRPr="00A65B02">
              <w:t>post-traumatic stress disorder</w:t>
            </w:r>
          </w:p>
          <w:p w:rsidR="00000000" w:rsidRPr="00A65B02" w:rsidP="00A65B02">
            <w:pPr>
              <w:pStyle w:val="ListBullet2"/>
            </w:pPr>
            <w:r w:rsidRPr="00A65B02">
              <w:t>bipolar disorder</w:t>
            </w:r>
          </w:p>
          <w:p w:rsidR="00000000" w:rsidRPr="00A65B02" w:rsidP="00A65B02">
            <w:pPr>
              <w:pStyle w:val="ListBullet2"/>
            </w:pPr>
            <w:r w:rsidRPr="00A65B02">
              <w:t>depression and mania</w:t>
            </w:r>
          </w:p>
          <w:p w:rsidR="00000000" w:rsidRPr="00A65B02" w:rsidP="00A65B02">
            <w:pPr>
              <w:pStyle w:val="ListBullet2"/>
            </w:pPr>
            <w:r w:rsidRPr="00A65B02">
              <w:t>dissoc</w:t>
            </w:r>
            <w:r w:rsidRPr="00A65B02">
              <w:t>iative disorders (e.g. amnesia)</w:t>
            </w:r>
          </w:p>
          <w:p w:rsidR="00000000" w:rsidRPr="00A65B02" w:rsidP="00A65B02">
            <w:pPr>
              <w:pStyle w:val="ListBullet2"/>
            </w:pPr>
            <w:r w:rsidRPr="00A65B02">
              <w:t>hypochondriasis</w:t>
            </w:r>
          </w:p>
          <w:p w:rsidR="00000000" w:rsidRPr="00A65B02" w:rsidP="00A65B02">
            <w:pPr>
              <w:pStyle w:val="ListBullet2"/>
            </w:pPr>
            <w:r w:rsidRPr="00A65B02">
              <w:t>psychosomatic disorders</w:t>
            </w:r>
          </w:p>
          <w:p w:rsidR="00000000" w:rsidP="00A65B02">
            <w:pPr>
              <w:pStyle w:val="ListBullet2"/>
              <w:rPr>
                <w:lang w:val="en-NZ"/>
              </w:rPr>
            </w:pPr>
            <w:r w:rsidRPr="00A65B02">
              <w:t>suicidal behaviour</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circulatory system</w:t>
            </w:r>
          </w:p>
          <w:p w:rsidR="00000000" w:rsidRPr="00A65B02" w:rsidP="00A65B02">
            <w:pPr>
              <w:pStyle w:val="ListBullet2"/>
            </w:pPr>
            <w:r w:rsidRPr="00A65B02">
              <w:t>haemophilia</w:t>
            </w:r>
          </w:p>
          <w:p w:rsidR="00000000" w:rsidRPr="00A65B02" w:rsidP="00A65B02">
            <w:pPr>
              <w:pStyle w:val="ListBullet2"/>
            </w:pPr>
            <w:r w:rsidRPr="00A65B02">
              <w:t>arterial sclerosis</w:t>
            </w:r>
          </w:p>
          <w:p w:rsidR="00000000" w:rsidRPr="00A65B02" w:rsidP="00A65B02">
            <w:pPr>
              <w:pStyle w:val="ListBullet2"/>
            </w:pPr>
            <w:r w:rsidRPr="00A65B02">
              <w:t>chronic cardiac congestion</w:t>
            </w:r>
          </w:p>
          <w:p w:rsidR="00000000" w:rsidRPr="00A65B02" w:rsidP="00A65B02">
            <w:pPr>
              <w:pStyle w:val="ListBullet2"/>
            </w:pPr>
            <w:r w:rsidRPr="00A65B02">
              <w:t>venous disorders</w:t>
            </w:r>
          </w:p>
          <w:p w:rsidR="00000000" w:rsidRPr="00A65B02" w:rsidP="00A65B02">
            <w:pPr>
              <w:pStyle w:val="ListBullet2"/>
            </w:pPr>
            <w:r w:rsidRPr="00A65B02">
              <w:t>cerebral haemorrhage</w:t>
            </w:r>
          </w:p>
          <w:p w:rsidR="00000000" w:rsidRPr="00A65B02" w:rsidP="00A65B02">
            <w:pPr>
              <w:pStyle w:val="ListBullet2"/>
            </w:pPr>
            <w:r w:rsidRPr="00A65B02">
              <w:t>cardiac failure</w:t>
            </w:r>
          </w:p>
          <w:p w:rsidR="00000000" w:rsidRPr="00A65B02" w:rsidP="00A65B02">
            <w:pPr>
              <w:pStyle w:val="ListBullet2"/>
            </w:pPr>
            <w:r w:rsidRPr="00A65B02">
              <w:t>sickle cell anaemia</w:t>
            </w:r>
          </w:p>
          <w:p w:rsidR="00000000" w:rsidRPr="00A65B02" w:rsidP="00A65B02">
            <w:pPr>
              <w:pStyle w:val="ListBullet"/>
            </w:pPr>
            <w:r w:rsidRPr="00A65B02">
              <w:t>respiratory system</w:t>
            </w:r>
          </w:p>
          <w:p w:rsidR="00000000" w:rsidRPr="00A65B02" w:rsidP="00A65B02">
            <w:pPr>
              <w:pStyle w:val="ListBullet2"/>
            </w:pPr>
            <w:r w:rsidRPr="00A65B02">
              <w:t>cystic fibrosis</w:t>
            </w:r>
          </w:p>
          <w:p w:rsidR="00000000" w:rsidRPr="00A65B02" w:rsidP="00A65B02">
            <w:pPr>
              <w:pStyle w:val="ListBullet2"/>
            </w:pPr>
            <w:r w:rsidRPr="00A65B02">
              <w:t>asthma</w:t>
            </w:r>
          </w:p>
          <w:p w:rsidR="00000000" w:rsidRPr="00A65B02" w:rsidP="00A65B02">
            <w:pPr>
              <w:pStyle w:val="ListBullet"/>
            </w:pPr>
            <w:r w:rsidRPr="00A65B02">
              <w:t>digestive system</w:t>
            </w:r>
          </w:p>
          <w:p w:rsidR="00000000" w:rsidRPr="00A65B02" w:rsidP="00A65B02">
            <w:pPr>
              <w:pStyle w:val="ListBullet2"/>
            </w:pPr>
            <w:r w:rsidRPr="00A65B02">
              <w:t>bowel movement disorders</w:t>
            </w:r>
          </w:p>
          <w:p w:rsidR="00000000" w:rsidRPr="00A65B02" w:rsidP="00A65B02">
            <w:pPr>
              <w:pStyle w:val="ListBullet2"/>
            </w:pPr>
            <w:r w:rsidRPr="00A65B02">
              <w:t>tumours</w:t>
            </w:r>
          </w:p>
          <w:p w:rsidR="00000000" w:rsidRPr="00A65B02" w:rsidP="00A65B02">
            <w:pPr>
              <w:pStyle w:val="ListBullet"/>
            </w:pPr>
            <w:r w:rsidRPr="00A65B02">
              <w:t>urinary system</w:t>
            </w:r>
          </w:p>
          <w:p w:rsidR="00000000" w:rsidRPr="00A65B02" w:rsidP="00A65B02">
            <w:pPr>
              <w:pStyle w:val="ListBullet2"/>
            </w:pPr>
            <w:r w:rsidRPr="00A65B02">
              <w:t>chronic infection</w:t>
            </w:r>
          </w:p>
          <w:p w:rsidR="00000000" w:rsidRPr="00A65B02" w:rsidP="00A65B02">
            <w:pPr>
              <w:pStyle w:val="ListBullet2"/>
            </w:pPr>
            <w:r w:rsidRPr="00A65B02">
              <w:t>urinary incontinence</w:t>
            </w:r>
          </w:p>
          <w:p w:rsidR="00000000" w:rsidRPr="00A65B02" w:rsidP="00A65B02">
            <w:pPr>
              <w:pStyle w:val="ListBullet"/>
            </w:pPr>
            <w:r w:rsidRPr="00A65B02">
              <w:t>endocrine system</w:t>
            </w:r>
          </w:p>
          <w:p w:rsidR="00000000" w:rsidRPr="00A65B02" w:rsidP="00A65B02">
            <w:pPr>
              <w:pStyle w:val="ListBullet2"/>
            </w:pPr>
            <w:r w:rsidRPr="00A65B02">
              <w:t>diabetes</w:t>
            </w:r>
          </w:p>
          <w:p w:rsidR="00000000" w:rsidRPr="00A65B02" w:rsidP="00A65B02">
            <w:pPr>
              <w:pStyle w:val="ListBullet2"/>
            </w:pPr>
            <w:r w:rsidRPr="00A65B02">
              <w:t>hypothyroidism</w:t>
            </w:r>
          </w:p>
          <w:p w:rsidR="00000000" w:rsidP="00A65B02">
            <w:pPr>
              <w:pStyle w:val="ListBullet2"/>
              <w:rPr>
                <w:lang w:val="en-NZ"/>
              </w:rPr>
            </w:pPr>
            <w:r w:rsidRPr="00A65B02">
              <w:t>gout</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eyes and vision</w:t>
            </w:r>
          </w:p>
          <w:p w:rsidR="00000000" w:rsidRPr="00A65B02" w:rsidP="00A65B02">
            <w:pPr>
              <w:pStyle w:val="ListBullet2"/>
            </w:pPr>
            <w:r w:rsidRPr="00A65B02">
              <w:t>loss of central vision (e.g. macular degeneration)</w:t>
            </w:r>
          </w:p>
          <w:p w:rsidR="00000000" w:rsidRPr="00A65B02" w:rsidP="00A65B02">
            <w:pPr>
              <w:pStyle w:val="ListBullet2"/>
            </w:pPr>
            <w:r w:rsidRPr="00A65B02">
              <w:t>loss of parts of visual field (e.g. diabetic retinopathy)</w:t>
            </w:r>
          </w:p>
          <w:p w:rsidR="00000000" w:rsidRPr="00A65B02" w:rsidP="00A65B02">
            <w:pPr>
              <w:pStyle w:val="ListBullet2"/>
            </w:pPr>
            <w:r w:rsidRPr="00A65B02">
              <w:t>loss of peripheral vision (e.g. glaucoma)</w:t>
            </w:r>
          </w:p>
          <w:p w:rsidR="00000000" w:rsidRPr="00A65B02" w:rsidP="00A65B02">
            <w:pPr>
              <w:pStyle w:val="ListBullet2"/>
            </w:pPr>
            <w:r w:rsidRPr="00A65B02">
              <w:t>loss of contrast vision (e.g. cataract)</w:t>
            </w:r>
          </w:p>
          <w:p w:rsidR="00000000" w:rsidRPr="00A65B02" w:rsidP="00A65B02">
            <w:pPr>
              <w:pStyle w:val="ListBullet2"/>
            </w:pPr>
            <w:r w:rsidRPr="00A65B02">
              <w:t>blindness</w:t>
            </w:r>
          </w:p>
          <w:p w:rsidR="00000000" w:rsidRPr="00A65B02" w:rsidP="00A65B02">
            <w:pPr>
              <w:pStyle w:val="ListBullet2"/>
            </w:pPr>
            <w:r w:rsidRPr="00A65B02">
              <w:t>colour deficiency</w:t>
            </w:r>
          </w:p>
          <w:p w:rsidR="00000000" w:rsidRPr="00A65B02" w:rsidP="00A65B02">
            <w:pPr>
              <w:pStyle w:val="ListBullet"/>
            </w:pPr>
            <w:r w:rsidRPr="00A65B02">
              <w:t>ears and auditory system</w:t>
            </w:r>
          </w:p>
          <w:p w:rsidR="00000000" w:rsidRPr="00A65B02" w:rsidP="00A65B02">
            <w:pPr>
              <w:pStyle w:val="ListBullet2"/>
            </w:pPr>
            <w:r w:rsidRPr="00A65B02">
              <w:t>hearing los</w:t>
            </w:r>
            <w:r w:rsidRPr="00A65B02">
              <w:t>s</w:t>
            </w:r>
          </w:p>
          <w:p w:rsidR="00000000" w:rsidRPr="00A65B02" w:rsidP="00A65B02">
            <w:pPr>
              <w:pStyle w:val="BodyText"/>
            </w:pPr>
            <w:r w:rsidRPr="00A65B02">
              <w:t>otosclerosis</w:t>
            </w:r>
          </w:p>
          <w:p w:rsidR="00000000" w:rsidRPr="00A65B02" w:rsidP="00A65B02">
            <w:pPr>
              <w:pStyle w:val="BodyText"/>
            </w:pPr>
            <w:r w:rsidRPr="00A65B02">
              <w:t>noise-related</w:t>
            </w:r>
          </w:p>
          <w:p w:rsidR="00000000" w:rsidRPr="00A65B02" w:rsidP="00A65B02">
            <w:pPr>
              <w:pStyle w:val="BodyText"/>
            </w:pPr>
            <w:r w:rsidRPr="00A65B02">
              <w:t>age-related</w:t>
            </w:r>
          </w:p>
          <w:p w:rsidR="00000000" w:rsidRPr="00A65B02" w:rsidP="00A65B02">
            <w:pPr>
              <w:pStyle w:val="ListBullet2"/>
            </w:pPr>
            <w:r w:rsidRPr="00A65B02">
              <w:t>deafness</w:t>
            </w:r>
          </w:p>
          <w:p w:rsidR="00000000" w:rsidRPr="00A65B02" w:rsidP="00A65B02">
            <w:pPr>
              <w:pStyle w:val="BodyText"/>
            </w:pPr>
            <w:r w:rsidRPr="00A65B02">
              <w:t>perforation of the eardrum</w:t>
            </w:r>
          </w:p>
          <w:p w:rsidR="00000000" w:rsidRPr="00A65B02" w:rsidP="00A65B02">
            <w:pPr>
              <w:pStyle w:val="BodyText"/>
            </w:pPr>
            <w:r w:rsidRPr="00A65B02">
              <w:t>cochlear damage</w:t>
            </w:r>
          </w:p>
          <w:p w:rsidR="00000000" w:rsidP="00A65B02">
            <w:pPr>
              <w:pStyle w:val="BodyText"/>
              <w:rPr>
                <w:lang w:val="en-NZ"/>
              </w:rPr>
            </w:pPr>
            <w:r w:rsidRPr="00A65B02">
              <w:t>auditory nerve damage</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2"/>
            </w:pPr>
            <w:r w:rsidRPr="00A65B02">
              <w:t>middle and inner ear disorders</w:t>
            </w:r>
          </w:p>
          <w:p w:rsidR="00000000" w:rsidRPr="00A65B02" w:rsidP="00A65B02">
            <w:pPr>
              <w:pStyle w:val="BodyText"/>
            </w:pPr>
            <w:r w:rsidRPr="00A65B02">
              <w:t>Meniere's disease</w:t>
            </w:r>
          </w:p>
          <w:p w:rsidR="00000000" w:rsidRPr="00A65B02" w:rsidP="00A65B02">
            <w:pPr>
              <w:pStyle w:val="BodyText"/>
            </w:pPr>
            <w:r w:rsidRPr="00A65B02">
              <w:t>tinnitus</w:t>
            </w:r>
          </w:p>
          <w:p w:rsidR="00000000" w:rsidP="00A65B02">
            <w:pPr>
              <w:pStyle w:val="BodyText"/>
              <w:rPr>
                <w:lang w:val="en-NZ"/>
              </w:rPr>
            </w:pPr>
            <w:r w:rsidRPr="00A65B02">
              <w:t>vertigo.</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Impairment</w:t>
            </w:r>
            <w:r w:rsidRPr="00A65B02">
              <w:t xml:space="preserve"> refers to:</w:t>
            </w:r>
          </w:p>
        </w:tc>
        <w:tc>
          <w:tcPr>
            <w:tcW w:w="5676" w:type="dxa"/>
            <w:tcBorders>
              <w:top w:val="nil"/>
              <w:left w:val="nil"/>
              <w:bottom w:val="nil"/>
              <w:right w:val="nil"/>
            </w:tcBorders>
            <w:tcMar>
              <w:top w:w="0" w:type="dxa"/>
              <w:left w:w="62" w:type="dxa"/>
              <w:bottom w:w="0" w:type="dxa"/>
              <w:right w:w="62" w:type="dxa"/>
            </w:tcMar>
          </w:tcPr>
          <w:p w:rsidR="00000000" w:rsidP="00A65B02">
            <w:pPr>
              <w:pStyle w:val="ListBullet"/>
              <w:rPr>
                <w:lang w:val="en-NZ"/>
              </w:rPr>
            </w:pPr>
            <w:r w:rsidRPr="00A65B02">
              <w:t>medical condition and diagnosis.</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Disability</w:t>
            </w:r>
            <w:r w:rsidRPr="00A65B02">
              <w:t xml:space="preserve"> refers to:</w:t>
            </w:r>
          </w:p>
        </w:tc>
        <w:tc>
          <w:tcPr>
            <w:tcW w:w="5676" w:type="dxa"/>
            <w:tcBorders>
              <w:top w:val="nil"/>
              <w:left w:val="nil"/>
              <w:bottom w:val="nil"/>
              <w:right w:val="nil"/>
            </w:tcBorders>
            <w:tcMar>
              <w:top w:w="0" w:type="dxa"/>
              <w:left w:w="62" w:type="dxa"/>
              <w:bottom w:w="0" w:type="dxa"/>
              <w:right w:w="62" w:type="dxa"/>
            </w:tcMar>
          </w:tcPr>
          <w:p w:rsidR="00000000" w:rsidP="00A65B02">
            <w:pPr>
              <w:pStyle w:val="ListBullet"/>
              <w:rPr>
                <w:lang w:val="en-NZ"/>
              </w:rPr>
            </w:pPr>
            <w:r w:rsidRPr="00A65B02">
              <w:t>loss of function due to medical condition.</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Handicap</w:t>
            </w:r>
            <w:r w:rsidRPr="00A65B02">
              <w:t xml:space="preserve"> refers to:</w:t>
            </w:r>
          </w:p>
        </w:tc>
        <w:tc>
          <w:tcPr>
            <w:tcW w:w="5676" w:type="dxa"/>
            <w:tcBorders>
              <w:top w:val="nil"/>
              <w:left w:val="nil"/>
              <w:bottom w:val="nil"/>
              <w:right w:val="nil"/>
            </w:tcBorders>
            <w:tcMar>
              <w:top w:w="0" w:type="dxa"/>
              <w:left w:w="62" w:type="dxa"/>
              <w:bottom w:w="0" w:type="dxa"/>
              <w:right w:w="62" w:type="dxa"/>
            </w:tcMar>
          </w:tcPr>
          <w:p w:rsidR="00000000" w:rsidP="00A65B02">
            <w:pPr>
              <w:pStyle w:val="ListBullet"/>
              <w:rPr>
                <w:lang w:val="en-NZ"/>
              </w:rPr>
            </w:pPr>
            <w:r w:rsidRPr="00A65B02">
              <w:t>environmental impact due to loss of function.</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Accessibility design data for mobility</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Building Code of Australia (BCA)</w:t>
            </w:r>
          </w:p>
          <w:p w:rsidR="00000000" w:rsidRPr="00A65B02" w:rsidP="00A65B02">
            <w:pPr>
              <w:pStyle w:val="ListBullet"/>
            </w:pPr>
            <w:r w:rsidRPr="00A65B02">
              <w:t>Disability Discrimination Act (DDA)</w:t>
            </w:r>
          </w:p>
          <w:p w:rsidR="00000000" w:rsidRPr="00A65B02" w:rsidP="00A65B02">
            <w:pPr>
              <w:pStyle w:val="ListBullet"/>
            </w:pPr>
            <w:r w:rsidRPr="00A65B02">
              <w:t>DDA Premises</w:t>
            </w:r>
            <w:r w:rsidRPr="00A65B02">
              <w:t xml:space="preserve"> Standard</w:t>
            </w:r>
          </w:p>
          <w:p w:rsidR="00000000" w:rsidRPr="00A65B02" w:rsidP="00A65B02">
            <w:pPr>
              <w:pStyle w:val="ListBullet"/>
            </w:pPr>
            <w:r w:rsidRPr="00A65B02">
              <w:t>AS1428 Part 1</w:t>
            </w:r>
          </w:p>
          <w:p w:rsidR="00000000" w:rsidRPr="00A65B02" w:rsidP="00A65B02">
            <w:pPr>
              <w:pStyle w:val="ListBullet"/>
            </w:pPr>
            <w:r w:rsidRPr="00A65B02">
              <w:t>architectural data publications</w:t>
            </w:r>
          </w:p>
          <w:p w:rsidR="00000000" w:rsidP="00A65B02">
            <w:pPr>
              <w:pStyle w:val="ListBullet"/>
              <w:rPr>
                <w:lang w:val="en-NZ"/>
              </w:rPr>
            </w:pPr>
            <w:r w:rsidRPr="00A65B02">
              <w:t>international codes, standards, regulations and practices.</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Anatomical and functional impairment of the musculoskeletal system</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amputation</w:t>
            </w:r>
          </w:p>
          <w:p w:rsidR="00000000" w:rsidRPr="00A65B02" w:rsidP="00A65B02">
            <w:pPr>
              <w:pStyle w:val="ListBullet"/>
            </w:pPr>
            <w:r w:rsidRPr="00A65B02">
              <w:t>arthritis</w:t>
            </w:r>
          </w:p>
          <w:p w:rsidR="00000000" w:rsidRPr="00A65B02" w:rsidP="00A65B02">
            <w:pPr>
              <w:pStyle w:val="ListBullet"/>
            </w:pPr>
            <w:r w:rsidRPr="00A65B02">
              <w:t>brittle bones</w:t>
            </w:r>
          </w:p>
          <w:p w:rsidR="00000000" w:rsidRPr="00A65B02" w:rsidP="00A65B02">
            <w:pPr>
              <w:pStyle w:val="ListBullet"/>
            </w:pPr>
            <w:r w:rsidRPr="00A65B02">
              <w:t>fractures</w:t>
            </w:r>
          </w:p>
          <w:p w:rsidR="00000000" w:rsidRPr="00A65B02" w:rsidP="00A65B02">
            <w:pPr>
              <w:pStyle w:val="ListBullet"/>
            </w:pPr>
            <w:r w:rsidRPr="00A65B02">
              <w:t>muscular dystrophy</w:t>
            </w:r>
          </w:p>
          <w:p w:rsidR="00000000" w:rsidRPr="00A65B02" w:rsidP="00A65B02">
            <w:pPr>
              <w:pStyle w:val="ListBullet"/>
            </w:pPr>
            <w:r w:rsidRPr="00A65B02">
              <w:t>osteoporosis</w:t>
            </w:r>
          </w:p>
          <w:p w:rsidR="00000000" w:rsidRPr="00A65B02" w:rsidP="00A65B02">
            <w:pPr>
              <w:pStyle w:val="ListBullet"/>
            </w:pPr>
            <w:r w:rsidRPr="00A65B02">
              <w:t>repetitive strain injury</w:t>
            </w:r>
          </w:p>
          <w:p w:rsidR="00000000" w:rsidP="00A65B02">
            <w:pPr>
              <w:pStyle w:val="ListBullet"/>
              <w:rPr>
                <w:lang w:val="en-NZ"/>
              </w:rPr>
            </w:pPr>
            <w:r w:rsidRPr="00A65B02">
              <w:t>rheumatism.</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Accessibility design data for wayfinding</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BCA</w:t>
            </w:r>
          </w:p>
          <w:p w:rsidR="00000000" w:rsidRPr="00A65B02" w:rsidP="00A65B02">
            <w:pPr>
              <w:pStyle w:val="ListBullet"/>
            </w:pPr>
            <w:r w:rsidRPr="00A65B02">
              <w:t>DDA</w:t>
            </w:r>
          </w:p>
          <w:p w:rsidR="00000000" w:rsidRPr="00A65B02" w:rsidP="00A65B02">
            <w:pPr>
              <w:pStyle w:val="ListBullet"/>
            </w:pPr>
            <w:r w:rsidRPr="00A65B02">
              <w:t>DDA Premises Standard</w:t>
            </w:r>
          </w:p>
          <w:p w:rsidR="00000000" w:rsidRPr="00A65B02" w:rsidP="00A65B02">
            <w:pPr>
              <w:pStyle w:val="ListBullet"/>
            </w:pPr>
            <w:r w:rsidRPr="00A65B02">
              <w:t>AS1428 Part 4</w:t>
            </w:r>
          </w:p>
          <w:p w:rsidR="00000000" w:rsidRPr="00A65B02" w:rsidP="00A65B02">
            <w:pPr>
              <w:pStyle w:val="ListBullet"/>
            </w:pPr>
            <w:r w:rsidRPr="00A65B02">
              <w:t>architectural data publications</w:t>
            </w:r>
          </w:p>
          <w:p w:rsidR="00000000" w:rsidP="00A65B02">
            <w:pPr>
              <w:pStyle w:val="ListBullet"/>
              <w:rPr>
                <w:lang w:val="en-NZ"/>
              </w:rPr>
            </w:pPr>
            <w:r w:rsidRPr="00A65B02">
              <w:t>international codes, standards, regulations and practice</w:t>
            </w:r>
            <w:r w:rsidRPr="00A65B02">
              <w:t>s.</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Anatomical and functional impairment of the eye and vision system</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blindness</w:t>
            </w:r>
          </w:p>
          <w:p w:rsidR="00000000" w:rsidRPr="00A65B02" w:rsidP="00A65B02">
            <w:pPr>
              <w:pStyle w:val="ListBullet"/>
            </w:pPr>
            <w:r w:rsidRPr="00A65B02">
              <w:t>colour deficiency</w:t>
            </w:r>
          </w:p>
          <w:p w:rsidR="00000000" w:rsidP="00A65B02">
            <w:pPr>
              <w:pStyle w:val="ListBullet"/>
              <w:rPr>
                <w:lang w:val="en-NZ"/>
              </w:rPr>
            </w:pPr>
            <w:r w:rsidRPr="00A65B02">
              <w:t>low vision.</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Accessibility design data for communication</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BCA</w:t>
            </w:r>
          </w:p>
          <w:p w:rsidR="00000000" w:rsidRPr="00A65B02" w:rsidP="00A65B02">
            <w:pPr>
              <w:pStyle w:val="ListBullet"/>
            </w:pPr>
            <w:r w:rsidRPr="00A65B02">
              <w:t>DDA</w:t>
            </w:r>
          </w:p>
          <w:p w:rsidR="00000000" w:rsidRPr="00A65B02" w:rsidP="00A65B02">
            <w:pPr>
              <w:pStyle w:val="ListBullet"/>
            </w:pPr>
            <w:r w:rsidRPr="00A65B02">
              <w:t>DDA Premises Standard</w:t>
            </w:r>
          </w:p>
          <w:p w:rsidR="00000000" w:rsidRPr="00A65B02" w:rsidP="00A65B02">
            <w:pPr>
              <w:pStyle w:val="ListBullet"/>
            </w:pPr>
            <w:r w:rsidRPr="00A65B02">
              <w:t>AS1428 Part 5</w:t>
            </w:r>
          </w:p>
          <w:p w:rsidR="00000000" w:rsidRPr="00A65B02" w:rsidP="00A65B02">
            <w:pPr>
              <w:pStyle w:val="ListBullet"/>
            </w:pPr>
            <w:r w:rsidRPr="00A65B02">
              <w:t>architectural data publications</w:t>
            </w:r>
          </w:p>
          <w:p w:rsidR="00000000" w:rsidP="00A65B02">
            <w:pPr>
              <w:pStyle w:val="ListBullet"/>
              <w:rPr>
                <w:lang w:val="en-NZ"/>
              </w:rPr>
            </w:pPr>
            <w:r w:rsidRPr="00A65B02">
              <w:t>international codes, standards, regulations and practices.</w:t>
            </w:r>
          </w:p>
        </w:tc>
      </w:tr>
      <w:tr w:rsidTr="00473D9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5B02">
            <w:pPr>
              <w:pStyle w:val="BodyText"/>
              <w:rPr>
                <w:lang w:val="en-NZ"/>
              </w:rPr>
            </w:pPr>
            <w:r w:rsidRPr="00A65B02">
              <w:rPr>
                <w:rStyle w:val="BoldandItalics"/>
              </w:rPr>
              <w:t>Anatomical and functional impairment of the ear and auditory system</w:t>
            </w:r>
            <w:r w:rsidRPr="00A65B02">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A65B02" w:rsidP="00A65B02">
            <w:pPr>
              <w:pStyle w:val="ListBullet"/>
            </w:pPr>
            <w:r w:rsidRPr="00A65B02">
              <w:t>deafness</w:t>
            </w:r>
          </w:p>
          <w:p w:rsidR="00000000" w:rsidRPr="00A65B02" w:rsidP="00A65B02">
            <w:pPr>
              <w:pStyle w:val="ListBullet"/>
            </w:pPr>
            <w:r w:rsidRPr="00A65B02">
              <w:t>low hearing</w:t>
            </w:r>
          </w:p>
          <w:p w:rsidR="00000000" w:rsidRPr="00A65B02" w:rsidP="00A65B02">
            <w:pPr>
              <w:pStyle w:val="ListBullet"/>
            </w:pPr>
            <w:r w:rsidRPr="00A65B02">
              <w:t>Meniere's disease.</w:t>
            </w:r>
          </w:p>
        </w:tc>
      </w:tr>
    </w:tbl>
    <w:p w:rsidR="00473D95" w:rsidP="00A65B02">
      <w:pPr>
        <w:pStyle w:val="BodyText"/>
      </w:pPr>
    </w:p>
    <w:p w:rsidR="00473D95" w:rsidP="00A65B02">
      <w:pPr>
        <w:pStyle w:val="BodyText"/>
      </w:pPr>
    </w:p>
    <w:p w:rsidR="00000000" w:rsidRPr="00A65B02" w:rsidP="00A65B02">
      <w:pPr>
        <w:pStyle w:val="Heading1"/>
      </w:pPr>
      <w:bookmarkStart w:id="12" w:name="O_200589"/>
      <w:bookmarkEnd w:id="12"/>
      <w:r w:rsidRPr="00A65B02">
        <w:t>Unit Sector(s)</w:t>
      </w:r>
    </w:p>
    <w:p w:rsidR="00000000" w:rsidRPr="00A65B02" w:rsidP="00A65B02">
      <w:pPr>
        <w:pStyle w:val="BodyText"/>
      </w:pPr>
      <w:r w:rsidRPr="00A65B02">
        <w:rPr>
          <w:rStyle w:val="SpecialBold"/>
        </w:rPr>
        <w:t>Unit sector</w:t>
      </w:r>
    </w:p>
    <w:p w:rsidR="00473D95" w:rsidP="00A65B02">
      <w:pPr>
        <w:pStyle w:val="BodyText"/>
      </w:pPr>
      <w:r w:rsidRPr="00A65B02">
        <w:t>Access consulting</w:t>
      </w:r>
    </w:p>
    <w:p w:rsidR="00473D95" w:rsidP="00A65B02">
      <w:pPr>
        <w:pStyle w:val="BodyText"/>
      </w:pPr>
    </w:p>
    <w:p w:rsidR="00000000" w:rsidRPr="00A65B02" w:rsidP="00A65B02"/>
    <w:sectPr w:rsidSect="00A65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D95" w:rsidP="00473D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95" w:rsidP="00A65B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3D95" w:rsidP="00A65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3D95" w:rsidP="00A65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02" w:rsidRPr="00473D95" w:rsidP="00473D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95" w:rsidRPr="002D2AF8" w:rsidP="00A65B02">
    <w:pPr>
      <w:pStyle w:val="Header"/>
      <w:framePr w:wrap="around"/>
    </w:pPr>
    <w:r>
      <w:fldChar w:fldCharType="begin"/>
    </w:r>
    <w:r>
      <w:instrText xml:space="preserve"> TITLE   \* MERGEFORMAT </w:instrText>
    </w:r>
    <w:r>
      <w:fldChar w:fldCharType="separate"/>
    </w:r>
    <w:r>
      <w:t>CPPACC5007A Apply mechanics of human body functions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73D95" w:rsidP="00A65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83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61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65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B02"/>
    <w:pPr>
      <w:spacing w:before="360" w:after="60"/>
      <w:outlineLvl w:val="0"/>
    </w:pPr>
    <w:rPr>
      <w:sz w:val="32"/>
    </w:rPr>
  </w:style>
  <w:style w:type="paragraph" w:styleId="Heading2">
    <w:name w:val="heading 2"/>
    <w:basedOn w:val="HeadingBase"/>
    <w:next w:val="BodyText"/>
    <w:link w:val="Heading2Char"/>
    <w:qFormat/>
    <w:rsid w:val="00A65B02"/>
    <w:pPr>
      <w:keepLines/>
      <w:spacing w:before="240" w:after="120"/>
      <w:outlineLvl w:val="1"/>
    </w:pPr>
    <w:rPr>
      <w:sz w:val="28"/>
      <w:szCs w:val="40"/>
    </w:rPr>
  </w:style>
  <w:style w:type="paragraph" w:styleId="Heading3">
    <w:name w:val="heading 3"/>
    <w:basedOn w:val="HeadingBase"/>
    <w:next w:val="BodyText"/>
    <w:link w:val="Heading3Char"/>
    <w:qFormat/>
    <w:rsid w:val="00A65B02"/>
    <w:pPr>
      <w:spacing w:before="180" w:after="120"/>
      <w:outlineLvl w:val="2"/>
    </w:pPr>
    <w:rPr>
      <w:spacing w:val="-10"/>
      <w:kern w:val="32"/>
    </w:rPr>
  </w:style>
  <w:style w:type="paragraph" w:styleId="Heading4">
    <w:name w:val="heading 4"/>
    <w:basedOn w:val="HeadingBase"/>
    <w:next w:val="BodyText"/>
    <w:link w:val="Heading4Char"/>
    <w:qFormat/>
    <w:rsid w:val="00A65B02"/>
    <w:pPr>
      <w:spacing w:before="160" w:after="120"/>
      <w:outlineLvl w:val="3"/>
    </w:pPr>
    <w:rPr>
      <w:sz w:val="22"/>
    </w:rPr>
  </w:style>
  <w:style w:type="paragraph" w:styleId="Heading5">
    <w:name w:val="heading 5"/>
    <w:basedOn w:val="HeadingBase"/>
    <w:next w:val="Normal"/>
    <w:link w:val="Heading5Char"/>
    <w:qFormat/>
    <w:rsid w:val="00A65B02"/>
    <w:pPr>
      <w:spacing w:before="80"/>
      <w:outlineLvl w:val="4"/>
    </w:pPr>
    <w:rPr>
      <w:color w:val="918585"/>
      <w:sz w:val="20"/>
    </w:rPr>
  </w:style>
  <w:style w:type="paragraph" w:styleId="Heading6">
    <w:name w:val="heading 6"/>
    <w:basedOn w:val="HeadingBase"/>
    <w:next w:val="Normal"/>
    <w:link w:val="Heading6Char"/>
    <w:qFormat/>
    <w:rsid w:val="00A65B02"/>
    <w:pPr>
      <w:spacing w:before="60"/>
      <w:outlineLvl w:val="5"/>
    </w:pPr>
    <w:rPr>
      <w:color w:val="918585"/>
      <w:sz w:val="20"/>
    </w:rPr>
  </w:style>
  <w:style w:type="paragraph" w:styleId="Heading7">
    <w:name w:val="heading 7"/>
    <w:basedOn w:val="Normal"/>
    <w:next w:val="Normal"/>
    <w:link w:val="Heading7Char"/>
    <w:qFormat/>
    <w:rsid w:val="00A65B02"/>
    <w:pPr>
      <w:ind w:left="720"/>
      <w:outlineLvl w:val="6"/>
    </w:pPr>
    <w:rPr>
      <w:i/>
    </w:rPr>
  </w:style>
  <w:style w:type="paragraph" w:styleId="Heading8">
    <w:name w:val="heading 8"/>
    <w:basedOn w:val="Normal"/>
    <w:next w:val="Normal"/>
    <w:link w:val="Heading8Char"/>
    <w:qFormat/>
    <w:rsid w:val="00A65B02"/>
    <w:pPr>
      <w:ind w:left="720"/>
      <w:outlineLvl w:val="7"/>
    </w:pPr>
    <w:rPr>
      <w:i/>
    </w:rPr>
  </w:style>
  <w:style w:type="paragraph" w:styleId="Heading9">
    <w:name w:val="heading 9"/>
    <w:basedOn w:val="Normal"/>
    <w:next w:val="Normal"/>
    <w:link w:val="Heading9Char"/>
    <w:qFormat/>
    <w:rsid w:val="00A65B02"/>
    <w:pPr>
      <w:ind w:left="720"/>
      <w:outlineLvl w:val="8"/>
    </w:pPr>
    <w:rPr>
      <w:i/>
    </w:rPr>
  </w:style>
  <w:style w:type="character" w:default="1" w:styleId="DefaultParagraphFont">
    <w:name w:val="Default Paragraph Font"/>
    <w:uiPriority w:val="1"/>
    <w:unhideWhenUsed/>
    <w:rsid w:val="00A65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B02"/>
  </w:style>
  <w:style w:type="character" w:customStyle="1" w:styleId="Heading1Char">
    <w:name w:val="Heading 1 Char"/>
    <w:basedOn w:val="DefaultParagraphFont"/>
    <w:link w:val="Heading1"/>
    <w:rsid w:val="00A65B02"/>
    <w:rPr>
      <w:rFonts w:ascii="Times New Roman" w:eastAsia="Times New Roman" w:hAnsi="Times New Roman" w:cs="Times New Roman"/>
      <w:b/>
      <w:sz w:val="32"/>
      <w:szCs w:val="20"/>
      <w:lang w:eastAsia="en-US"/>
    </w:rPr>
  </w:style>
  <w:style w:type="paragraph" w:styleId="BodyText">
    <w:name w:val="Body Text"/>
    <w:basedOn w:val="Normal"/>
    <w:link w:val="BodyTextChar"/>
    <w:rsid w:val="00A65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B02"/>
    <w:rPr>
      <w:rFonts w:ascii="Times New Roman" w:eastAsia="Times New Roman" w:hAnsi="Times New Roman" w:cs="Times New Roman"/>
      <w:sz w:val="24"/>
      <w:lang w:eastAsia="en-US"/>
    </w:rPr>
  </w:style>
  <w:style w:type="paragraph" w:styleId="Footer">
    <w:name w:val="footer"/>
    <w:basedOn w:val="Normal"/>
    <w:link w:val="FooterChar"/>
    <w:rsid w:val="00A65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B02"/>
    <w:rPr>
      <w:rFonts w:ascii="Times New Roman" w:eastAsia="Times New Roman" w:hAnsi="Times New Roman" w:cs="Times New Roman"/>
      <w:sz w:val="16"/>
      <w:lang w:eastAsia="en-US"/>
    </w:rPr>
  </w:style>
  <w:style w:type="paragraph" w:styleId="List">
    <w:name w:val="List"/>
    <w:basedOn w:val="BodyText"/>
    <w:next w:val="BodyText"/>
    <w:rsid w:val="00A65B02"/>
    <w:pPr>
      <w:tabs>
        <w:tab w:val="left" w:pos="340"/>
      </w:tabs>
      <w:spacing w:before="60" w:after="60"/>
      <w:ind w:left="340" w:hanging="340"/>
    </w:pPr>
  </w:style>
  <w:style w:type="paragraph" w:styleId="ListBullet">
    <w:name w:val="List Bullet"/>
    <w:basedOn w:val="List"/>
    <w:rsid w:val="00A65B02"/>
    <w:pPr>
      <w:numPr>
        <w:numId w:val="13"/>
      </w:numPr>
      <w:tabs>
        <w:tab w:val="clear" w:pos="340"/>
      </w:tabs>
      <w:spacing w:before="40" w:after="40"/>
    </w:pPr>
  </w:style>
  <w:style w:type="character" w:customStyle="1" w:styleId="SpecialBold">
    <w:name w:val="Special Bold"/>
    <w:basedOn w:val="DefaultParagraphFont"/>
    <w:rsid w:val="00A65B02"/>
    <w:rPr>
      <w:b/>
      <w:spacing w:val="0"/>
    </w:rPr>
  </w:style>
  <w:style w:type="paragraph" w:styleId="ListBullet2">
    <w:name w:val="List Bullet 2"/>
    <w:basedOn w:val="List2"/>
    <w:rsid w:val="00A65B02"/>
    <w:pPr>
      <w:numPr>
        <w:numId w:val="14"/>
      </w:numPr>
      <w:tabs>
        <w:tab w:val="clear" w:pos="680"/>
      </w:tabs>
    </w:pPr>
  </w:style>
  <w:style w:type="paragraph" w:customStyle="1" w:styleId="SuperHeading">
    <w:name w:val="SuperHeading"/>
    <w:basedOn w:val="Normal"/>
    <w:rsid w:val="00A65B02"/>
    <w:pPr>
      <w:spacing w:before="240" w:after="120"/>
      <w:outlineLvl w:val="0"/>
    </w:pPr>
    <w:rPr>
      <w:rFonts w:ascii="Times New Roman" w:hAnsi="Times New Roman"/>
      <w:b/>
      <w:sz w:val="28"/>
    </w:rPr>
  </w:style>
  <w:style w:type="paragraph" w:customStyle="1" w:styleId="AllowPageBreak">
    <w:name w:val="AllowPageBreak"/>
    <w:rsid w:val="00A65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5B02"/>
    <w:rPr>
      <w:b/>
      <w:i/>
      <w:u w:val="none"/>
    </w:rPr>
  </w:style>
  <w:style w:type="character" w:customStyle="1" w:styleId="Heading2Char">
    <w:name w:val="Heading 2 Char"/>
    <w:basedOn w:val="DefaultParagraphFont"/>
    <w:link w:val="Heading2"/>
    <w:rsid w:val="00A65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B02"/>
    <w:rPr>
      <w:rFonts w:ascii="Courier New" w:eastAsia="Times New Roman" w:hAnsi="Courier New" w:cs="Times New Roman"/>
      <w:i/>
      <w:szCs w:val="20"/>
      <w:lang w:eastAsia="en-US"/>
    </w:rPr>
  </w:style>
  <w:style w:type="paragraph" w:customStyle="1" w:styleId="HeadingBase">
    <w:name w:val="Heading Base"/>
    <w:rsid w:val="00A65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B02"/>
    <w:pPr>
      <w:tabs>
        <w:tab w:val="right" w:leader="dot" w:pos="9072"/>
      </w:tabs>
      <w:ind w:left="567"/>
    </w:pPr>
    <w:rPr>
      <w:szCs w:val="22"/>
    </w:rPr>
  </w:style>
  <w:style w:type="paragraph" w:customStyle="1" w:styleId="TOCBase">
    <w:name w:val="TOC Base"/>
    <w:rsid w:val="00A65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B02"/>
    <w:pPr>
      <w:tabs>
        <w:tab w:val="right" w:leader="dot" w:pos="9072"/>
      </w:tabs>
      <w:spacing w:before="40" w:after="40"/>
      <w:ind w:left="284"/>
    </w:pPr>
    <w:rPr>
      <w:rFonts w:ascii="Times New Roman" w:hAnsi="Times New Roman"/>
    </w:rPr>
  </w:style>
  <w:style w:type="paragraph" w:styleId="TOC1">
    <w:name w:val="toc 1"/>
    <w:basedOn w:val="TOCBase"/>
    <w:next w:val="Normal"/>
    <w:rsid w:val="00A65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B02"/>
    <w:pPr>
      <w:spacing w:before="5040"/>
      <w:jc w:val="center"/>
    </w:pPr>
    <w:rPr>
      <w:sz w:val="48"/>
      <w:szCs w:val="72"/>
      <w:lang w:val="en-US"/>
    </w:rPr>
  </w:style>
  <w:style w:type="character" w:customStyle="1" w:styleId="TitleChar">
    <w:name w:val="Title Char"/>
    <w:basedOn w:val="DefaultParagraphFont"/>
    <w:link w:val="Title"/>
    <w:rsid w:val="00A65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B02"/>
    <w:pPr>
      <w:tabs>
        <w:tab w:val="left" w:pos="3600"/>
        <w:tab w:val="left" w:pos="3958"/>
      </w:tabs>
    </w:pPr>
  </w:style>
  <w:style w:type="paragraph" w:customStyle="1" w:styleId="Note">
    <w:name w:val="Note"/>
    <w:basedOn w:val="BodyText"/>
    <w:rsid w:val="00A65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B02"/>
    <w:pPr>
      <w:framePr w:wrap="auto" w:hAnchor="text" w:y="6049"/>
    </w:pPr>
    <w:rPr>
      <w:color w:val="000000"/>
      <w:sz w:val="40"/>
    </w:rPr>
  </w:style>
  <w:style w:type="paragraph" w:customStyle="1" w:styleId="TOCTitle">
    <w:name w:val="TOCTitle"/>
    <w:basedOn w:val="Heading1"/>
    <w:rsid w:val="00A65B02"/>
    <w:pPr>
      <w:spacing w:after="240"/>
      <w:jc w:val="center"/>
      <w:outlineLvl w:val="9"/>
    </w:pPr>
    <w:rPr>
      <w:caps/>
    </w:rPr>
  </w:style>
  <w:style w:type="paragraph" w:customStyle="1" w:styleId="Version">
    <w:name w:val="Version"/>
    <w:rsid w:val="00A65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B02"/>
    <w:pPr>
      <w:keepNext w:val="0"/>
      <w:tabs>
        <w:tab w:val="right" w:pos="4176"/>
      </w:tabs>
      <w:ind w:left="198" w:hanging="198"/>
    </w:pPr>
    <w:rPr>
      <w:rFonts w:ascii="Garamond" w:hAnsi="Garamond"/>
    </w:rPr>
  </w:style>
  <w:style w:type="paragraph" w:styleId="IndexHeading">
    <w:name w:val="index heading"/>
    <w:basedOn w:val="Normal"/>
    <w:next w:val="Index1"/>
    <w:semiHidden/>
    <w:rsid w:val="00A65B02"/>
    <w:pPr>
      <w:spacing w:before="120" w:after="120"/>
    </w:pPr>
    <w:rPr>
      <w:rFonts w:ascii="Arial" w:hAnsi="Arial"/>
      <w:b/>
      <w:color w:val="918585"/>
      <w:sz w:val="24"/>
    </w:rPr>
  </w:style>
  <w:style w:type="paragraph" w:styleId="Header">
    <w:name w:val="header"/>
    <w:basedOn w:val="Normal"/>
    <w:link w:val="HeaderChar"/>
    <w:rsid w:val="00A65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B02"/>
    <w:rPr>
      <w:rFonts w:ascii="Times New Roman" w:eastAsia="Times New Roman" w:hAnsi="Times New Roman" w:cs="Times New Roman"/>
      <w:sz w:val="16"/>
      <w:szCs w:val="20"/>
      <w:lang w:val="en-GB" w:eastAsia="en-US"/>
    </w:rPr>
  </w:style>
  <w:style w:type="paragraph" w:customStyle="1" w:styleId="Chapter">
    <w:name w:val="Chapter"/>
    <w:basedOn w:val="Normal"/>
    <w:rsid w:val="00A65B02"/>
    <w:pPr>
      <w:spacing w:before="240"/>
    </w:pPr>
    <w:rPr>
      <w:rFonts w:ascii="Times New Roman" w:hAnsi="Times New Roman"/>
      <w:smallCaps/>
      <w:spacing w:val="80"/>
      <w:sz w:val="28"/>
    </w:rPr>
  </w:style>
  <w:style w:type="paragraph" w:customStyle="1" w:styleId="InChapter">
    <w:name w:val="InChapter"/>
    <w:basedOn w:val="Heading3"/>
    <w:rsid w:val="00A65B02"/>
    <w:pPr>
      <w:spacing w:after="240"/>
      <w:outlineLvl w:val="9"/>
    </w:pPr>
    <w:rPr>
      <w:noProof/>
    </w:rPr>
  </w:style>
  <w:style w:type="paragraph" w:styleId="Index2">
    <w:name w:val="index 2"/>
    <w:basedOn w:val="Normal"/>
    <w:next w:val="Normal"/>
    <w:semiHidden/>
    <w:rsid w:val="00A65B02"/>
    <w:pPr>
      <w:tabs>
        <w:tab w:val="right" w:pos="4176"/>
      </w:tabs>
      <w:ind w:left="568" w:hanging="284"/>
    </w:pPr>
    <w:rPr>
      <w:rFonts w:ascii="Garamond" w:hAnsi="Garamond"/>
    </w:rPr>
  </w:style>
  <w:style w:type="paragraph" w:customStyle="1" w:styleId="Byline">
    <w:name w:val="Byline"/>
    <w:rsid w:val="00A65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B02"/>
    <w:pPr>
      <w:tabs>
        <w:tab w:val="clear" w:pos="3600"/>
        <w:tab w:val="clear" w:pos="3958"/>
      </w:tabs>
      <w:jc w:val="right"/>
    </w:pPr>
  </w:style>
  <w:style w:type="character" w:styleId="Emphasis">
    <w:name w:val="Emphasis"/>
    <w:basedOn w:val="DefaultParagraphFont"/>
    <w:qFormat/>
    <w:rsid w:val="00A65B02"/>
    <w:rPr>
      <w:i/>
    </w:rPr>
  </w:style>
  <w:style w:type="paragraph" w:styleId="Caption">
    <w:name w:val="caption"/>
    <w:basedOn w:val="BodyText"/>
    <w:next w:val="Normal"/>
    <w:qFormat/>
    <w:rsid w:val="00A65B02"/>
    <w:pPr>
      <w:framePr w:w="2268" w:hSpace="181" w:vSpace="181" w:wrap="around" w:vAnchor="text" w:hAnchor="page" w:x="1135" w:y="285" w:anchorLock="1"/>
    </w:pPr>
    <w:rPr>
      <w:i/>
    </w:rPr>
  </w:style>
  <w:style w:type="paragraph" w:customStyle="1" w:styleId="MiniTOCTitle">
    <w:name w:val="MiniTOCTitle"/>
    <w:basedOn w:val="Heading4"/>
    <w:rsid w:val="00A65B02"/>
    <w:pPr>
      <w:spacing w:before="240"/>
      <w:outlineLvl w:val="9"/>
    </w:pPr>
    <w:rPr>
      <w:noProof/>
      <w:sz w:val="24"/>
    </w:rPr>
  </w:style>
  <w:style w:type="paragraph" w:customStyle="1" w:styleId="MiniTOCItem">
    <w:name w:val="MiniTOCItem"/>
    <w:basedOn w:val="ListBullet"/>
    <w:rsid w:val="00A65B02"/>
    <w:pPr>
      <w:numPr>
        <w:numId w:val="0"/>
      </w:numPr>
      <w:tabs>
        <w:tab w:val="right" w:leader="dot" w:pos="6521"/>
      </w:tabs>
      <w:spacing w:before="0" w:after="0"/>
    </w:pPr>
  </w:style>
  <w:style w:type="paragraph" w:customStyle="1" w:styleId="TOFTitle">
    <w:name w:val="TOFTitle"/>
    <w:basedOn w:val="TOCTitle"/>
    <w:rsid w:val="00A65B02"/>
  </w:style>
  <w:style w:type="paragraph" w:styleId="TableofFigures">
    <w:name w:val="table of figures"/>
    <w:basedOn w:val="Normal"/>
    <w:next w:val="Normal"/>
    <w:semiHidden/>
    <w:rsid w:val="00A65B02"/>
    <w:pPr>
      <w:tabs>
        <w:tab w:val="right" w:leader="dot" w:pos="9072"/>
      </w:tabs>
      <w:ind w:left="970" w:hanging="403"/>
    </w:pPr>
    <w:rPr>
      <w:rFonts w:ascii="Times New Roman" w:hAnsi="Times New Roman"/>
      <w:b/>
    </w:rPr>
  </w:style>
  <w:style w:type="paragraph" w:styleId="ListNumber">
    <w:name w:val="List Number"/>
    <w:basedOn w:val="List"/>
    <w:rsid w:val="00A65B02"/>
    <w:pPr>
      <w:numPr>
        <w:numId w:val="11"/>
      </w:numPr>
    </w:pPr>
  </w:style>
  <w:style w:type="character" w:customStyle="1" w:styleId="WingdingSymbols">
    <w:name w:val="Wingding Symbols"/>
    <w:rsid w:val="00A65B02"/>
    <w:rPr>
      <w:rFonts w:ascii="Wingdings" w:hAnsi="Wingdings"/>
    </w:rPr>
  </w:style>
  <w:style w:type="paragraph" w:customStyle="1" w:styleId="TableHeading">
    <w:name w:val="Table Heading"/>
    <w:basedOn w:val="HeadingBase"/>
    <w:rsid w:val="00A65B02"/>
    <w:pPr>
      <w:keepLines/>
      <w:pBdr>
        <w:bottom w:val="single" w:sz="6" w:space="1" w:color="918585"/>
      </w:pBdr>
      <w:spacing w:before="240"/>
    </w:pPr>
  </w:style>
  <w:style w:type="character" w:customStyle="1" w:styleId="HotSpot">
    <w:name w:val="HotSpot"/>
    <w:rsid w:val="00A65B02"/>
    <w:rPr>
      <w:color w:val="0033CC"/>
      <w:u w:val="none"/>
    </w:rPr>
  </w:style>
  <w:style w:type="paragraph" w:customStyle="1" w:styleId="BodyTextRight">
    <w:name w:val="Body Text Right"/>
    <w:basedOn w:val="BodyText"/>
    <w:rsid w:val="00A65B02"/>
    <w:pPr>
      <w:spacing w:before="0" w:after="0"/>
      <w:jc w:val="right"/>
    </w:pPr>
  </w:style>
  <w:style w:type="paragraph" w:styleId="Index3">
    <w:name w:val="index 3"/>
    <w:basedOn w:val="ListNumber2"/>
    <w:next w:val="Normal"/>
    <w:semiHidden/>
    <w:rsid w:val="00A65B02"/>
    <w:pPr>
      <w:numPr>
        <w:numId w:val="0"/>
      </w:numPr>
      <w:tabs>
        <w:tab w:val="right" w:leader="dot" w:pos="4176"/>
      </w:tabs>
    </w:pPr>
  </w:style>
  <w:style w:type="paragraph" w:styleId="ListNumber2">
    <w:name w:val="List Number 2"/>
    <w:basedOn w:val="List2"/>
    <w:rsid w:val="00A65B02"/>
    <w:pPr>
      <w:numPr>
        <w:numId w:val="10"/>
      </w:numPr>
      <w:tabs>
        <w:tab w:val="clear" w:pos="1060"/>
      </w:tabs>
    </w:pPr>
  </w:style>
  <w:style w:type="paragraph" w:customStyle="1" w:styleId="MarginNote">
    <w:name w:val="Margin Note"/>
    <w:basedOn w:val="BodyText"/>
    <w:rsid w:val="00A65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B02"/>
    <w:rPr>
      <w:sz w:val="32"/>
    </w:rPr>
  </w:style>
  <w:style w:type="paragraph" w:customStyle="1" w:styleId="HeadingProcedure">
    <w:name w:val="Heading Procedure"/>
    <w:basedOn w:val="HeadingBase"/>
    <w:next w:val="Normal"/>
    <w:rsid w:val="00A65B02"/>
    <w:pPr>
      <w:tabs>
        <w:tab w:val="left" w:pos="0"/>
      </w:tabs>
      <w:spacing w:before="120" w:after="60"/>
    </w:pPr>
    <w:rPr>
      <w:i/>
      <w:color w:val="918585"/>
      <w:sz w:val="22"/>
    </w:rPr>
  </w:style>
  <w:style w:type="paragraph" w:customStyle="1" w:styleId="TableBodyText">
    <w:name w:val="Table Body Text"/>
    <w:basedOn w:val="BodyText"/>
    <w:rsid w:val="00A65B02"/>
    <w:pPr>
      <w:spacing w:before="60" w:after="60"/>
    </w:pPr>
  </w:style>
  <w:style w:type="paragraph" w:styleId="ListContinue">
    <w:name w:val="List Continue"/>
    <w:basedOn w:val="List"/>
    <w:rsid w:val="00A65B02"/>
    <w:pPr>
      <w:ind w:firstLine="0"/>
    </w:pPr>
  </w:style>
  <w:style w:type="paragraph" w:customStyle="1" w:styleId="ListNote">
    <w:name w:val="List Note"/>
    <w:basedOn w:val="List"/>
    <w:rsid w:val="00A65B02"/>
    <w:pPr>
      <w:pBdr>
        <w:top w:val="single" w:sz="6" w:space="2" w:color="918585"/>
        <w:bottom w:val="single" w:sz="6" w:space="2" w:color="918585"/>
      </w:pBdr>
      <w:tabs>
        <w:tab w:val="left" w:pos="1021"/>
      </w:tabs>
      <w:ind w:firstLine="0"/>
    </w:pPr>
  </w:style>
  <w:style w:type="paragraph" w:customStyle="1" w:styleId="Warning">
    <w:name w:val="Warning"/>
    <w:basedOn w:val="BodyText"/>
    <w:rsid w:val="00A65B02"/>
    <w:pPr>
      <w:shd w:val="clear" w:color="auto" w:fill="D9D9D9"/>
      <w:tabs>
        <w:tab w:val="left" w:pos="992"/>
      </w:tabs>
      <w:ind w:left="119" w:right="119"/>
    </w:pPr>
    <w:rPr>
      <w:sz w:val="20"/>
    </w:rPr>
  </w:style>
  <w:style w:type="paragraph" w:customStyle="1" w:styleId="MarginIcons">
    <w:name w:val="Margin Icons"/>
    <w:basedOn w:val="BodyText"/>
    <w:rsid w:val="00A65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B02"/>
    <w:rPr>
      <w:rFonts w:ascii="Courier New" w:hAnsi="Courier New"/>
    </w:rPr>
  </w:style>
  <w:style w:type="paragraph" w:customStyle="1" w:styleId="NoteBullet">
    <w:name w:val="Note Bullet"/>
    <w:basedOn w:val="Note"/>
    <w:rsid w:val="00A65B02"/>
    <w:pPr>
      <w:tabs>
        <w:tab w:val="clear" w:pos="680"/>
      </w:tabs>
      <w:spacing w:before="60" w:after="60"/>
    </w:pPr>
  </w:style>
  <w:style w:type="paragraph" w:customStyle="1" w:styleId="SubHeading2">
    <w:name w:val="SubHeading2"/>
    <w:basedOn w:val="HeadingBase"/>
    <w:rsid w:val="00A65B02"/>
    <w:pPr>
      <w:spacing w:before="240" w:after="60"/>
    </w:pPr>
    <w:rPr>
      <w:sz w:val="20"/>
    </w:rPr>
  </w:style>
  <w:style w:type="paragraph" w:customStyle="1" w:styleId="SubHeading1">
    <w:name w:val="SubHeading1"/>
    <w:basedOn w:val="HeadingBase"/>
    <w:rsid w:val="00A65B02"/>
    <w:pPr>
      <w:spacing w:before="240" w:after="60"/>
    </w:pPr>
    <w:rPr>
      <w:color w:val="918585"/>
      <w:sz w:val="22"/>
    </w:rPr>
  </w:style>
  <w:style w:type="paragraph" w:customStyle="1" w:styleId="SideHeading">
    <w:name w:val="Side Heading"/>
    <w:basedOn w:val="HeadingBase"/>
    <w:rsid w:val="00A65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B02"/>
    <w:pPr>
      <w:numPr>
        <w:numId w:val="12"/>
      </w:numPr>
    </w:pPr>
  </w:style>
  <w:style w:type="paragraph" w:styleId="PlainText">
    <w:name w:val="Plain Text"/>
    <w:basedOn w:val="Normal"/>
    <w:link w:val="PlainTextChar"/>
    <w:rsid w:val="00A65B02"/>
    <w:rPr>
      <w:sz w:val="20"/>
    </w:rPr>
  </w:style>
  <w:style w:type="character" w:customStyle="1" w:styleId="PlainTextChar">
    <w:name w:val="Plain Text Char"/>
    <w:basedOn w:val="DefaultParagraphFont"/>
    <w:link w:val="PlainText"/>
    <w:rsid w:val="00A65B02"/>
    <w:rPr>
      <w:rFonts w:ascii="Courier New" w:eastAsia="Times New Roman" w:hAnsi="Courier New" w:cs="Times New Roman"/>
      <w:sz w:val="20"/>
      <w:szCs w:val="20"/>
      <w:lang w:eastAsia="en-US"/>
    </w:rPr>
  </w:style>
  <w:style w:type="character" w:customStyle="1" w:styleId="MenuOption">
    <w:name w:val="Menu Option"/>
    <w:basedOn w:val="DefaultParagraphFont"/>
    <w:rsid w:val="00A65B02"/>
    <w:rPr>
      <w:b/>
      <w:smallCaps/>
    </w:rPr>
  </w:style>
  <w:style w:type="paragraph" w:customStyle="1" w:styleId="TableListNumber">
    <w:name w:val="Table List Number"/>
    <w:basedOn w:val="ListNumber"/>
    <w:rsid w:val="00A65B02"/>
    <w:pPr>
      <w:numPr>
        <w:numId w:val="0"/>
      </w:numPr>
    </w:pPr>
  </w:style>
  <w:style w:type="paragraph" w:styleId="TOC4">
    <w:name w:val="toc 4"/>
    <w:basedOn w:val="TOCBase"/>
    <w:next w:val="Normal"/>
    <w:semiHidden/>
    <w:rsid w:val="00A65B02"/>
    <w:pPr>
      <w:tabs>
        <w:tab w:val="right" w:leader="dot" w:pos="9071"/>
      </w:tabs>
      <w:ind w:left="1701"/>
    </w:pPr>
  </w:style>
  <w:style w:type="paragraph" w:customStyle="1" w:styleId="ListAlpha">
    <w:name w:val="List Alpha"/>
    <w:basedOn w:val="List"/>
    <w:rsid w:val="00A65B02"/>
    <w:pPr>
      <w:numPr>
        <w:numId w:val="9"/>
      </w:numPr>
    </w:pPr>
  </w:style>
  <w:style w:type="paragraph" w:customStyle="1" w:styleId="ListAlpha2">
    <w:name w:val="List Alpha 2"/>
    <w:basedOn w:val="List2"/>
    <w:rsid w:val="00A65B02"/>
    <w:pPr>
      <w:numPr>
        <w:numId w:val="8"/>
      </w:numPr>
    </w:pPr>
  </w:style>
  <w:style w:type="paragraph" w:styleId="List2">
    <w:name w:val="List 2"/>
    <w:basedOn w:val="BodyText"/>
    <w:rsid w:val="00A65B02"/>
    <w:pPr>
      <w:tabs>
        <w:tab w:val="left" w:pos="680"/>
      </w:tabs>
      <w:spacing w:before="60" w:after="60"/>
      <w:ind w:left="680" w:hanging="340"/>
    </w:pPr>
  </w:style>
  <w:style w:type="paragraph" w:styleId="List3">
    <w:name w:val="List 3"/>
    <w:basedOn w:val="BodyText"/>
    <w:rsid w:val="00A65B02"/>
    <w:pPr>
      <w:tabs>
        <w:tab w:val="left" w:pos="1021"/>
      </w:tabs>
      <w:spacing w:before="60" w:after="60"/>
      <w:ind w:left="1020" w:hanging="340"/>
    </w:pPr>
  </w:style>
  <w:style w:type="paragraph" w:styleId="List4">
    <w:name w:val="List 4"/>
    <w:basedOn w:val="BodyText"/>
    <w:rsid w:val="00A65B02"/>
    <w:pPr>
      <w:tabs>
        <w:tab w:val="left" w:pos="1361"/>
      </w:tabs>
      <w:spacing w:before="60" w:after="60"/>
      <w:ind w:left="1361" w:hanging="340"/>
    </w:pPr>
  </w:style>
  <w:style w:type="paragraph" w:styleId="List5">
    <w:name w:val="List 5"/>
    <w:basedOn w:val="BodyText"/>
    <w:rsid w:val="00A65B02"/>
    <w:pPr>
      <w:tabs>
        <w:tab w:val="left" w:pos="1701"/>
      </w:tabs>
      <w:spacing w:before="60" w:after="60"/>
      <w:ind w:left="1701" w:hanging="340"/>
    </w:pPr>
  </w:style>
  <w:style w:type="paragraph" w:styleId="ListBullet3">
    <w:name w:val="List Bullet 3"/>
    <w:basedOn w:val="List3"/>
    <w:rsid w:val="00A65B02"/>
    <w:pPr>
      <w:numPr>
        <w:numId w:val="15"/>
      </w:numPr>
      <w:tabs>
        <w:tab w:val="clear" w:pos="1021"/>
      </w:tabs>
      <w:ind w:left="1037" w:hanging="357"/>
    </w:pPr>
  </w:style>
  <w:style w:type="paragraph" w:styleId="ListBullet4">
    <w:name w:val="List Bullet 4"/>
    <w:basedOn w:val="List4"/>
    <w:rsid w:val="00A65B02"/>
    <w:pPr>
      <w:numPr>
        <w:numId w:val="3"/>
      </w:numPr>
    </w:pPr>
  </w:style>
  <w:style w:type="paragraph" w:styleId="ListBullet5">
    <w:name w:val="List Bullet 5"/>
    <w:basedOn w:val="List5"/>
    <w:rsid w:val="00A65B02"/>
    <w:pPr>
      <w:numPr>
        <w:numId w:val="4"/>
      </w:numPr>
    </w:pPr>
  </w:style>
  <w:style w:type="paragraph" w:styleId="ListContinue2">
    <w:name w:val="List Continue 2"/>
    <w:basedOn w:val="List2"/>
    <w:rsid w:val="00A65B02"/>
    <w:pPr>
      <w:ind w:firstLine="0"/>
    </w:pPr>
  </w:style>
  <w:style w:type="paragraph" w:styleId="ListContinue3">
    <w:name w:val="List Continue 3"/>
    <w:basedOn w:val="List3"/>
    <w:rsid w:val="00A65B02"/>
    <w:pPr>
      <w:ind w:left="1021" w:firstLine="0"/>
    </w:pPr>
  </w:style>
  <w:style w:type="paragraph" w:styleId="ListContinue4">
    <w:name w:val="List Continue 4"/>
    <w:basedOn w:val="List4"/>
    <w:rsid w:val="00A65B02"/>
    <w:pPr>
      <w:ind w:firstLine="0"/>
    </w:pPr>
  </w:style>
  <w:style w:type="paragraph" w:styleId="ListContinue5">
    <w:name w:val="List Continue 5"/>
    <w:basedOn w:val="List5"/>
    <w:rsid w:val="00A65B02"/>
    <w:pPr>
      <w:ind w:firstLine="0"/>
    </w:pPr>
  </w:style>
  <w:style w:type="paragraph" w:styleId="ListNumber3">
    <w:name w:val="List Number 3"/>
    <w:basedOn w:val="List3"/>
    <w:rsid w:val="00A65B02"/>
    <w:pPr>
      <w:numPr>
        <w:numId w:val="5"/>
      </w:numPr>
    </w:pPr>
  </w:style>
  <w:style w:type="paragraph" w:styleId="ListNumber4">
    <w:name w:val="List Number 4"/>
    <w:basedOn w:val="List4"/>
    <w:rsid w:val="00A65B02"/>
    <w:pPr>
      <w:numPr>
        <w:numId w:val="6"/>
      </w:numPr>
    </w:pPr>
  </w:style>
  <w:style w:type="paragraph" w:styleId="ListNumber5">
    <w:name w:val="List Number 5"/>
    <w:basedOn w:val="List5"/>
    <w:rsid w:val="00A65B02"/>
    <w:pPr>
      <w:numPr>
        <w:numId w:val="7"/>
      </w:numPr>
    </w:pPr>
  </w:style>
  <w:style w:type="paragraph" w:styleId="BlockText">
    <w:name w:val="Block Text"/>
    <w:basedOn w:val="Normal"/>
    <w:rsid w:val="00A65B02"/>
    <w:pPr>
      <w:spacing w:after="120"/>
      <w:ind w:left="1440" w:right="1440"/>
    </w:pPr>
  </w:style>
  <w:style w:type="character" w:customStyle="1" w:styleId="Subscript">
    <w:name w:val="Subscript"/>
    <w:basedOn w:val="DefaultParagraphFont"/>
    <w:rsid w:val="00A65B02"/>
    <w:rPr>
      <w:sz w:val="16"/>
      <w:vertAlign w:val="subscript"/>
    </w:rPr>
  </w:style>
  <w:style w:type="character" w:customStyle="1" w:styleId="Superscript">
    <w:name w:val="Superscript"/>
    <w:basedOn w:val="DefaultParagraphFont"/>
    <w:rsid w:val="00A65B02"/>
    <w:rPr>
      <w:sz w:val="16"/>
      <w:vertAlign w:val="superscript"/>
    </w:rPr>
  </w:style>
  <w:style w:type="character" w:customStyle="1" w:styleId="Symbols">
    <w:name w:val="Symbols"/>
    <w:basedOn w:val="DefaultParagraphFont"/>
    <w:rsid w:val="00A65B02"/>
    <w:rPr>
      <w:rFonts w:ascii="Symbol" w:hAnsi="Symbol"/>
    </w:rPr>
  </w:style>
  <w:style w:type="character" w:customStyle="1" w:styleId="MenuOptions">
    <w:name w:val="Menu Options"/>
    <w:basedOn w:val="DefaultParagraphFont"/>
    <w:rsid w:val="00A65B02"/>
    <w:rPr>
      <w:rFonts w:ascii="Arial Narrow" w:hAnsi="Arial Narrow"/>
      <w:smallCaps/>
    </w:rPr>
  </w:style>
  <w:style w:type="character" w:customStyle="1" w:styleId="Buttons">
    <w:name w:val="Buttons"/>
    <w:basedOn w:val="DefaultParagraphFont"/>
    <w:rsid w:val="00A65B02"/>
    <w:rPr>
      <w:b/>
    </w:rPr>
  </w:style>
  <w:style w:type="character" w:customStyle="1" w:styleId="Underlined">
    <w:name w:val="Underlined"/>
    <w:basedOn w:val="DefaultParagraphFont"/>
    <w:rsid w:val="00A65B02"/>
    <w:rPr>
      <w:u w:val="single"/>
    </w:rPr>
  </w:style>
  <w:style w:type="paragraph" w:customStyle="1" w:styleId="TableBodyTextRight">
    <w:name w:val="Table Body Text Right"/>
    <w:basedOn w:val="TableBodyText"/>
    <w:rsid w:val="00A65B02"/>
    <w:pPr>
      <w:widowControl w:val="0"/>
      <w:autoSpaceDE w:val="0"/>
      <w:autoSpaceDN w:val="0"/>
      <w:adjustRightInd w:val="0"/>
      <w:jc w:val="right"/>
    </w:pPr>
    <w:rPr>
      <w:rFonts w:cs="Arial"/>
      <w:szCs w:val="18"/>
    </w:rPr>
  </w:style>
  <w:style w:type="paragraph" w:customStyle="1" w:styleId="CopyrightText">
    <w:name w:val="Copyright Text"/>
    <w:basedOn w:val="BodyText"/>
    <w:rsid w:val="00A65B02"/>
    <w:rPr>
      <w:sz w:val="18"/>
    </w:rPr>
  </w:style>
  <w:style w:type="paragraph" w:customStyle="1" w:styleId="BodySmallRight">
    <w:name w:val="Body Small Right"/>
    <w:basedOn w:val="BodyTextRight"/>
    <w:rsid w:val="00A65B02"/>
    <w:rPr>
      <w:sz w:val="18"/>
      <w:szCs w:val="18"/>
    </w:rPr>
  </w:style>
  <w:style w:type="paragraph" w:customStyle="1" w:styleId="MarginEdition">
    <w:name w:val="Margin Edition"/>
    <w:basedOn w:val="MarginNote"/>
    <w:rsid w:val="00A65B02"/>
    <w:pPr>
      <w:spacing w:before="0" w:after="0"/>
    </w:pPr>
    <w:rPr>
      <w:rFonts w:ascii="Times New Roman" w:hAnsi="Times New Roman"/>
      <w:color w:val="999999"/>
    </w:rPr>
  </w:style>
  <w:style w:type="paragraph" w:customStyle="1" w:styleId="Spacer">
    <w:name w:val="Spacer"/>
    <w:basedOn w:val="Normal"/>
    <w:rsid w:val="00A65B02"/>
    <w:rPr>
      <w:sz w:val="2"/>
      <w:szCs w:val="2"/>
    </w:rPr>
  </w:style>
  <w:style w:type="character" w:customStyle="1" w:styleId="Small">
    <w:name w:val="Small"/>
    <w:basedOn w:val="DefaultParagraphFont"/>
    <w:rsid w:val="00A65B02"/>
    <w:rPr>
      <w:sz w:val="16"/>
    </w:rPr>
  </w:style>
  <w:style w:type="paragraph" w:customStyle="1" w:styleId="WideTable">
    <w:name w:val="Wide Table"/>
    <w:basedOn w:val="Normal"/>
    <w:rsid w:val="00A65B02"/>
    <w:pPr>
      <w:ind w:left="-1418"/>
    </w:pPr>
    <w:rPr>
      <w:sz w:val="2"/>
      <w:szCs w:val="2"/>
    </w:rPr>
  </w:style>
  <w:style w:type="character" w:styleId="PageNumber">
    <w:name w:val="page number"/>
    <w:basedOn w:val="DefaultParagraphFont"/>
    <w:rsid w:val="00A65B02"/>
  </w:style>
  <w:style w:type="paragraph" w:styleId="Quote">
    <w:name w:val="Quote"/>
    <w:basedOn w:val="Heading1"/>
    <w:link w:val="QuoteChar"/>
    <w:qFormat/>
    <w:rsid w:val="00A65B02"/>
    <w:rPr>
      <w:b w:val="0"/>
      <w:sz w:val="72"/>
      <w:szCs w:val="72"/>
      <w:lang w:val="en-NZ"/>
    </w:rPr>
  </w:style>
  <w:style w:type="character" w:customStyle="1" w:styleId="QuoteChar">
    <w:name w:val="Quote Char"/>
    <w:basedOn w:val="DefaultParagraphFont"/>
    <w:link w:val="Quote"/>
    <w:rsid w:val="00A65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B02"/>
    <w:pPr>
      <w:pageBreakBefore/>
    </w:pPr>
  </w:style>
  <w:style w:type="paragraph" w:customStyle="1" w:styleId="Border">
    <w:name w:val="Border"/>
    <w:basedOn w:val="Normal"/>
    <w:qFormat/>
    <w:rsid w:val="00A65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B02"/>
    <w:rPr>
      <w:b/>
      <w:bCs/>
      <w:i/>
      <w:iCs/>
      <w:color w:val="auto"/>
    </w:rPr>
  </w:style>
  <w:style w:type="paragraph" w:styleId="IntenseQuote">
    <w:name w:val="Intense Quote"/>
    <w:basedOn w:val="Normal"/>
    <w:next w:val="Normal"/>
    <w:link w:val="IntenseQuoteChar"/>
    <w:uiPriority w:val="30"/>
    <w:qFormat/>
    <w:rsid w:val="00A65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B02"/>
    <w:rPr>
      <w:smallCaps/>
      <w:color w:val="auto"/>
      <w:u w:val="single"/>
    </w:rPr>
  </w:style>
  <w:style w:type="character" w:styleId="IntenseReference">
    <w:name w:val="Intense Reference"/>
    <w:basedOn w:val="DefaultParagraphFont"/>
    <w:uiPriority w:val="32"/>
    <w:qFormat/>
    <w:rsid w:val="00A65B02"/>
    <w:rPr>
      <w:b/>
      <w:bCs/>
      <w:smallCaps/>
      <w:color w:val="auto"/>
      <w:spacing w:val="5"/>
      <w:u w:val="single"/>
    </w:rPr>
  </w:style>
  <w:style w:type="paragraph" w:customStyle="1" w:styleId="2ColumnHeading">
    <w:name w:val="2Column Heading"/>
    <w:basedOn w:val="BodyText"/>
    <w:qFormat/>
    <w:rsid w:val="00A65B02"/>
    <w:pPr>
      <w:spacing w:after="60"/>
      <w:ind w:left="-2268"/>
    </w:pPr>
    <w:rPr>
      <w:b/>
    </w:rPr>
  </w:style>
  <w:style w:type="paragraph" w:customStyle="1" w:styleId="Heading1TOC">
    <w:name w:val="Heading1 TOC"/>
    <w:basedOn w:val="Normal"/>
    <w:qFormat/>
    <w:rsid w:val="00A65B02"/>
    <w:pPr>
      <w:spacing w:before="240" w:after="120"/>
    </w:pPr>
    <w:rPr>
      <w:rFonts w:ascii="Times New Roman" w:hAnsi="Times New Roman"/>
      <w:b/>
      <w:sz w:val="32"/>
    </w:rPr>
  </w:style>
  <w:style w:type="paragraph" w:customStyle="1" w:styleId="Heading2TOC">
    <w:name w:val="Heading2 TOC"/>
    <w:basedOn w:val="Normal"/>
    <w:qFormat/>
    <w:rsid w:val="00A65B02"/>
    <w:pPr>
      <w:spacing w:before="240" w:after="60"/>
    </w:pPr>
    <w:rPr>
      <w:rFonts w:ascii="Times New Roman" w:hAnsi="Times New Roman"/>
      <w:b/>
      <w:sz w:val="28"/>
    </w:rPr>
  </w:style>
  <w:style w:type="character" w:customStyle="1" w:styleId="Underline">
    <w:name w:val="Underline"/>
    <w:basedOn w:val="DefaultParagraphFont"/>
    <w:qFormat/>
    <w:rsid w:val="00A65B02"/>
    <w:rPr>
      <w:u w:val="single"/>
    </w:rPr>
  </w:style>
  <w:style w:type="paragraph" w:styleId="BalloonText">
    <w:name w:val="Balloon Text"/>
    <w:basedOn w:val="Normal"/>
    <w:link w:val="BalloonTextChar"/>
    <w:rsid w:val="00A65B02"/>
    <w:rPr>
      <w:rFonts w:ascii="Tahoma" w:hAnsi="Tahoma" w:cs="Tahoma"/>
      <w:sz w:val="16"/>
      <w:szCs w:val="16"/>
    </w:rPr>
  </w:style>
  <w:style w:type="character" w:customStyle="1" w:styleId="BalloonTextChar">
    <w:name w:val="Balloon Text Char"/>
    <w:basedOn w:val="DefaultParagraphFont"/>
    <w:link w:val="BalloonText"/>
    <w:rsid w:val="00A65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B02"/>
    <w:rPr>
      <w:b/>
      <w:color w:val="660033"/>
      <w:spacing w:val="0"/>
    </w:rPr>
  </w:style>
  <w:style w:type="paragraph" w:customStyle="1" w:styleId="Nameditemlist">
    <w:name w:val="Named item list"/>
    <w:basedOn w:val="BodyText"/>
    <w:qFormat/>
    <w:rsid w:val="00A65B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2098</Words>
  <Characters>13509</Characters>
  <Application>Microsoft Office Word</Application>
  <DocSecurity>0</DocSecurity>
  <Lines>480</Lines>
  <Paragraphs>294</Paragraphs>
  <ScaleCrop>false</ScaleCrop>
  <Company>Author-it Software Corporation Ltd.</Company>
  <LinksUpToDate>false</LinksUpToDate>
  <CharactersWithSpaces>15521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CPPACC5007A Apply mechanics of human body functions to accessible building design and fitout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2012-10-05T15:43:00Z</dcterms:created>
  <dcterms:modified xsi:type="dcterms:W3CDTF">2012-10-05T15:43:00Z</dcterms:modified>
</cp:coreProperties>
</file>