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670B" w:rsidP="009C670B">
      <w:pPr>
        <w:pStyle w:val="Title"/>
      </w:pPr>
      <w:bookmarkStart w:id="0" w:name="_GoBack"/>
      <w:bookmarkEnd w:id="0"/>
      <w:r>
        <w:fldChar w:fldCharType="begin"/>
      </w:r>
      <w:r>
        <w:instrText xml:space="preserve"> TITLE   \* MERGEFORMAT </w:instrText>
      </w:r>
      <w:r>
        <w:fldChar w:fldCharType="separate"/>
      </w:r>
      <w:r>
        <w:t>CPPACC5005A Interpret and apply building control legislation when assessing large-scale buildings for access</w:t>
      </w:r>
      <w:r>
        <w:fldChar w:fldCharType="end"/>
      </w:r>
    </w:p>
    <w:p w:rsidR="009C670B" w:rsidP="009C670B">
      <w:pPr>
        <w:pStyle w:val="Version"/>
        <w:sectPr w:rsidSect="00E023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23D7" w:rsidP="00E023D7">
      <w:pPr>
        <w:pStyle w:val="SuperHeading"/>
      </w:pPr>
      <w:r w:rsidRPr="00E023D7">
        <w:t>CPPACC5005A Interpret and apply building control legislation when assessing large-scale buildings for access</w:t>
      </w:r>
    </w:p>
    <w:p w:rsidR="00000000" w:rsidRPr="00E023D7" w:rsidP="00E023D7">
      <w:pPr>
        <w:pStyle w:val="Heading1"/>
      </w:pPr>
      <w:bookmarkStart w:id="1" w:name="O_269983"/>
      <w:bookmarkEnd w:id="1"/>
      <w:r w:rsidRPr="00E023D7">
        <w:t>Modification History</w:t>
      </w:r>
    </w:p>
    <w:p w:rsidR="00000000" w:rsidRPr="00E023D7" w:rsidP="00E023D7">
      <w:pPr>
        <w:pStyle w:val="BodyText"/>
      </w:pPr>
      <w:r w:rsidRPr="00E023D7">
        <w:t>Not Applicable</w:t>
      </w:r>
    </w:p>
    <w:p w:rsidR="00000000" w:rsidRPr="00E023D7" w:rsidP="00E023D7">
      <w:pPr>
        <w:pStyle w:val="AllowPageBreak"/>
      </w:pPr>
    </w:p>
    <w:p w:rsidR="00000000" w:rsidRPr="00E023D7" w:rsidP="00E023D7">
      <w:pPr>
        <w:pStyle w:val="Heading1"/>
      </w:pPr>
      <w:bookmarkStart w:id="2" w:name="O_200578"/>
      <w:bookmarkEnd w:id="2"/>
      <w:r w:rsidRPr="00E023D7">
        <w:t>Unit Descriptor</w:t>
      </w:r>
    </w:p>
    <w:p w:rsidR="00000000" w:rsidRPr="00E023D7" w:rsidP="00E023D7">
      <w:pPr>
        <w:pStyle w:val="BodyText"/>
      </w:pPr>
      <w:r w:rsidRPr="00E023D7">
        <w:rPr>
          <w:rStyle w:val="SpecialBold"/>
        </w:rPr>
        <w:t>Unit descriptor</w:t>
      </w:r>
    </w:p>
    <w:p w:rsidR="00000000" w:rsidRPr="00E023D7" w:rsidP="00E023D7">
      <w:pPr>
        <w:pStyle w:val="BodyText"/>
      </w:pPr>
      <w:r w:rsidRPr="00E023D7">
        <w:t>This unit specifies the competency required to research, interpret and apply building accessibility legislation for use when assessing the accessibility of large-scale residential and commercial buildings.</w:t>
      </w:r>
    </w:p>
    <w:p w:rsidR="00000000" w:rsidRPr="00E023D7" w:rsidP="00E023D7">
      <w:pPr>
        <w:pStyle w:val="BodyText"/>
      </w:pPr>
      <w:r w:rsidRPr="00E023D7">
        <w:t>It inc</w:t>
      </w:r>
      <w:r w:rsidRPr="00E023D7">
        <w:t>ludes the evaluation of the Australian common law system and the various sources of law applicable to the accessibility of large-scale building developments and the analysis and application of the professional code of practice required for the assessment a</w:t>
      </w:r>
      <w:r w:rsidRPr="00E023D7">
        <w:t>nd inspection of buildings.</w:t>
      </w:r>
    </w:p>
    <w:p w:rsidR="009C670B" w:rsidP="00E023D7">
      <w:pPr>
        <w:pStyle w:val="BodyText"/>
      </w:pPr>
      <w:r w:rsidRPr="00E023D7">
        <w:t>This unit is based on BCGSV5008A Applying building control legislation to building surveying.</w:t>
      </w:r>
    </w:p>
    <w:p w:rsidR="009C670B" w:rsidP="00E023D7">
      <w:pPr>
        <w:pStyle w:val="BodyText"/>
      </w:pPr>
    </w:p>
    <w:p w:rsidR="00000000" w:rsidRPr="00E023D7" w:rsidP="00E023D7">
      <w:pPr>
        <w:pStyle w:val="Heading1"/>
      </w:pPr>
      <w:bookmarkStart w:id="3" w:name="O_200580"/>
      <w:bookmarkEnd w:id="3"/>
      <w:r w:rsidRPr="00E023D7">
        <w:t>Application of the Unit</w:t>
      </w:r>
    </w:p>
    <w:p w:rsidR="00000000" w:rsidRPr="00E023D7" w:rsidP="00E023D7">
      <w:pPr>
        <w:pStyle w:val="BodyText"/>
      </w:pPr>
      <w:r w:rsidRPr="00E023D7">
        <w:rPr>
          <w:rStyle w:val="SpecialBold"/>
        </w:rPr>
        <w:t>Application of the unit</w:t>
      </w:r>
    </w:p>
    <w:p w:rsidR="009C670B" w:rsidP="00E023D7">
      <w:pPr>
        <w:pStyle w:val="BodyText"/>
      </w:pPr>
      <w:r w:rsidRPr="00E023D7">
        <w:t>This unit of competency supports a number of access consulting serv</w:t>
      </w:r>
      <w:r w:rsidRPr="00E023D7">
        <w:t>ices where there is a breadth, depth and complexity of tasks and often the requirement to make decisions and provide recommendations involving non-routine situations. These access consulting services include conducting building access audits, assessing bui</w:t>
      </w:r>
      <w:r w:rsidRPr="00E023D7">
        <w:t>lding plans, providing advice on building renovations and serving on a Building Code of Australia Access Panel.</w:t>
      </w:r>
    </w:p>
    <w:p w:rsidR="009C670B" w:rsidP="00E023D7">
      <w:pPr>
        <w:pStyle w:val="BodyText"/>
      </w:pPr>
    </w:p>
    <w:p w:rsidR="00000000" w:rsidRPr="00E023D7" w:rsidP="00E023D7">
      <w:pPr>
        <w:pStyle w:val="Heading1"/>
      </w:pPr>
      <w:bookmarkStart w:id="4" w:name="O_278243"/>
      <w:bookmarkEnd w:id="4"/>
      <w:r w:rsidRPr="00E023D7">
        <w:t>Licensing/Regulatory Information</w:t>
      </w:r>
    </w:p>
    <w:p w:rsidR="00000000" w:rsidRPr="00E023D7" w:rsidP="00E023D7">
      <w:pPr>
        <w:pStyle w:val="BodyText"/>
      </w:pPr>
      <w:r w:rsidRPr="00E023D7">
        <w:t>Not Applicable</w:t>
      </w:r>
    </w:p>
    <w:p w:rsidR="00000000" w:rsidRPr="00E023D7" w:rsidP="00E023D7">
      <w:pPr>
        <w:pStyle w:val="AllowPageBreak"/>
      </w:pPr>
    </w:p>
    <w:p w:rsidR="00000000" w:rsidRPr="00E023D7" w:rsidP="00E023D7">
      <w:pPr>
        <w:pStyle w:val="Heading1"/>
      </w:pPr>
      <w:bookmarkStart w:id="5" w:name="O_283517"/>
      <w:bookmarkEnd w:id="5"/>
      <w:r w:rsidRPr="00E023D7">
        <w:t>Pre-Requisites</w:t>
      </w:r>
    </w:p>
    <w:p w:rsidR="00000000" w:rsidRPr="00E023D7" w:rsidP="00E023D7">
      <w:pPr>
        <w:pStyle w:val="BodyText"/>
      </w:pPr>
      <w:r w:rsidRPr="00E023D7">
        <w:t>Not Applicable</w:t>
      </w:r>
    </w:p>
    <w:p w:rsidR="00000000" w:rsidRPr="00E023D7" w:rsidP="00E023D7">
      <w:pPr>
        <w:pStyle w:val="AllowPageBreak"/>
      </w:pPr>
    </w:p>
    <w:p w:rsidR="00000000" w:rsidRPr="00E023D7" w:rsidP="00E023D7">
      <w:pPr>
        <w:pStyle w:val="Heading1"/>
      </w:pPr>
      <w:bookmarkStart w:id="6" w:name="O_200579"/>
      <w:bookmarkEnd w:id="6"/>
      <w:r w:rsidRPr="00E023D7">
        <w:t>Employability Skills Information</w:t>
      </w:r>
    </w:p>
    <w:p w:rsidR="00000000" w:rsidRPr="00E023D7" w:rsidP="00E023D7">
      <w:pPr>
        <w:pStyle w:val="BodyText"/>
      </w:pPr>
      <w:r w:rsidRPr="00E023D7">
        <w:rPr>
          <w:rStyle w:val="SpecialBold"/>
        </w:rPr>
        <w:t>Employability skills</w:t>
      </w:r>
    </w:p>
    <w:p w:rsidR="009C670B" w:rsidP="00E023D7">
      <w:pPr>
        <w:pStyle w:val="BodyText"/>
      </w:pPr>
      <w:r w:rsidRPr="00E023D7">
        <w:t>This unit contains employability skills.</w:t>
      </w:r>
    </w:p>
    <w:p w:rsidR="009C670B" w:rsidP="00E023D7">
      <w:pPr>
        <w:pStyle w:val="BodyText"/>
      </w:pPr>
    </w:p>
    <w:p w:rsidR="00000000" w:rsidRPr="00E023D7" w:rsidP="00E023D7">
      <w:pPr>
        <w:pStyle w:val="Heading1"/>
      </w:pPr>
      <w:bookmarkStart w:id="7" w:name="O_288029"/>
      <w:bookmarkEnd w:id="7"/>
      <w:r w:rsidRPr="00E023D7">
        <w:t>Elements and Performance Criteria Pre-Content</w:t>
      </w:r>
    </w:p>
    <w:tbl>
      <w:tblPr>
        <w:tblW w:w="0" w:type="auto"/>
        <w:tblLayout w:type="fixed"/>
        <w:tblCellMar>
          <w:left w:w="62" w:type="dxa"/>
          <w:right w:w="62" w:type="dxa"/>
        </w:tblCellMar>
        <w:tblLook w:val="0000"/>
      </w:tblPr>
      <w:tblGrid>
        <w:gridCol w:w="3153"/>
        <w:gridCol w:w="5345"/>
      </w:tblGrid>
      <w:tr w:rsidTr="009C670B">
        <w:tblPrEx>
          <w:tblW w:w="0" w:type="auto"/>
          <w:tblLayout w:type="fixed"/>
          <w:tblCellMar>
            <w:left w:w="62" w:type="dxa"/>
            <w:right w:w="62" w:type="dxa"/>
          </w:tblCellMar>
          <w:tblLook w:val="0000"/>
        </w:tblPrEx>
        <w:tc>
          <w:tcPr>
            <w:tcW w:w="3153" w:type="dxa"/>
            <w:tcBorders>
              <w:top w:val="nil"/>
              <w:left w:val="nil"/>
              <w:bottom w:val="nil"/>
              <w:right w:val="nil"/>
            </w:tcBorders>
            <w:tcMar>
              <w:top w:w="0" w:type="dxa"/>
              <w:left w:w="62" w:type="dxa"/>
              <w:bottom w:w="0" w:type="dxa"/>
              <w:right w:w="62" w:type="dxa"/>
            </w:tcMar>
          </w:tcPr>
          <w:p w:rsidR="00000000" w:rsidP="00E023D7">
            <w:pPr>
              <w:pStyle w:val="BodyText"/>
              <w:rPr>
                <w:lang w:val="en-NZ"/>
              </w:rPr>
            </w:pPr>
            <w:r w:rsidRPr="00E023D7">
              <w:t>Elements describe the essential outcomes of a unit of competency.</w:t>
            </w:r>
          </w:p>
        </w:tc>
        <w:tc>
          <w:tcPr>
            <w:tcW w:w="5345" w:type="dxa"/>
            <w:tcBorders>
              <w:top w:val="nil"/>
              <w:left w:val="nil"/>
              <w:bottom w:val="nil"/>
              <w:right w:val="nil"/>
            </w:tcBorders>
            <w:tcMar>
              <w:top w:w="0" w:type="dxa"/>
              <w:left w:w="62" w:type="dxa"/>
              <w:bottom w:w="0" w:type="dxa"/>
              <w:right w:w="62" w:type="dxa"/>
            </w:tcMar>
          </w:tcPr>
          <w:p w:rsidR="00000000" w:rsidRPr="00E023D7" w:rsidP="00E023D7">
            <w:pPr>
              <w:pStyle w:val="BodyText"/>
            </w:pPr>
            <w:r w:rsidRPr="00E023D7">
              <w:t xml:space="preserve">Performance criteria describe </w:t>
            </w:r>
            <w:r w:rsidRPr="00E023D7">
              <w:t>the required performance needed to demonstrate achievement of the element. Where bold italicised text is used, further information is detailed in the required skills and knowledge and/or the range statement. Assessment of performance is to be consistent wi</w:t>
            </w:r>
            <w:r w:rsidRPr="00E023D7">
              <w:t>th the evidence guide.</w:t>
            </w:r>
          </w:p>
        </w:tc>
      </w:tr>
    </w:tbl>
    <w:p w:rsidR="00000000" w:rsidRPr="00E023D7" w:rsidP="00E023D7">
      <w:pPr>
        <w:pStyle w:val="BodyText"/>
      </w:pPr>
    </w:p>
    <w:p w:rsidR="00000000" w:rsidRPr="00E023D7" w:rsidP="00E023D7">
      <w:pPr>
        <w:pStyle w:val="AllowPageBreak"/>
      </w:pPr>
    </w:p>
    <w:p w:rsidR="00000000" w:rsidRPr="00E023D7" w:rsidP="00E023D7">
      <w:pPr>
        <w:pStyle w:val="Heading1"/>
      </w:pPr>
      <w:bookmarkStart w:id="8" w:name="O_234696"/>
      <w:bookmarkEnd w:id="8"/>
      <w:r w:rsidRPr="00E023D7">
        <w:t>Elements and Performance Criteria</w:t>
      </w:r>
    </w:p>
    <w:tbl>
      <w:tblPr>
        <w:tblW w:w="0" w:type="auto"/>
        <w:tblLayout w:type="fixed"/>
        <w:tblCellMar>
          <w:left w:w="62" w:type="dxa"/>
          <w:right w:w="62" w:type="dxa"/>
        </w:tblCellMar>
        <w:tblLook w:val="0000"/>
      </w:tblPr>
      <w:tblGrid>
        <w:gridCol w:w="3153"/>
        <w:gridCol w:w="17"/>
        <w:gridCol w:w="5328"/>
        <w:gridCol w:w="24"/>
      </w:tblGrid>
      <w:tr w:rsidTr="009C670B">
        <w:tblPrEx>
          <w:tblW w:w="0" w:type="auto"/>
          <w:tblLayout w:type="fixed"/>
          <w:tblCellMar>
            <w:left w:w="62" w:type="dxa"/>
            <w:right w:w="62" w:type="dxa"/>
          </w:tblCellMar>
          <w:tblLook w:val="0000"/>
        </w:tblPrEx>
        <w:trPr>
          <w:tblHeader/>
        </w:trPr>
        <w:tc>
          <w:tcPr>
            <w:tcW w:w="3170" w:type="dxa"/>
            <w:gridSpan w:val="2"/>
            <w:tcBorders>
              <w:top w:val="nil"/>
              <w:left w:val="nil"/>
              <w:bottom w:val="nil"/>
              <w:right w:val="nil"/>
            </w:tcBorders>
            <w:tcMar>
              <w:top w:w="0" w:type="dxa"/>
              <w:left w:w="62" w:type="dxa"/>
              <w:bottom w:w="0" w:type="dxa"/>
              <w:right w:w="62" w:type="dxa"/>
            </w:tcMar>
          </w:tcPr>
          <w:p w:rsidR="00000000" w:rsidRPr="00E023D7" w:rsidP="00E023D7">
            <w:pPr>
              <w:pStyle w:val="List"/>
            </w:pPr>
            <w:r w:rsidRPr="00E023D7">
              <w:rPr>
                <w:rStyle w:val="SpecialBold"/>
              </w:rPr>
              <w:t>ELEMENT</w:t>
            </w:r>
          </w:p>
        </w:tc>
        <w:tc>
          <w:tcPr>
            <w:tcW w:w="5352" w:type="dxa"/>
            <w:gridSpan w:val="2"/>
            <w:tcBorders>
              <w:top w:val="nil"/>
              <w:left w:val="nil"/>
              <w:bottom w:val="nil"/>
              <w:right w:val="nil"/>
            </w:tcBorders>
            <w:tcMar>
              <w:top w:w="0" w:type="dxa"/>
              <w:left w:w="62" w:type="dxa"/>
              <w:bottom w:w="0" w:type="dxa"/>
              <w:right w:w="62" w:type="dxa"/>
            </w:tcMar>
          </w:tcPr>
          <w:p w:rsidR="00000000" w:rsidP="00E023D7">
            <w:pPr>
              <w:pStyle w:val="List"/>
              <w:rPr>
                <w:lang w:val="en-NZ"/>
              </w:rPr>
            </w:pPr>
            <w:r w:rsidRPr="00E023D7">
              <w:rPr>
                <w:rStyle w:val="SpecialBold"/>
              </w:rPr>
              <w:t>PERFORMANCE CRITERIA</w:t>
            </w:r>
          </w:p>
        </w:tc>
      </w:tr>
      <w:tr w:rsidTr="009C670B">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E023D7">
            <w:pPr>
              <w:pStyle w:val="List"/>
              <w:rPr>
                <w:lang w:val="en-NZ"/>
              </w:rPr>
            </w:pPr>
            <w:r w:rsidRPr="00E023D7">
              <w:rPr>
                <w:rStyle w:val="SpecialBold"/>
              </w:rPr>
              <w:t>1</w:t>
            </w:r>
            <w:r w:rsidRPr="00E023D7">
              <w:tab/>
            </w:r>
            <w:r w:rsidRPr="00E023D7">
              <w:rPr>
                <w:rStyle w:val="SpecialBold"/>
              </w:rPr>
              <w:t>Analyse the Australian administrative legal system</w:t>
            </w:r>
            <w:r w:rsidRPr="00E023D7">
              <w:t>.</w:t>
            </w:r>
          </w:p>
        </w:tc>
        <w:tc>
          <w:tcPr>
            <w:tcW w:w="5345" w:type="dxa"/>
            <w:gridSpan w:val="2"/>
            <w:tcBorders>
              <w:top w:val="nil"/>
              <w:left w:val="nil"/>
              <w:bottom w:val="nil"/>
              <w:right w:val="nil"/>
            </w:tcBorders>
            <w:tcMar>
              <w:top w:w="0" w:type="dxa"/>
              <w:left w:w="62" w:type="dxa"/>
              <w:bottom w:w="0" w:type="dxa"/>
              <w:right w:w="62" w:type="dxa"/>
            </w:tcMar>
          </w:tcPr>
          <w:p w:rsidR="00000000" w:rsidRPr="00E023D7" w:rsidP="00E023D7">
            <w:pPr>
              <w:pStyle w:val="List"/>
            </w:pPr>
            <w:r w:rsidRPr="00E023D7">
              <w:t>1.1</w:t>
            </w:r>
            <w:r w:rsidRPr="00E023D7">
              <w:tab/>
            </w:r>
            <w:r w:rsidRPr="00E023D7">
              <w:t>Differences between common law, statute law, delegated legislation and local government law are analysed and documented.</w:t>
            </w:r>
          </w:p>
          <w:p w:rsidR="00000000" w:rsidRPr="00E023D7" w:rsidP="00E023D7">
            <w:pPr>
              <w:pStyle w:val="List"/>
            </w:pPr>
            <w:r w:rsidRPr="00E023D7">
              <w:t>1.2</w:t>
            </w:r>
            <w:r w:rsidRPr="00E023D7">
              <w:tab/>
              <w:t>Civil law and examples of civil action relevant to building accessibility of large-scale buildings are researched and analysed.</w:t>
            </w:r>
          </w:p>
          <w:p w:rsidR="00000000" w:rsidP="00E023D7">
            <w:pPr>
              <w:pStyle w:val="List"/>
              <w:rPr>
                <w:lang w:val="en-NZ"/>
              </w:rPr>
            </w:pPr>
            <w:r w:rsidRPr="00E023D7">
              <w:t>1.3</w:t>
            </w:r>
            <w:r w:rsidRPr="00E023D7">
              <w:tab/>
              <w:t>Administrative law relevant to building accessibility is researched and analysed.</w:t>
            </w:r>
          </w:p>
        </w:tc>
      </w:tr>
      <w:tr w:rsidTr="009C670B">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E023D7">
            <w:pPr>
              <w:pStyle w:val="List"/>
              <w:rPr>
                <w:lang w:val="en-NZ"/>
              </w:rPr>
            </w:pPr>
            <w:r w:rsidRPr="00E023D7">
              <w:rPr>
                <w:rStyle w:val="SpecialBold"/>
              </w:rPr>
              <w:t>2</w:t>
            </w:r>
            <w:r w:rsidRPr="00E023D7">
              <w:tab/>
            </w:r>
            <w:r w:rsidRPr="00E023D7">
              <w:rPr>
                <w:rStyle w:val="SpecialBold"/>
              </w:rPr>
              <w:t>Evaluate administrative law applicable to building accessibility</w:t>
            </w:r>
            <w:r w:rsidRPr="00E023D7">
              <w:t>.</w:t>
            </w:r>
          </w:p>
        </w:tc>
        <w:tc>
          <w:tcPr>
            <w:tcW w:w="5345" w:type="dxa"/>
            <w:gridSpan w:val="2"/>
            <w:tcBorders>
              <w:top w:val="nil"/>
              <w:left w:val="nil"/>
              <w:bottom w:val="nil"/>
              <w:right w:val="nil"/>
            </w:tcBorders>
            <w:tcMar>
              <w:top w:w="0" w:type="dxa"/>
              <w:left w:w="62" w:type="dxa"/>
              <w:bottom w:w="0" w:type="dxa"/>
              <w:right w:w="62" w:type="dxa"/>
            </w:tcMar>
          </w:tcPr>
          <w:p w:rsidR="00000000" w:rsidRPr="00E023D7" w:rsidP="00E023D7">
            <w:pPr>
              <w:pStyle w:val="List"/>
            </w:pPr>
            <w:r w:rsidRPr="00E023D7">
              <w:t>2.1</w:t>
            </w:r>
            <w:r w:rsidRPr="00E023D7">
              <w:tab/>
              <w:t>Individual elements of judicial review legislation are evaluated and documented.</w:t>
            </w:r>
          </w:p>
          <w:p w:rsidR="00000000" w:rsidP="00E023D7">
            <w:pPr>
              <w:pStyle w:val="List"/>
              <w:rPr>
                <w:lang w:val="en-NZ"/>
              </w:rPr>
            </w:pPr>
            <w:r w:rsidRPr="00E023D7">
              <w:t>2.2</w:t>
            </w:r>
            <w:r w:rsidRPr="00E023D7">
              <w:tab/>
              <w:t>Natural justice</w:t>
            </w:r>
            <w:r w:rsidRPr="00E023D7">
              <w:t xml:space="preserve"> issues related to decision making through the building control process are identified and evaluated.</w:t>
            </w:r>
          </w:p>
        </w:tc>
      </w:tr>
      <w:tr w:rsidTr="009C670B">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E023D7">
            <w:pPr>
              <w:pStyle w:val="List"/>
              <w:rPr>
                <w:lang w:val="en-NZ"/>
              </w:rPr>
            </w:pPr>
            <w:r w:rsidRPr="00E023D7">
              <w:rPr>
                <w:rStyle w:val="SpecialBold"/>
              </w:rPr>
              <w:t>3</w:t>
            </w:r>
            <w:r w:rsidRPr="00E023D7">
              <w:tab/>
            </w:r>
            <w:r w:rsidRPr="00E023D7">
              <w:rPr>
                <w:rStyle w:val="SpecialBold"/>
              </w:rPr>
              <w:t>Describe the procedures and benefits of enforcing the law</w:t>
            </w:r>
            <w:r w:rsidRPr="00E023D7">
              <w:t>.</w:t>
            </w:r>
          </w:p>
        </w:tc>
        <w:tc>
          <w:tcPr>
            <w:tcW w:w="5345" w:type="dxa"/>
            <w:gridSpan w:val="2"/>
            <w:tcBorders>
              <w:top w:val="nil"/>
              <w:left w:val="nil"/>
              <w:bottom w:val="nil"/>
              <w:right w:val="nil"/>
            </w:tcBorders>
            <w:tcMar>
              <w:top w:w="0" w:type="dxa"/>
              <w:left w:w="62" w:type="dxa"/>
              <w:bottom w:w="0" w:type="dxa"/>
              <w:right w:w="62" w:type="dxa"/>
            </w:tcMar>
          </w:tcPr>
          <w:p w:rsidR="00000000" w:rsidRPr="00E023D7" w:rsidP="00E023D7">
            <w:pPr>
              <w:pStyle w:val="List"/>
            </w:pPr>
            <w:r w:rsidRPr="00E023D7">
              <w:t>3.1</w:t>
            </w:r>
            <w:r w:rsidRPr="00E023D7">
              <w:tab/>
              <w:t xml:space="preserve">Legislative benefits and examples of building accessibility enforcement are researched, </w:t>
            </w:r>
            <w:r w:rsidRPr="00E023D7">
              <w:t>analysed and documented.</w:t>
            </w:r>
          </w:p>
          <w:p w:rsidR="00000000" w:rsidRPr="00E023D7" w:rsidP="00E023D7">
            <w:pPr>
              <w:pStyle w:val="List"/>
            </w:pPr>
            <w:r w:rsidRPr="00E023D7">
              <w:t>3.2</w:t>
            </w:r>
            <w:r w:rsidRPr="00E023D7">
              <w:tab/>
              <w:t>Major regulatory enforcement strategies are identified and recorded.</w:t>
            </w:r>
          </w:p>
          <w:p w:rsidR="00000000" w:rsidRPr="00E023D7" w:rsidP="00E023D7">
            <w:pPr>
              <w:pStyle w:val="List"/>
            </w:pPr>
            <w:r w:rsidRPr="00E023D7">
              <w:t>3.3</w:t>
            </w:r>
            <w:r w:rsidRPr="00E023D7">
              <w:tab/>
              <w:t>The powers of entry of building certifiers are identified and analysed.</w:t>
            </w:r>
          </w:p>
          <w:p w:rsidR="00000000" w:rsidRPr="00E023D7" w:rsidP="00E023D7">
            <w:pPr>
              <w:pStyle w:val="List"/>
            </w:pPr>
            <w:r w:rsidRPr="00E023D7">
              <w:t>3.4</w:t>
            </w:r>
            <w:r w:rsidRPr="00E023D7">
              <w:tab/>
            </w:r>
            <w:r w:rsidRPr="00E023D7">
              <w:t>The legal considerations of a building certifier obtaining a warrant are identified and documented.</w:t>
            </w:r>
          </w:p>
          <w:p w:rsidR="00000000" w:rsidRPr="00E023D7" w:rsidP="00E023D7">
            <w:pPr>
              <w:pStyle w:val="List"/>
            </w:pPr>
            <w:r w:rsidRPr="00E023D7">
              <w:t>3.5</w:t>
            </w:r>
            <w:r w:rsidRPr="00E023D7">
              <w:tab/>
              <w:t>The types of evidence required to investigate and prove a breach of legislation are identified, gathered and documented.</w:t>
            </w:r>
          </w:p>
          <w:p w:rsidR="00000000" w:rsidP="00E023D7">
            <w:pPr>
              <w:pStyle w:val="List"/>
              <w:rPr>
                <w:lang w:val="en-NZ"/>
              </w:rPr>
            </w:pPr>
            <w:r w:rsidRPr="00E023D7">
              <w:t>3.6</w:t>
            </w:r>
            <w:r w:rsidRPr="00E023D7">
              <w:tab/>
              <w:t>Processes for addressing no</w:t>
            </w:r>
            <w:r w:rsidRPr="00E023D7">
              <w:t>n-compliance issues are identified and appropriate documentation is prepared in a format suitable for review by a building certifier.</w:t>
            </w:r>
          </w:p>
        </w:tc>
      </w:tr>
      <w:tr w:rsidTr="009C670B">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E023D7">
            <w:pPr>
              <w:pStyle w:val="List"/>
              <w:rPr>
                <w:lang w:val="en-NZ"/>
              </w:rPr>
            </w:pPr>
            <w:r w:rsidRPr="00E023D7">
              <w:rPr>
                <w:rStyle w:val="SpecialBold"/>
              </w:rPr>
              <w:t>4</w:t>
            </w:r>
            <w:r w:rsidRPr="00E023D7">
              <w:tab/>
            </w:r>
            <w:r w:rsidRPr="00E023D7">
              <w:rPr>
                <w:rStyle w:val="SpecialBold"/>
              </w:rPr>
              <w:t>Analyse the impact of any other legislation on state and territory legislation regarding building and development contr</w:t>
            </w:r>
            <w:r w:rsidRPr="00E023D7">
              <w:rPr>
                <w:rStyle w:val="SpecialBold"/>
              </w:rPr>
              <w:t>ol and access</w:t>
            </w:r>
            <w:r w:rsidRPr="00E023D7">
              <w:t>.</w:t>
            </w:r>
          </w:p>
        </w:tc>
        <w:tc>
          <w:tcPr>
            <w:tcW w:w="5345" w:type="dxa"/>
            <w:gridSpan w:val="2"/>
            <w:tcBorders>
              <w:top w:val="nil"/>
              <w:left w:val="nil"/>
              <w:bottom w:val="nil"/>
              <w:right w:val="nil"/>
            </w:tcBorders>
            <w:tcMar>
              <w:top w:w="0" w:type="dxa"/>
              <w:left w:w="62" w:type="dxa"/>
              <w:bottom w:w="0" w:type="dxa"/>
              <w:right w:w="62" w:type="dxa"/>
            </w:tcMar>
          </w:tcPr>
          <w:p w:rsidR="00000000" w:rsidRPr="00E023D7" w:rsidP="00E023D7">
            <w:pPr>
              <w:pStyle w:val="List"/>
            </w:pPr>
            <w:r w:rsidRPr="00E023D7">
              <w:t>4.1</w:t>
            </w:r>
            <w:r w:rsidRPr="00E023D7">
              <w:tab/>
              <w:t>Implications of commonwealth legislation on access upon state and territory building and development control legislation are examined and documented.</w:t>
            </w:r>
          </w:p>
          <w:p w:rsidR="00000000" w:rsidP="00E023D7">
            <w:pPr>
              <w:pStyle w:val="List"/>
              <w:rPr>
                <w:lang w:val="en-NZ"/>
              </w:rPr>
            </w:pPr>
            <w:r w:rsidRPr="00E023D7">
              <w:t>4.2</w:t>
            </w:r>
            <w:r w:rsidRPr="00E023D7">
              <w:tab/>
              <w:t>Implications of other state and territory legislation on building and development c</w:t>
            </w:r>
            <w:r w:rsidRPr="00E023D7">
              <w:t>ontrol legislation and access are examined and documented.</w:t>
            </w:r>
          </w:p>
        </w:tc>
      </w:tr>
      <w:tr w:rsidTr="009C670B">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E023D7">
            <w:pPr>
              <w:pStyle w:val="List"/>
              <w:rPr>
                <w:lang w:val="en-NZ"/>
              </w:rPr>
            </w:pPr>
            <w:r w:rsidRPr="00E023D7">
              <w:rPr>
                <w:rStyle w:val="SpecialBold"/>
              </w:rPr>
              <w:t>5</w:t>
            </w:r>
            <w:r w:rsidRPr="00E023D7">
              <w:tab/>
            </w:r>
            <w:r w:rsidRPr="00E023D7">
              <w:rPr>
                <w:rStyle w:val="SpecialBold"/>
              </w:rPr>
              <w:t>Analyse the professional code of practice applicable to the assessment of accessible large-scale buildings</w:t>
            </w:r>
            <w:r w:rsidRPr="00E023D7">
              <w:t>.</w:t>
            </w:r>
          </w:p>
        </w:tc>
        <w:tc>
          <w:tcPr>
            <w:tcW w:w="5345" w:type="dxa"/>
            <w:gridSpan w:val="2"/>
            <w:tcBorders>
              <w:top w:val="nil"/>
              <w:left w:val="nil"/>
              <w:bottom w:val="nil"/>
              <w:right w:val="nil"/>
            </w:tcBorders>
            <w:tcMar>
              <w:top w:w="0" w:type="dxa"/>
              <w:left w:w="62" w:type="dxa"/>
              <w:bottom w:w="0" w:type="dxa"/>
              <w:right w:w="62" w:type="dxa"/>
            </w:tcMar>
          </w:tcPr>
          <w:p w:rsidR="00000000" w:rsidRPr="00E023D7" w:rsidP="00E023D7">
            <w:pPr>
              <w:pStyle w:val="List"/>
            </w:pPr>
            <w:r w:rsidRPr="00E023D7">
              <w:t>5.1</w:t>
            </w:r>
            <w:r w:rsidRPr="00E023D7">
              <w:tab/>
              <w:t xml:space="preserve">The </w:t>
            </w:r>
            <w:r w:rsidRPr="00E023D7">
              <w:rPr>
                <w:rStyle w:val="BoldandItalics"/>
              </w:rPr>
              <w:t>code of practice</w:t>
            </w:r>
            <w:r w:rsidRPr="00E023D7">
              <w:t xml:space="preserve"> required by building industry regulators is analysed and eval</w:t>
            </w:r>
            <w:r w:rsidRPr="00E023D7">
              <w:t xml:space="preserve">uated in accordance with </w:t>
            </w:r>
            <w:r w:rsidRPr="00E023D7">
              <w:rPr>
                <w:rStyle w:val="BoldandItalics"/>
              </w:rPr>
              <w:t>organisational requirements</w:t>
            </w:r>
            <w:r w:rsidRPr="00E023D7">
              <w:t>.</w:t>
            </w:r>
          </w:p>
          <w:p w:rsidR="00000000" w:rsidRPr="00E023D7" w:rsidP="00E023D7">
            <w:pPr>
              <w:pStyle w:val="List"/>
            </w:pPr>
            <w:r w:rsidRPr="00E023D7">
              <w:t>5.2</w:t>
            </w:r>
            <w:r w:rsidRPr="00E023D7">
              <w:tab/>
              <w:t>Concepts regarding working within own area of personal competence are evaluated and practised.</w:t>
            </w:r>
          </w:p>
          <w:p w:rsidR="00000000" w:rsidRPr="00E023D7" w:rsidP="00E023D7">
            <w:pPr>
              <w:pStyle w:val="List"/>
            </w:pPr>
            <w:r w:rsidRPr="00E023D7">
              <w:t>5.3</w:t>
            </w:r>
            <w:r w:rsidRPr="00E023D7">
              <w:tab/>
              <w:t>Concepts regarding duty of care as it relates to common law are evaluated and documented.</w:t>
            </w:r>
          </w:p>
          <w:p w:rsidR="00000000" w:rsidP="00E023D7">
            <w:pPr>
              <w:pStyle w:val="List"/>
              <w:rPr>
                <w:lang w:val="en-NZ"/>
              </w:rPr>
            </w:pPr>
            <w:r w:rsidRPr="00E023D7">
              <w:t>5.4</w:t>
            </w:r>
            <w:r w:rsidRPr="00E023D7">
              <w:tab/>
              <w:t>Conce</w:t>
            </w:r>
            <w:r w:rsidRPr="00E023D7">
              <w:t>pts regarding conflict of interest as specified by relevant legislation are identified and managed appropriately.</w:t>
            </w:r>
          </w:p>
        </w:tc>
      </w:tr>
      <w:tr w:rsidTr="009C670B">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E023D7">
            <w:pPr>
              <w:pStyle w:val="List"/>
              <w:rPr>
                <w:lang w:val="en-NZ"/>
              </w:rPr>
            </w:pPr>
            <w:r w:rsidRPr="00E023D7">
              <w:rPr>
                <w:rStyle w:val="SpecialBold"/>
              </w:rPr>
              <w:t>6</w:t>
            </w:r>
            <w:r w:rsidRPr="00E023D7">
              <w:tab/>
            </w:r>
            <w:r w:rsidRPr="00E023D7">
              <w:rPr>
                <w:rStyle w:val="SpecialBold"/>
              </w:rPr>
              <w:t>Analyse the responsibilities and liabilities of access consultants and building certifiers and develop effective working relationships</w:t>
            </w:r>
            <w:r w:rsidRPr="00E023D7">
              <w:t>.</w:t>
            </w:r>
          </w:p>
        </w:tc>
        <w:tc>
          <w:tcPr>
            <w:tcW w:w="5345" w:type="dxa"/>
            <w:gridSpan w:val="2"/>
            <w:tcBorders>
              <w:top w:val="nil"/>
              <w:left w:val="nil"/>
              <w:bottom w:val="nil"/>
              <w:right w:val="nil"/>
            </w:tcBorders>
            <w:tcMar>
              <w:top w:w="0" w:type="dxa"/>
              <w:left w:w="62" w:type="dxa"/>
              <w:bottom w:w="0" w:type="dxa"/>
              <w:right w:w="62" w:type="dxa"/>
            </w:tcMar>
          </w:tcPr>
          <w:p w:rsidR="00000000" w:rsidRPr="00E023D7" w:rsidP="00E023D7">
            <w:pPr>
              <w:pStyle w:val="List"/>
            </w:pPr>
            <w:r w:rsidRPr="00E023D7">
              <w:t>6.1</w:t>
            </w:r>
            <w:r w:rsidRPr="00E023D7">
              <w:tab/>
            </w:r>
            <w:r w:rsidRPr="00E023D7">
              <w:rPr>
                <w:rStyle w:val="BoldandItalics"/>
              </w:rPr>
              <w:t>Responsibilities</w:t>
            </w:r>
            <w:r w:rsidRPr="00E023D7">
              <w:t xml:space="preserve"> and liabilities of access consultants are evaluated and documented.</w:t>
            </w:r>
          </w:p>
          <w:p w:rsidR="00000000" w:rsidRPr="00E023D7" w:rsidP="00E023D7">
            <w:pPr>
              <w:pStyle w:val="List"/>
            </w:pPr>
            <w:r w:rsidRPr="00E023D7">
              <w:t>6.2</w:t>
            </w:r>
            <w:r w:rsidRPr="00E023D7">
              <w:tab/>
              <w:t>The statutory duties, responsibilities and liabilities of building certifiers as specified by relevant legislation are evaluated and documented.</w:t>
            </w:r>
          </w:p>
          <w:p w:rsidR="00000000" w:rsidP="00E023D7">
            <w:pPr>
              <w:pStyle w:val="List"/>
              <w:rPr>
                <w:lang w:val="en-NZ"/>
              </w:rPr>
            </w:pPr>
            <w:r w:rsidRPr="00E023D7">
              <w:t>6.3</w:t>
            </w:r>
            <w:r w:rsidRPr="00E023D7">
              <w:tab/>
              <w:t>Strategies for es</w:t>
            </w:r>
            <w:r w:rsidRPr="00E023D7">
              <w:t>tablishing and building effective working relationships between access consultants and building certifiers are developed and implemented.</w:t>
            </w:r>
          </w:p>
        </w:tc>
      </w:tr>
      <w:tr w:rsidTr="009C670B">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5" w:type="dxa"/>
            <w:gridSpan w:val="2"/>
            <w:tcBorders>
              <w:top w:val="nil"/>
              <w:left w:val="nil"/>
              <w:bottom w:val="nil"/>
              <w:right w:val="nil"/>
            </w:tcBorders>
            <w:tcMar>
              <w:top w:w="0" w:type="dxa"/>
              <w:left w:w="62" w:type="dxa"/>
              <w:bottom w:w="0" w:type="dxa"/>
              <w:right w:w="62" w:type="dxa"/>
            </w:tcMar>
          </w:tcPr>
          <w:p w:rsidR="00000000" w:rsidRPr="00E023D7" w:rsidP="00E023D7">
            <w:pPr>
              <w:pStyle w:val="BodyText"/>
            </w:pPr>
          </w:p>
        </w:tc>
      </w:tr>
    </w:tbl>
    <w:p w:rsidR="009C670B" w:rsidP="00E023D7">
      <w:pPr>
        <w:pStyle w:val="BodyText"/>
      </w:pPr>
    </w:p>
    <w:p w:rsidR="009C670B" w:rsidP="00E023D7">
      <w:pPr>
        <w:pStyle w:val="BodyText"/>
      </w:pPr>
    </w:p>
    <w:p w:rsidR="00000000" w:rsidRPr="00E023D7" w:rsidP="00E023D7">
      <w:pPr>
        <w:pStyle w:val="Heading1"/>
      </w:pPr>
      <w:bookmarkStart w:id="9" w:name="O_258646"/>
      <w:bookmarkEnd w:id="9"/>
      <w:r w:rsidRPr="00E023D7">
        <w:t>Required Skills and Knowledge</w:t>
      </w:r>
    </w:p>
    <w:p w:rsidR="00000000" w:rsidRPr="00E023D7" w:rsidP="00E023D7">
      <w:pPr>
        <w:pStyle w:val="BodyText"/>
      </w:pPr>
      <w:r w:rsidRPr="00E023D7">
        <w:rPr>
          <w:rStyle w:val="SpecialBold"/>
        </w:rPr>
        <w:t>REQUIRED SKILLS AND KNOWLEDGE</w:t>
      </w:r>
    </w:p>
    <w:p w:rsidR="00000000" w:rsidRPr="00E023D7" w:rsidP="00E023D7">
      <w:pPr>
        <w:pStyle w:val="BodyText"/>
      </w:pPr>
      <w:r w:rsidRPr="00E023D7">
        <w:t>This section describ</w:t>
      </w:r>
      <w:r w:rsidRPr="00E023D7">
        <w:t>es the essential skills and knowledge and their level, required for this unit.</w:t>
      </w:r>
    </w:p>
    <w:p w:rsidR="00000000" w:rsidRPr="00E023D7" w:rsidP="00E023D7">
      <w:pPr>
        <w:pStyle w:val="BodyText"/>
      </w:pPr>
      <w:r w:rsidRPr="00E023D7">
        <w:rPr>
          <w:rStyle w:val="SpecialBold"/>
        </w:rPr>
        <w:t>Required knowledge and understanding include</w:t>
      </w:r>
      <w:r w:rsidRPr="00E023D7">
        <w:t>:</w:t>
      </w:r>
    </w:p>
    <w:p w:rsidR="00000000" w:rsidRPr="00E023D7" w:rsidP="00E023D7">
      <w:pPr>
        <w:pStyle w:val="ListBullet"/>
      </w:pPr>
      <w:r w:rsidRPr="00E023D7">
        <w:t>Australian legal system</w:t>
      </w:r>
    </w:p>
    <w:p w:rsidR="00000000" w:rsidRPr="00E023D7" w:rsidP="00E023D7">
      <w:pPr>
        <w:pStyle w:val="ListBullet"/>
      </w:pPr>
      <w:r w:rsidRPr="00E023D7">
        <w:t>building and construction terminology and definitions</w:t>
      </w:r>
    </w:p>
    <w:p w:rsidR="00000000" w:rsidRPr="00E023D7" w:rsidP="00E023D7">
      <w:pPr>
        <w:pStyle w:val="ListBullet"/>
      </w:pPr>
      <w:r w:rsidRPr="00E023D7">
        <w:t>commonwealth, state and territory anti-discrimination</w:t>
      </w:r>
      <w:r w:rsidRPr="00E023D7">
        <w:t xml:space="preserve"> legislation and regulations</w:t>
      </w:r>
    </w:p>
    <w:p w:rsidR="00000000" w:rsidRPr="00E023D7" w:rsidP="00E023D7">
      <w:pPr>
        <w:pStyle w:val="ListBullet"/>
      </w:pPr>
      <w:r w:rsidRPr="00E023D7">
        <w:t>disability awareness</w:t>
      </w:r>
    </w:p>
    <w:p w:rsidR="00000000" w:rsidRPr="00E023D7" w:rsidP="00E023D7">
      <w:pPr>
        <w:pStyle w:val="ListBullet"/>
      </w:pPr>
      <w:r w:rsidRPr="00E023D7">
        <w:t>industry codes of practice and ethics</w:t>
      </w:r>
    </w:p>
    <w:p w:rsidR="00000000" w:rsidRPr="00E023D7" w:rsidP="00E023D7">
      <w:pPr>
        <w:pStyle w:val="ListBullet"/>
      </w:pPr>
      <w:r w:rsidRPr="00E023D7">
        <w:t>legal terminology and definitions</w:t>
      </w:r>
    </w:p>
    <w:p w:rsidR="00000000" w:rsidRPr="00E023D7" w:rsidP="00E023D7">
      <w:pPr>
        <w:pStyle w:val="ListBullet"/>
      </w:pPr>
      <w:r w:rsidRPr="00E023D7">
        <w:t>limitations of work role, responsibility and professional abilities</w:t>
      </w:r>
    </w:p>
    <w:p w:rsidR="00000000" w:rsidRPr="00E023D7" w:rsidP="00E023D7">
      <w:pPr>
        <w:pStyle w:val="ListBullet"/>
      </w:pPr>
      <w:r w:rsidRPr="00E023D7">
        <w:t>networking and building relationships</w:t>
      </w:r>
    </w:p>
    <w:p w:rsidR="00000000" w:rsidRPr="00E023D7" w:rsidP="00E023D7">
      <w:pPr>
        <w:pStyle w:val="ListBullet"/>
      </w:pPr>
      <w:r w:rsidRPr="00E023D7">
        <w:t>organisational and professio</w:t>
      </w:r>
      <w:r w:rsidRPr="00E023D7">
        <w:t>nal procedures and business standards</w:t>
      </w:r>
    </w:p>
    <w:p w:rsidR="00000000" w:rsidRPr="00E023D7" w:rsidP="00E023D7">
      <w:pPr>
        <w:pStyle w:val="ListBullet"/>
      </w:pPr>
      <w:r w:rsidRPr="00E023D7">
        <w:t>processes and procedures used in standard court operations</w:t>
      </w:r>
    </w:p>
    <w:p w:rsidR="00000000" w:rsidRPr="00E023D7" w:rsidP="00E023D7">
      <w:pPr>
        <w:pStyle w:val="ListBullet"/>
      </w:pPr>
      <w:r w:rsidRPr="00E023D7">
        <w:t>processes for preparing and administering documentation</w:t>
      </w:r>
    </w:p>
    <w:p w:rsidR="00000000" w:rsidRPr="00E023D7" w:rsidP="00E023D7">
      <w:pPr>
        <w:pStyle w:val="ListBullet"/>
      </w:pPr>
      <w:r w:rsidRPr="00E023D7">
        <w:t>relevant commonwealth, state and territory building legislation, local government regulations and Australian standards</w:t>
      </w:r>
    </w:p>
    <w:p w:rsidR="00000000" w:rsidRPr="00E023D7" w:rsidP="00E023D7">
      <w:pPr>
        <w:pStyle w:val="ListBullet"/>
      </w:pPr>
      <w:r w:rsidRPr="00E023D7">
        <w:t>research methodologies and analytical processes</w:t>
      </w:r>
    </w:p>
    <w:p w:rsidR="00000000" w:rsidRPr="00E023D7" w:rsidP="00E023D7">
      <w:pPr>
        <w:pStyle w:val="BodyText"/>
      </w:pPr>
      <w:r w:rsidRPr="00E023D7">
        <w:t>role, responsibilities and powers of building certifiers.</w:t>
      </w:r>
    </w:p>
    <w:p w:rsidR="00000000" w:rsidRPr="00E023D7" w:rsidP="00E023D7">
      <w:pPr>
        <w:pStyle w:val="BodyText"/>
      </w:pPr>
      <w:r w:rsidRPr="00E023D7">
        <w:rPr>
          <w:rStyle w:val="SpecialBold"/>
        </w:rPr>
        <w:t xml:space="preserve">Required skills and attributes </w:t>
      </w:r>
      <w:r w:rsidRPr="00E023D7">
        <w:rPr>
          <w:rStyle w:val="SpecialBold"/>
        </w:rPr>
        <w:t>include</w:t>
      </w:r>
      <w:r w:rsidRPr="00E023D7">
        <w:t>:</w:t>
      </w:r>
    </w:p>
    <w:p w:rsidR="00000000" w:rsidRPr="00E023D7" w:rsidP="00E023D7">
      <w:pPr>
        <w:pStyle w:val="ListBullet"/>
      </w:pPr>
      <w:r w:rsidRPr="00E023D7">
        <w:t>analytical skills to:</w:t>
      </w:r>
    </w:p>
    <w:p w:rsidR="00000000" w:rsidRPr="00E023D7" w:rsidP="00E023D7">
      <w:pPr>
        <w:pStyle w:val="ListBullet2"/>
      </w:pPr>
      <w:r w:rsidRPr="00E023D7">
        <w:t>analyse, evaluate and apply legislative requirements pertaining to disability access</w:t>
      </w:r>
    </w:p>
    <w:p w:rsidR="00000000" w:rsidRPr="00E023D7" w:rsidP="00E023D7">
      <w:pPr>
        <w:pStyle w:val="ListBullet2"/>
      </w:pPr>
      <w:r w:rsidRPr="00E023D7">
        <w:t>analyse and evaluate the impacts of the full range of disabilities and the limitations that each disability places on the individual's abil</w:t>
      </w:r>
      <w:r w:rsidRPr="00E023D7">
        <w:t>ity to access the environment</w:t>
      </w:r>
    </w:p>
    <w:p w:rsidR="00000000" w:rsidRPr="00E023D7" w:rsidP="00E023D7">
      <w:pPr>
        <w:pStyle w:val="ListBullet2"/>
      </w:pPr>
      <w:r w:rsidRPr="00E023D7">
        <w:t>analyse and evaluate how environmental barriers impact on people with disabilities</w:t>
      </w:r>
    </w:p>
    <w:p w:rsidR="00000000" w:rsidRPr="00E023D7" w:rsidP="00E023D7">
      <w:pPr>
        <w:pStyle w:val="ListBullet2"/>
      </w:pPr>
      <w:r w:rsidRPr="00E023D7">
        <w:t>analyse and evaluate examples of civil action relevant to the provision of access</w:t>
      </w:r>
    </w:p>
    <w:p w:rsidR="00000000" w:rsidRPr="00E023D7" w:rsidP="00E023D7">
      <w:pPr>
        <w:pStyle w:val="ListBullet2"/>
      </w:pPr>
      <w:r w:rsidRPr="00E023D7">
        <w:t>evaluate the responsibilities and powers of building certifie</w:t>
      </w:r>
      <w:r w:rsidRPr="00E023D7">
        <w:t>rs as specified by legislation</w:t>
      </w:r>
    </w:p>
    <w:p w:rsidR="00000000" w:rsidRPr="00E023D7" w:rsidP="00E023D7">
      <w:pPr>
        <w:pStyle w:val="ListBullet"/>
      </w:pPr>
      <w:r w:rsidRPr="00E023D7">
        <w:t>application skills to:</w:t>
      </w:r>
    </w:p>
    <w:p w:rsidR="00000000" w:rsidRPr="00E023D7" w:rsidP="00E023D7">
      <w:pPr>
        <w:pStyle w:val="ListBullet2"/>
      </w:pPr>
      <w:r w:rsidRPr="00E023D7">
        <w:t>apply relevant codes of practice and other legislative requirements to work processes</w:t>
      </w:r>
    </w:p>
    <w:p w:rsidR="00000000" w:rsidRPr="00E023D7" w:rsidP="00E023D7">
      <w:pPr>
        <w:pStyle w:val="ListBullet2"/>
      </w:pPr>
      <w:r w:rsidRPr="00E023D7">
        <w:t>apply disability awareness to work processes</w:t>
      </w:r>
    </w:p>
    <w:p w:rsidR="00000000" w:rsidRPr="00E023D7" w:rsidP="00E023D7">
      <w:pPr>
        <w:pStyle w:val="ListBullet2"/>
      </w:pPr>
      <w:r w:rsidRPr="00E023D7">
        <w:t>apply current Australian building codes, standards, regulations and pr</w:t>
      </w:r>
      <w:r w:rsidRPr="00E023D7">
        <w:t xml:space="preserve">actices </w:t>
      </w:r>
    </w:p>
    <w:p w:rsidR="00000000" w:rsidRPr="00E023D7" w:rsidP="00E023D7">
      <w:pPr>
        <w:pStyle w:val="ListBullet"/>
      </w:pPr>
      <w:r w:rsidRPr="00E023D7">
        <w:t>communication skills to:</w:t>
      </w:r>
    </w:p>
    <w:p w:rsidR="00000000" w:rsidRPr="00E023D7" w:rsidP="00E023D7">
      <w:pPr>
        <w:pStyle w:val="ListBullet2"/>
      </w:pPr>
      <w:r w:rsidRPr="00E023D7">
        <w:t>explain clearly information on issues relating to the provision of access</w:t>
      </w:r>
    </w:p>
    <w:p w:rsidR="00000000" w:rsidRPr="00E023D7" w:rsidP="00E023D7">
      <w:pPr>
        <w:pStyle w:val="ListBullet2"/>
      </w:pPr>
      <w:r w:rsidRPr="00E023D7">
        <w:t>explain clearly information on legislation relating to the provision of access, and the relationship between the various pieces of legislation</w:t>
      </w:r>
    </w:p>
    <w:p w:rsidR="00000000" w:rsidRPr="00E023D7" w:rsidP="00E023D7">
      <w:pPr>
        <w:pStyle w:val="ListBullet2"/>
      </w:pPr>
      <w:r w:rsidRPr="00E023D7">
        <w:t>consult effectively with clients and colleagues</w:t>
      </w:r>
    </w:p>
    <w:p w:rsidR="00000000" w:rsidRPr="00E023D7" w:rsidP="00E023D7">
      <w:pPr>
        <w:pStyle w:val="ListBullet2"/>
      </w:pPr>
      <w:r w:rsidRPr="00E023D7">
        <w:t>impart knowledge and ideas through oral, written and visual means</w:t>
      </w:r>
    </w:p>
    <w:p w:rsidR="00000000" w:rsidRPr="00E023D7" w:rsidP="00E023D7">
      <w:pPr>
        <w:pStyle w:val="ListBullet2"/>
      </w:pPr>
      <w:r w:rsidRPr="00E023D7">
        <w:t>develop and maintain professional relationships and networks</w:t>
      </w:r>
    </w:p>
    <w:p w:rsidR="00000000" w:rsidRPr="00E023D7" w:rsidP="00E023D7">
      <w:pPr>
        <w:pStyle w:val="ListBullet2"/>
      </w:pPr>
      <w:r w:rsidRPr="00E023D7">
        <w:t>use workplace equipment and communication methods</w:t>
      </w:r>
    </w:p>
    <w:p w:rsidR="00000000" w:rsidRPr="00E023D7" w:rsidP="00E023D7">
      <w:pPr>
        <w:pStyle w:val="ListBullet"/>
      </w:pPr>
      <w:r w:rsidRPr="00E023D7">
        <w:t>literacy skills to:</w:t>
      </w:r>
    </w:p>
    <w:p w:rsidR="00000000" w:rsidRPr="00E023D7" w:rsidP="00E023D7">
      <w:pPr>
        <w:pStyle w:val="ListBullet2"/>
      </w:pPr>
      <w:r w:rsidRPr="00E023D7">
        <w:t>assess and</w:t>
      </w:r>
      <w:r w:rsidRPr="00E023D7">
        <w:t xml:space="preserve"> use workplace information</w:t>
      </w:r>
    </w:p>
    <w:p w:rsidR="00000000" w:rsidRPr="00E023D7" w:rsidP="00E023D7">
      <w:pPr>
        <w:pStyle w:val="ListBullet2"/>
      </w:pPr>
      <w:r w:rsidRPr="00E023D7">
        <w:t>locate and interpret legislation and legal cases on the provision of access</w:t>
      </w:r>
    </w:p>
    <w:p w:rsidR="00000000" w:rsidRPr="00E023D7" w:rsidP="00E023D7">
      <w:pPr>
        <w:pStyle w:val="ListBullet"/>
      </w:pPr>
      <w:r w:rsidRPr="00E023D7">
        <w:t>organisational skills to:</w:t>
      </w:r>
    </w:p>
    <w:p w:rsidR="00000000" w:rsidRPr="00E023D7" w:rsidP="00E023D7">
      <w:pPr>
        <w:pStyle w:val="ListBullet2"/>
      </w:pPr>
      <w:r w:rsidRPr="00E023D7">
        <w:t>prepare and manage documentation</w:t>
      </w:r>
    </w:p>
    <w:p w:rsidR="00000000" w:rsidRPr="00E023D7" w:rsidP="00E023D7">
      <w:pPr>
        <w:pStyle w:val="ListBullet2"/>
      </w:pPr>
      <w:r w:rsidRPr="00E023D7">
        <w:t>develop and implement organisational policies and procedures</w:t>
      </w:r>
    </w:p>
    <w:p w:rsidR="00000000" w:rsidRPr="00E023D7" w:rsidP="00E023D7">
      <w:pPr>
        <w:pStyle w:val="ListBullet"/>
      </w:pPr>
      <w:r w:rsidRPr="00E023D7">
        <w:t>interpersonal skills to:</w:t>
      </w:r>
    </w:p>
    <w:p w:rsidR="00000000" w:rsidRPr="00E023D7" w:rsidP="00E023D7">
      <w:pPr>
        <w:pStyle w:val="ListBullet2"/>
      </w:pPr>
      <w:r w:rsidRPr="00E023D7">
        <w:t xml:space="preserve">adapt </w:t>
      </w:r>
      <w:r w:rsidRPr="00E023D7">
        <w:t>to new workplace situations</w:t>
      </w:r>
    </w:p>
    <w:p w:rsidR="00000000" w:rsidRPr="00E023D7" w:rsidP="00E023D7">
      <w:pPr>
        <w:pStyle w:val="ListBullet2"/>
      </w:pPr>
      <w:r w:rsidRPr="00E023D7">
        <w:t>analyse own work practices and process outcomes critically</w:t>
      </w:r>
    </w:p>
    <w:p w:rsidR="00000000" w:rsidRPr="00E023D7" w:rsidP="00E023D7">
      <w:pPr>
        <w:pStyle w:val="ListBullet2"/>
      </w:pPr>
      <w:r w:rsidRPr="00E023D7">
        <w:t>consult and provide advice in a sensitive and appropriate manner</w:t>
      </w:r>
    </w:p>
    <w:p w:rsidR="00000000" w:rsidRPr="00E023D7" w:rsidP="00E023D7">
      <w:pPr>
        <w:pStyle w:val="ListBullet2"/>
      </w:pPr>
      <w:r w:rsidRPr="00E023D7">
        <w:t>facilitate change for greater awareness of disability access</w:t>
      </w:r>
    </w:p>
    <w:p w:rsidR="00000000" w:rsidRPr="00E023D7" w:rsidP="00E023D7">
      <w:pPr>
        <w:pStyle w:val="ListBullet2"/>
      </w:pPr>
      <w:r w:rsidRPr="00E023D7">
        <w:t>relate to people from a range of social, cu</w:t>
      </w:r>
      <w:r w:rsidRPr="00E023D7">
        <w:t>ltural and ethnic backgrounds and with a range of physical and mental abilities</w:t>
      </w:r>
    </w:p>
    <w:p w:rsidR="00000000" w:rsidRPr="00E023D7" w:rsidP="00E023D7">
      <w:pPr>
        <w:pStyle w:val="ListBullet"/>
      </w:pPr>
      <w:r w:rsidRPr="00E023D7">
        <w:t>research and evaluation skills to:</w:t>
      </w:r>
    </w:p>
    <w:p w:rsidR="00000000" w:rsidRPr="00E023D7" w:rsidP="00E023D7">
      <w:pPr>
        <w:pStyle w:val="ListBullet2"/>
      </w:pPr>
      <w:r w:rsidRPr="00E023D7">
        <w:t>source, analyse and evaluate building legislative requirements</w:t>
      </w:r>
    </w:p>
    <w:p w:rsidR="009C670B" w:rsidP="00E023D7">
      <w:pPr>
        <w:pStyle w:val="ListBullet2"/>
      </w:pPr>
      <w:r w:rsidRPr="00E023D7">
        <w:t>source, analyse and evaluate legislative requirements for the provision of access.</w:t>
      </w:r>
    </w:p>
    <w:p w:rsidR="009C670B" w:rsidP="00E023D7">
      <w:pPr>
        <w:pStyle w:val="ListBullet2"/>
      </w:pPr>
    </w:p>
    <w:p w:rsidR="00000000" w:rsidRPr="00E023D7" w:rsidP="00E023D7">
      <w:pPr>
        <w:pStyle w:val="Heading1"/>
      </w:pPr>
      <w:bookmarkStart w:id="10" w:name="O_242680"/>
      <w:bookmarkEnd w:id="10"/>
      <w:r w:rsidRPr="00E023D7">
        <w:t>Evidence Guide</w:t>
      </w:r>
    </w:p>
    <w:p w:rsidR="00000000" w:rsidRPr="00E023D7" w:rsidP="00E023D7">
      <w:pPr>
        <w:pStyle w:val="BodyText"/>
      </w:pPr>
      <w:r w:rsidRPr="00E023D7">
        <w:rPr>
          <w:rStyle w:val="SpecialBold"/>
        </w:rPr>
        <w:t>EVIDENCE GUIDE</w:t>
      </w:r>
    </w:p>
    <w:p w:rsidR="00000000" w:rsidRPr="00E023D7" w:rsidP="00E023D7">
      <w:pPr>
        <w:pStyle w:val="BodyText"/>
      </w:pPr>
      <w:r w:rsidRPr="00E023D7">
        <w:t>The evidence guide provides advice on assessment and must be read in conjunction with the performance criteria, required ski</w:t>
      </w:r>
      <w:r w:rsidRPr="00E023D7">
        <w:t>lls and knowledge, the range statement and the Assessment Guidelines for this Training Package.</w:t>
      </w:r>
    </w:p>
    <w:tbl>
      <w:tblPr>
        <w:tblW w:w="0" w:type="auto"/>
        <w:tblLayout w:type="fixed"/>
        <w:tblCellMar>
          <w:left w:w="62" w:type="dxa"/>
          <w:right w:w="62" w:type="dxa"/>
        </w:tblCellMar>
        <w:tblLook w:val="0000"/>
      </w:tblPr>
      <w:tblGrid>
        <w:gridCol w:w="3132"/>
        <w:gridCol w:w="5478"/>
      </w:tblGrid>
      <w:tr w:rsidTr="009C670B">
        <w:tblPrEx>
          <w:tblW w:w="0" w:type="auto"/>
          <w:tblLayout w:type="fixed"/>
          <w:tblCellMar>
            <w:left w:w="62" w:type="dxa"/>
            <w:right w:w="62" w:type="dxa"/>
          </w:tblCellMar>
          <w:tblLook w:val="0000"/>
        </w:tblPrEx>
        <w:tc>
          <w:tcPr>
            <w:tcW w:w="3132" w:type="dxa"/>
            <w:tcBorders>
              <w:top w:val="nil"/>
              <w:left w:val="nil"/>
              <w:bottom w:val="nil"/>
              <w:right w:val="nil"/>
            </w:tcBorders>
            <w:tcMar>
              <w:top w:w="0" w:type="dxa"/>
              <w:left w:w="62" w:type="dxa"/>
              <w:bottom w:w="0" w:type="dxa"/>
              <w:right w:w="62" w:type="dxa"/>
            </w:tcMar>
          </w:tcPr>
          <w:p w:rsidR="00000000" w:rsidP="00E023D7">
            <w:pPr>
              <w:pStyle w:val="BodyText"/>
              <w:rPr>
                <w:lang w:val="en-NZ"/>
              </w:rPr>
            </w:pPr>
            <w:r w:rsidRPr="00E023D7">
              <w:rPr>
                <w:rStyle w:val="SpecialBold"/>
              </w:rPr>
              <w:t>Overview of assessment</w:t>
            </w:r>
          </w:p>
        </w:tc>
        <w:tc>
          <w:tcPr>
            <w:tcW w:w="5478" w:type="dxa"/>
            <w:tcBorders>
              <w:top w:val="nil"/>
              <w:left w:val="nil"/>
              <w:bottom w:val="nil"/>
              <w:right w:val="nil"/>
            </w:tcBorders>
            <w:tcMar>
              <w:top w:w="0" w:type="dxa"/>
              <w:left w:w="62" w:type="dxa"/>
              <w:bottom w:w="0" w:type="dxa"/>
              <w:right w:w="62" w:type="dxa"/>
            </w:tcMar>
          </w:tcPr>
          <w:p w:rsidR="00000000" w:rsidP="00E023D7">
            <w:pPr>
              <w:pStyle w:val="ListBullet"/>
              <w:rPr>
                <w:lang w:val="en-NZ"/>
              </w:rPr>
            </w:pPr>
            <w:r w:rsidRPr="00E023D7">
              <w:t>This unit of competency could be assessed on its own or as part of an integrated assessment activity involving other competencies relevan</w:t>
            </w:r>
            <w:r w:rsidRPr="00E023D7">
              <w:t>t to the job function.</w:t>
            </w:r>
          </w:p>
        </w:tc>
      </w:tr>
      <w:tr w:rsidTr="009C670B">
        <w:tblPrEx>
          <w:tblW w:w="0" w:type="auto"/>
          <w:tblLayout w:type="fixed"/>
          <w:tblCellMar>
            <w:left w:w="62" w:type="dxa"/>
            <w:right w:w="62" w:type="dxa"/>
          </w:tblCellMar>
          <w:tblLook w:val="0000"/>
        </w:tblPrEx>
        <w:tc>
          <w:tcPr>
            <w:tcW w:w="3132" w:type="dxa"/>
            <w:tcBorders>
              <w:top w:val="nil"/>
              <w:left w:val="nil"/>
              <w:bottom w:val="nil"/>
              <w:right w:val="nil"/>
            </w:tcBorders>
            <w:tcMar>
              <w:top w:w="0" w:type="dxa"/>
              <w:left w:w="62" w:type="dxa"/>
              <w:bottom w:w="0" w:type="dxa"/>
              <w:right w:w="62" w:type="dxa"/>
            </w:tcMar>
          </w:tcPr>
          <w:p w:rsidR="00000000" w:rsidP="00E023D7">
            <w:pPr>
              <w:pStyle w:val="BodyText"/>
              <w:rPr>
                <w:lang w:val="en-NZ"/>
              </w:rPr>
            </w:pPr>
            <w:r w:rsidRPr="00E023D7">
              <w:rPr>
                <w:rStyle w:val="SpecialBold"/>
              </w:rPr>
              <w:t>Critical aspects for assessment and evidence required to demonstrate competency in this unit</w:t>
            </w:r>
          </w:p>
        </w:tc>
        <w:tc>
          <w:tcPr>
            <w:tcW w:w="5478" w:type="dxa"/>
            <w:tcBorders>
              <w:top w:val="nil"/>
              <w:left w:val="nil"/>
              <w:bottom w:val="nil"/>
              <w:right w:val="nil"/>
            </w:tcBorders>
            <w:tcMar>
              <w:top w:w="0" w:type="dxa"/>
              <w:left w:w="62" w:type="dxa"/>
              <w:bottom w:w="0" w:type="dxa"/>
              <w:right w:w="62" w:type="dxa"/>
            </w:tcMar>
          </w:tcPr>
          <w:p w:rsidR="00000000" w:rsidRPr="00E023D7" w:rsidP="00E023D7">
            <w:pPr>
              <w:pStyle w:val="ListBullet"/>
            </w:pPr>
            <w:r w:rsidRPr="00E023D7">
              <w:t>A person who demonstrates competency in this unit must be able to provide evidence of:</w:t>
            </w:r>
          </w:p>
          <w:p w:rsidR="00000000" w:rsidRPr="00E023D7" w:rsidP="00E023D7">
            <w:pPr>
              <w:pStyle w:val="ListBullet2"/>
            </w:pPr>
            <w:r w:rsidRPr="00E023D7">
              <w:t>recognising the needs and desires of people with disabilities to engage fully in all aspects of society, and their right to do so</w:t>
            </w:r>
          </w:p>
          <w:p w:rsidR="00000000" w:rsidRPr="00E023D7" w:rsidP="00E023D7">
            <w:pPr>
              <w:pStyle w:val="ListBullet2"/>
            </w:pPr>
            <w:r w:rsidRPr="00E023D7">
              <w:t>interpreting accurately the impacts of the full range of disabilities and the limitations that each disability places on the i</w:t>
            </w:r>
            <w:r w:rsidRPr="00E023D7">
              <w:t>ndividual's ability to access the environment</w:t>
            </w:r>
          </w:p>
          <w:p w:rsidR="00000000" w:rsidRPr="00E023D7" w:rsidP="00E023D7">
            <w:pPr>
              <w:pStyle w:val="ListBullet2"/>
            </w:pPr>
            <w:r w:rsidRPr="00E023D7">
              <w:t>interpreting accurately how the full range of environmental barriers impact on any of the impairments that people with disabilities might have</w:t>
            </w:r>
          </w:p>
          <w:p w:rsidR="00000000" w:rsidRPr="00E023D7" w:rsidP="00E023D7">
            <w:pPr>
              <w:pStyle w:val="ListBullet2"/>
            </w:pPr>
            <w:r w:rsidRPr="00E023D7">
              <w:t>researching, analysing and evaluating building and anti-discriminat</w:t>
            </w:r>
            <w:r w:rsidRPr="00E023D7">
              <w:t>ion legislation for the provision of access to large-scale buildings</w:t>
            </w:r>
          </w:p>
          <w:p w:rsidR="00000000" w:rsidRPr="00E023D7" w:rsidP="00E023D7">
            <w:pPr>
              <w:pStyle w:val="ListBullet2"/>
            </w:pPr>
            <w:r w:rsidRPr="00E023D7">
              <w:t>analysing the industry codes of practice and applying them to personal work situation</w:t>
            </w:r>
          </w:p>
          <w:p w:rsidR="00000000" w:rsidRPr="00E023D7" w:rsidP="00E023D7">
            <w:pPr>
              <w:pStyle w:val="ListBullet2"/>
            </w:pPr>
            <w:r w:rsidRPr="00E023D7">
              <w:t xml:space="preserve">gathering appropriate evidence on non-compliance issues and preparing the relevant documentation for </w:t>
            </w:r>
            <w:r w:rsidRPr="00E023D7">
              <w:t>review by a building certifier</w:t>
            </w:r>
          </w:p>
          <w:p w:rsidR="00000000" w:rsidRPr="00E023D7" w:rsidP="00E023D7">
            <w:pPr>
              <w:pStyle w:val="ListBullet2"/>
            </w:pPr>
            <w:r w:rsidRPr="00E023D7">
              <w:t>researching and analysing the responsibilities of building certifiers to ensure the provision of access to large-scale buildings</w:t>
            </w:r>
          </w:p>
          <w:p w:rsidR="00000000" w:rsidP="00E023D7">
            <w:pPr>
              <w:pStyle w:val="ListBullet2"/>
              <w:rPr>
                <w:lang w:val="en-NZ"/>
              </w:rPr>
            </w:pPr>
            <w:r w:rsidRPr="00E023D7">
              <w:t>applying organisational management policies and procedures, including quality assurance requirem</w:t>
            </w:r>
            <w:r w:rsidRPr="00E023D7">
              <w:t xml:space="preserve">ents. </w:t>
            </w:r>
          </w:p>
        </w:tc>
      </w:tr>
      <w:tr w:rsidTr="009C670B">
        <w:tblPrEx>
          <w:tblW w:w="0" w:type="auto"/>
          <w:tblLayout w:type="fixed"/>
          <w:tblCellMar>
            <w:left w:w="62" w:type="dxa"/>
            <w:right w:w="62" w:type="dxa"/>
          </w:tblCellMar>
          <w:tblLook w:val="0000"/>
        </w:tblPrEx>
        <w:tc>
          <w:tcPr>
            <w:tcW w:w="3132" w:type="dxa"/>
            <w:tcBorders>
              <w:top w:val="nil"/>
              <w:left w:val="nil"/>
              <w:bottom w:val="nil"/>
              <w:right w:val="nil"/>
            </w:tcBorders>
            <w:tcMar>
              <w:top w:w="0" w:type="dxa"/>
              <w:left w:w="62" w:type="dxa"/>
              <w:bottom w:w="0" w:type="dxa"/>
              <w:right w:w="62" w:type="dxa"/>
            </w:tcMar>
          </w:tcPr>
          <w:p w:rsidR="00000000" w:rsidP="00E023D7">
            <w:pPr>
              <w:pStyle w:val="BodyText"/>
              <w:rPr>
                <w:lang w:val="en-NZ"/>
              </w:rPr>
            </w:pPr>
            <w:r w:rsidRPr="00E023D7">
              <w:rPr>
                <w:rStyle w:val="SpecialBold"/>
              </w:rPr>
              <w:t>Context of and specific resources for assessment</w:t>
            </w:r>
          </w:p>
        </w:tc>
        <w:tc>
          <w:tcPr>
            <w:tcW w:w="5478" w:type="dxa"/>
            <w:tcBorders>
              <w:top w:val="nil"/>
              <w:left w:val="nil"/>
              <w:bottom w:val="nil"/>
              <w:right w:val="nil"/>
            </w:tcBorders>
            <w:tcMar>
              <w:top w:w="0" w:type="dxa"/>
              <w:left w:w="62" w:type="dxa"/>
              <w:bottom w:w="0" w:type="dxa"/>
              <w:right w:w="62" w:type="dxa"/>
            </w:tcMar>
          </w:tcPr>
          <w:p w:rsidR="00000000" w:rsidRPr="00E023D7" w:rsidP="00E023D7">
            <w:pPr>
              <w:pStyle w:val="ListBullet"/>
            </w:pPr>
            <w:r w:rsidRPr="00E023D7">
              <w:t>Resource implications for assessment include:</w:t>
            </w:r>
          </w:p>
          <w:p w:rsidR="00000000" w:rsidRPr="00E023D7" w:rsidP="00E023D7">
            <w:pPr>
              <w:pStyle w:val="ListBullet2"/>
            </w:pPr>
            <w:r w:rsidRPr="00E023D7">
              <w:t>a registered provider of assessment services</w:t>
            </w:r>
          </w:p>
          <w:p w:rsidR="00000000" w:rsidRPr="00E023D7" w:rsidP="00E023D7">
            <w:pPr>
              <w:pStyle w:val="ListBullet2"/>
            </w:pPr>
            <w:r w:rsidRPr="00E023D7">
              <w:t>competency standards</w:t>
            </w:r>
          </w:p>
          <w:p w:rsidR="00000000" w:rsidRPr="00E023D7" w:rsidP="00E023D7">
            <w:pPr>
              <w:pStyle w:val="ListBullet2"/>
            </w:pPr>
            <w:r w:rsidRPr="00E023D7">
              <w:t>assessment materials and tools</w:t>
            </w:r>
          </w:p>
          <w:p w:rsidR="00000000" w:rsidRPr="00E023D7" w:rsidP="00E023D7">
            <w:pPr>
              <w:pStyle w:val="ListBullet2"/>
            </w:pPr>
            <w:r w:rsidRPr="00E023D7">
              <w:t>suitable assessment venue/equipment</w:t>
            </w:r>
          </w:p>
          <w:p w:rsidR="00000000" w:rsidRPr="00E023D7" w:rsidP="00E023D7">
            <w:pPr>
              <w:pStyle w:val="ListBullet2"/>
            </w:pPr>
            <w:r w:rsidRPr="00E023D7">
              <w:t>workplace documentation</w:t>
            </w:r>
          </w:p>
          <w:p w:rsidR="00000000" w:rsidRPr="00E023D7" w:rsidP="00E023D7">
            <w:pPr>
              <w:pStyle w:val="ListBullet2"/>
            </w:pPr>
            <w:r w:rsidRPr="00E023D7">
              <w:t>candidate special requirements</w:t>
            </w:r>
          </w:p>
          <w:p w:rsidR="00000000" w:rsidRPr="00E023D7" w:rsidP="00E023D7">
            <w:pPr>
              <w:pStyle w:val="ListBullet2"/>
            </w:pPr>
            <w:r w:rsidRPr="00E023D7">
              <w:t>cost and time considerations.</w:t>
            </w:r>
          </w:p>
          <w:p w:rsidR="00000000" w:rsidRPr="00E023D7" w:rsidP="00E023D7">
            <w:pPr>
              <w:pStyle w:val="ListBullet"/>
            </w:pPr>
            <w:r w:rsidRPr="00E023D7">
              <w:t>Validity and sufficiency of evidence requires that:</w:t>
            </w:r>
          </w:p>
          <w:p w:rsidR="00000000" w:rsidRPr="00E023D7" w:rsidP="00E023D7">
            <w:pPr>
              <w:pStyle w:val="ListBullet2"/>
            </w:pPr>
            <w:r w:rsidRPr="00E023D7">
              <w:t>competency will need to be demonstrated over a period of time reflecting the scope of the role</w:t>
            </w:r>
          </w:p>
          <w:p w:rsidR="00000000" w:rsidRPr="00E023D7" w:rsidP="00E023D7">
            <w:pPr>
              <w:pStyle w:val="ListBullet2"/>
            </w:pPr>
            <w:r w:rsidRPr="00E023D7">
              <w:t xml:space="preserve">where the assessment is part of a structured learning experience the evidence collected must relate to a number of performances assessed at different points in time and separated by further learning and practice with a decision of competence only taken at </w:t>
            </w:r>
            <w:r w:rsidRPr="00E023D7">
              <w:t>the point when the assessor has complete confidence in the person's competence</w:t>
            </w:r>
          </w:p>
          <w:p w:rsidR="00000000" w:rsidRPr="00E023D7" w:rsidP="00E023D7">
            <w:pPr>
              <w:pStyle w:val="ListBullet2"/>
            </w:pPr>
            <w:r w:rsidRPr="00E023D7">
              <w:t>all assessment that is part of a structured learning experience must include a combination of direct, indirect and supplementary evidence</w:t>
            </w:r>
          </w:p>
          <w:p w:rsidR="00000000" w:rsidRPr="00E023D7" w:rsidP="00E023D7">
            <w:pPr>
              <w:pStyle w:val="ListBullet2"/>
            </w:pPr>
            <w:r w:rsidRPr="00E023D7">
              <w:t xml:space="preserve">where assessment is for the purpose of </w:t>
            </w:r>
            <w:r w:rsidRPr="00E023D7">
              <w:t>recognition (RCC/RPL), the evidence provided will need to be current and show that it represents competency demonstrated over a period of time</w:t>
            </w:r>
          </w:p>
          <w:p w:rsidR="00000000" w:rsidRPr="00E023D7" w:rsidP="00E023D7">
            <w:pPr>
              <w:pStyle w:val="ListBullet2"/>
            </w:pPr>
            <w:r w:rsidRPr="00E023D7">
              <w:t>assessment can be through simulated project-based activity and must include evidence relating to each of the elem</w:t>
            </w:r>
            <w:r w:rsidRPr="00E023D7">
              <w:t>ents in this unit.</w:t>
            </w:r>
          </w:p>
        </w:tc>
      </w:tr>
    </w:tbl>
    <w:p w:rsidR="009C670B" w:rsidP="00E023D7">
      <w:pPr>
        <w:pStyle w:val="BodyText"/>
      </w:pPr>
    </w:p>
    <w:p w:rsidR="009C670B" w:rsidP="00E023D7">
      <w:pPr>
        <w:pStyle w:val="BodyText"/>
      </w:pPr>
    </w:p>
    <w:p w:rsidR="00000000" w:rsidRPr="00E023D7" w:rsidP="00E023D7">
      <w:pPr>
        <w:pStyle w:val="Heading1"/>
      </w:pPr>
      <w:bookmarkStart w:id="11" w:name="O_250663"/>
      <w:bookmarkEnd w:id="11"/>
      <w:r w:rsidRPr="00E023D7">
        <w:t>Range Statement</w:t>
      </w:r>
    </w:p>
    <w:p w:rsidR="00000000" w:rsidRPr="00E023D7" w:rsidP="00E023D7">
      <w:pPr>
        <w:pStyle w:val="BodyText"/>
      </w:pPr>
      <w:r w:rsidRPr="00E023D7">
        <w:rPr>
          <w:rStyle w:val="SpecialBold"/>
        </w:rPr>
        <w:t>RANGE STATEMENT</w:t>
      </w:r>
    </w:p>
    <w:p w:rsidR="00000000" w:rsidRPr="00E023D7" w:rsidP="00E023D7">
      <w:pPr>
        <w:pStyle w:val="BodyText"/>
      </w:pPr>
      <w:r w:rsidRPr="00E023D7">
        <w:t>The range statement relates to the unit of competency as a whole. It allows for different work environments and situations that may affect performance. Bold italicised wording in the</w:t>
      </w:r>
      <w:r w:rsidRPr="00E023D7">
        <w:t xml:space="preserve"> performance criteria is detailed below. Add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3180"/>
        <w:gridCol w:w="5342"/>
      </w:tblGrid>
      <w:tr w:rsidTr="009C670B">
        <w:tblPrEx>
          <w:tblW w:w="0" w:type="auto"/>
          <w:tblLayout w:type="fixed"/>
          <w:tblCellMar>
            <w:left w:w="62" w:type="dxa"/>
            <w:right w:w="62" w:type="dxa"/>
          </w:tblCellMar>
          <w:tblLook w:val="0000"/>
        </w:tblPrEx>
        <w:tc>
          <w:tcPr>
            <w:tcW w:w="3180" w:type="dxa"/>
            <w:tcBorders>
              <w:top w:val="nil"/>
              <w:left w:val="nil"/>
              <w:bottom w:val="nil"/>
              <w:right w:val="nil"/>
            </w:tcBorders>
            <w:tcMar>
              <w:top w:w="0" w:type="dxa"/>
              <w:left w:w="62" w:type="dxa"/>
              <w:bottom w:w="0" w:type="dxa"/>
              <w:right w:w="62" w:type="dxa"/>
            </w:tcMar>
          </w:tcPr>
          <w:p w:rsidR="00000000" w:rsidP="00E023D7">
            <w:pPr>
              <w:pStyle w:val="BodyText"/>
              <w:rPr>
                <w:lang w:val="en-NZ"/>
              </w:rPr>
            </w:pPr>
            <w:r w:rsidRPr="00E023D7">
              <w:rPr>
                <w:rStyle w:val="BoldandItalics"/>
              </w:rPr>
              <w:t>Code of practice</w:t>
            </w:r>
            <w:r w:rsidRPr="00E023D7">
              <w:t xml:space="preserve"> may relate to:</w:t>
            </w:r>
          </w:p>
        </w:tc>
        <w:tc>
          <w:tcPr>
            <w:tcW w:w="5342" w:type="dxa"/>
            <w:tcBorders>
              <w:top w:val="nil"/>
              <w:left w:val="nil"/>
              <w:bottom w:val="nil"/>
              <w:right w:val="nil"/>
            </w:tcBorders>
            <w:tcMar>
              <w:top w:w="0" w:type="dxa"/>
              <w:left w:w="62" w:type="dxa"/>
              <w:bottom w:w="0" w:type="dxa"/>
              <w:right w:w="62" w:type="dxa"/>
            </w:tcMar>
          </w:tcPr>
          <w:p w:rsidR="00000000" w:rsidRPr="00E023D7" w:rsidP="00E023D7">
            <w:pPr>
              <w:pStyle w:val="ListBullet"/>
            </w:pPr>
            <w:r w:rsidRPr="00E023D7">
              <w:t>maintaining confidentiality</w:t>
            </w:r>
          </w:p>
          <w:p w:rsidR="00000000" w:rsidRPr="00E023D7" w:rsidP="00E023D7">
            <w:pPr>
              <w:pStyle w:val="ListBullet"/>
            </w:pPr>
            <w:r w:rsidRPr="00E023D7">
              <w:t>use of organisational property</w:t>
            </w:r>
          </w:p>
          <w:p w:rsidR="00000000" w:rsidRPr="00E023D7" w:rsidP="00E023D7">
            <w:pPr>
              <w:pStyle w:val="ListBullet"/>
            </w:pPr>
            <w:r w:rsidRPr="00E023D7">
              <w:t>duty of care</w:t>
            </w:r>
          </w:p>
          <w:p w:rsidR="00000000" w:rsidRPr="00E023D7" w:rsidP="00E023D7">
            <w:pPr>
              <w:pStyle w:val="ListBullet"/>
            </w:pPr>
            <w:r w:rsidRPr="00E023D7">
              <w:t>individual behaviour</w:t>
            </w:r>
          </w:p>
          <w:p w:rsidR="00000000" w:rsidRPr="00E023D7" w:rsidP="00E023D7">
            <w:pPr>
              <w:pStyle w:val="ListBullet"/>
            </w:pPr>
            <w:r w:rsidRPr="00E023D7">
              <w:t>non-discriminatory practices</w:t>
            </w:r>
          </w:p>
          <w:p w:rsidR="00000000" w:rsidRPr="00E023D7" w:rsidP="00E023D7">
            <w:pPr>
              <w:pStyle w:val="ListBullet"/>
            </w:pPr>
            <w:r w:rsidRPr="00E023D7">
              <w:t>ethical conduct</w:t>
            </w:r>
          </w:p>
          <w:p w:rsidR="00000000" w:rsidRPr="00E023D7" w:rsidP="00E023D7">
            <w:pPr>
              <w:pStyle w:val="ListBullet"/>
            </w:pPr>
            <w:r w:rsidRPr="00E023D7">
              <w:t>clear communication of services offered and fee for services</w:t>
            </w:r>
          </w:p>
          <w:p w:rsidR="00000000" w:rsidP="00E023D7">
            <w:pPr>
              <w:pStyle w:val="BodyText"/>
              <w:rPr>
                <w:lang w:val="en-NZ"/>
              </w:rPr>
            </w:pPr>
            <w:r w:rsidRPr="00E023D7">
              <w:t>clear negotiation of fees</w:t>
            </w:r>
            <w:r w:rsidRPr="00E023D7">
              <w:t>.</w:t>
            </w:r>
          </w:p>
        </w:tc>
      </w:tr>
      <w:tr w:rsidTr="009C670B">
        <w:tblPrEx>
          <w:tblW w:w="0" w:type="auto"/>
          <w:tblLayout w:type="fixed"/>
          <w:tblCellMar>
            <w:left w:w="62" w:type="dxa"/>
            <w:right w:w="62" w:type="dxa"/>
          </w:tblCellMar>
          <w:tblLook w:val="0000"/>
        </w:tblPrEx>
        <w:tc>
          <w:tcPr>
            <w:tcW w:w="3180" w:type="dxa"/>
            <w:tcBorders>
              <w:top w:val="nil"/>
              <w:left w:val="nil"/>
              <w:bottom w:val="nil"/>
              <w:right w:val="nil"/>
            </w:tcBorders>
            <w:tcMar>
              <w:top w:w="0" w:type="dxa"/>
              <w:left w:w="62" w:type="dxa"/>
              <w:bottom w:w="0" w:type="dxa"/>
              <w:right w:w="62" w:type="dxa"/>
            </w:tcMar>
          </w:tcPr>
          <w:p w:rsidR="00000000" w:rsidP="00E023D7">
            <w:pPr>
              <w:pStyle w:val="BodyText"/>
              <w:rPr>
                <w:lang w:val="en-NZ"/>
              </w:rPr>
            </w:pPr>
            <w:r w:rsidRPr="00E023D7">
              <w:rPr>
                <w:rStyle w:val="BoldandItalics"/>
              </w:rPr>
              <w:t>Organisational requirements</w:t>
            </w:r>
            <w:r w:rsidRPr="00E023D7">
              <w:t xml:space="preserve"> may be outlined and reflected in:</w:t>
            </w:r>
          </w:p>
        </w:tc>
        <w:tc>
          <w:tcPr>
            <w:tcW w:w="5342" w:type="dxa"/>
            <w:tcBorders>
              <w:top w:val="nil"/>
              <w:left w:val="nil"/>
              <w:bottom w:val="nil"/>
              <w:right w:val="nil"/>
            </w:tcBorders>
            <w:tcMar>
              <w:top w:w="0" w:type="dxa"/>
              <w:left w:w="62" w:type="dxa"/>
              <w:bottom w:w="0" w:type="dxa"/>
              <w:right w:w="62" w:type="dxa"/>
            </w:tcMar>
          </w:tcPr>
          <w:p w:rsidR="00000000" w:rsidRPr="00E023D7" w:rsidP="00E023D7">
            <w:pPr>
              <w:pStyle w:val="ListBullet"/>
            </w:pPr>
            <w:r w:rsidRPr="00E023D7">
              <w:t>access and equity policy, principles and practices</w:t>
            </w:r>
          </w:p>
          <w:p w:rsidR="00000000" w:rsidRPr="00E023D7" w:rsidP="00E023D7">
            <w:pPr>
              <w:pStyle w:val="ListBullet"/>
            </w:pPr>
            <w:r w:rsidRPr="00E023D7">
              <w:t>business and performance plans</w:t>
            </w:r>
          </w:p>
          <w:p w:rsidR="00000000" w:rsidRPr="00E023D7" w:rsidP="00E023D7">
            <w:pPr>
              <w:pStyle w:val="ListBullet"/>
            </w:pPr>
            <w:r w:rsidRPr="00E023D7">
              <w:t>client service policies, procedures and standards</w:t>
            </w:r>
          </w:p>
          <w:p w:rsidR="00000000" w:rsidRPr="00E023D7" w:rsidP="00E023D7">
            <w:pPr>
              <w:pStyle w:val="ListBullet"/>
            </w:pPr>
            <w:r w:rsidRPr="00E023D7">
              <w:t>codes of conduct and codes of practice</w:t>
            </w:r>
          </w:p>
          <w:p w:rsidR="00000000" w:rsidRPr="00E023D7" w:rsidP="00E023D7">
            <w:pPr>
              <w:pStyle w:val="ListBullet"/>
            </w:pPr>
            <w:r w:rsidRPr="00E023D7">
              <w:t>communication channe</w:t>
            </w:r>
            <w:r w:rsidRPr="00E023D7">
              <w:t>ls and reporting procedures</w:t>
            </w:r>
          </w:p>
          <w:p w:rsidR="00000000" w:rsidRPr="00E023D7" w:rsidP="00E023D7">
            <w:pPr>
              <w:pStyle w:val="ListBullet"/>
            </w:pPr>
            <w:r w:rsidRPr="00E023D7">
              <w:t>communication of services offered</w:t>
            </w:r>
          </w:p>
          <w:p w:rsidR="00000000" w:rsidRPr="00E023D7" w:rsidP="00E023D7">
            <w:pPr>
              <w:pStyle w:val="ListBullet"/>
            </w:pPr>
            <w:r w:rsidRPr="00E023D7">
              <w:t>complaint and dispute resolution procedures</w:t>
            </w:r>
          </w:p>
          <w:p w:rsidR="00000000" w:rsidRPr="00E023D7" w:rsidP="00E023D7">
            <w:pPr>
              <w:pStyle w:val="ListBullet"/>
            </w:pPr>
            <w:r w:rsidRPr="00E023D7">
              <w:t>compliance with legislation, codes and workplace standards</w:t>
            </w:r>
          </w:p>
          <w:p w:rsidR="00000000" w:rsidRPr="00E023D7" w:rsidP="00E023D7">
            <w:pPr>
              <w:pStyle w:val="ListBullet"/>
            </w:pPr>
            <w:r w:rsidRPr="00E023D7">
              <w:t>continuous improvement processes and standards</w:t>
            </w:r>
          </w:p>
          <w:p w:rsidR="00000000" w:rsidRPr="00E023D7" w:rsidP="00E023D7">
            <w:pPr>
              <w:pStyle w:val="ListBullet"/>
            </w:pPr>
            <w:r w:rsidRPr="00E023D7">
              <w:t>defined resource parameters</w:t>
            </w:r>
          </w:p>
          <w:p w:rsidR="00000000" w:rsidRPr="00E023D7" w:rsidP="00E023D7">
            <w:pPr>
              <w:pStyle w:val="ListBullet"/>
            </w:pPr>
            <w:r w:rsidRPr="00E023D7">
              <w:t>duty of care</w:t>
            </w:r>
          </w:p>
          <w:p w:rsidR="00000000" w:rsidRPr="00E023D7" w:rsidP="00E023D7">
            <w:pPr>
              <w:pStyle w:val="ListBullet"/>
            </w:pPr>
            <w:r w:rsidRPr="00E023D7">
              <w:t>employer and employee rights and responsibilities</w:t>
            </w:r>
          </w:p>
          <w:p w:rsidR="00000000" w:rsidRPr="00E023D7" w:rsidP="00E023D7">
            <w:pPr>
              <w:pStyle w:val="ListBullet"/>
            </w:pPr>
            <w:r w:rsidRPr="00E023D7">
              <w:t>ethical standards</w:t>
            </w:r>
          </w:p>
          <w:p w:rsidR="00000000" w:rsidRPr="00E023D7" w:rsidP="00E023D7">
            <w:pPr>
              <w:pStyle w:val="ListBullet"/>
            </w:pPr>
            <w:r w:rsidRPr="00E023D7">
              <w:t>legal policies and guidelines</w:t>
            </w:r>
          </w:p>
          <w:p w:rsidR="00000000" w:rsidRPr="00E023D7" w:rsidP="00E023D7">
            <w:pPr>
              <w:pStyle w:val="ListBullet"/>
            </w:pPr>
            <w:r w:rsidRPr="00E023D7">
              <w:t>occupational health and safety policies, procedures and programs</w:t>
            </w:r>
          </w:p>
          <w:p w:rsidR="00000000" w:rsidRPr="00E023D7" w:rsidP="00E023D7">
            <w:pPr>
              <w:pStyle w:val="ListBullet"/>
            </w:pPr>
            <w:r w:rsidRPr="00E023D7">
              <w:t>organisational mission statement, goals, objectives, plans, systems and processes</w:t>
            </w:r>
          </w:p>
          <w:p w:rsidR="00000000" w:rsidP="00E023D7">
            <w:pPr>
              <w:pStyle w:val="ListBullet"/>
              <w:rPr>
                <w:lang w:val="en-NZ"/>
              </w:rPr>
            </w:pPr>
            <w:r w:rsidRPr="00E023D7">
              <w:t>policies an</w:t>
            </w:r>
            <w:r w:rsidRPr="00E023D7">
              <w:t>d procedures relating to the setting of fees and the negotiation and management of contracts</w:t>
            </w:r>
          </w:p>
        </w:tc>
      </w:tr>
      <w:tr w:rsidTr="009C670B">
        <w:tblPrEx>
          <w:tblW w:w="0" w:type="auto"/>
          <w:tblLayout w:type="fixed"/>
          <w:tblCellMar>
            <w:left w:w="62" w:type="dxa"/>
            <w:right w:w="62" w:type="dxa"/>
          </w:tblCellMar>
          <w:tblLook w:val="0000"/>
        </w:tblPrEx>
        <w:tc>
          <w:tcPr>
            <w:tcW w:w="3180" w:type="dxa"/>
            <w:tcBorders>
              <w:top w:val="nil"/>
              <w:left w:val="nil"/>
              <w:bottom w:val="nil"/>
              <w:right w:val="nil"/>
            </w:tcBorders>
            <w:tcMar>
              <w:top w:w="0" w:type="dxa"/>
              <w:left w:w="62" w:type="dxa"/>
              <w:bottom w:w="0" w:type="dxa"/>
              <w:right w:w="62" w:type="dxa"/>
            </w:tcMar>
          </w:tcPr>
          <w:p w:rsidR="00000000" w:rsidP="00E023D7">
            <w:pPr>
              <w:pStyle w:val="BodyText"/>
              <w:rPr>
                <w:lang w:val="en-NZ"/>
              </w:rPr>
            </w:pPr>
          </w:p>
        </w:tc>
        <w:tc>
          <w:tcPr>
            <w:tcW w:w="5342" w:type="dxa"/>
            <w:tcBorders>
              <w:top w:val="nil"/>
              <w:left w:val="nil"/>
              <w:bottom w:val="nil"/>
              <w:right w:val="nil"/>
            </w:tcBorders>
            <w:tcMar>
              <w:top w:w="0" w:type="dxa"/>
              <w:left w:w="62" w:type="dxa"/>
              <w:bottom w:w="0" w:type="dxa"/>
              <w:right w:w="62" w:type="dxa"/>
            </w:tcMar>
          </w:tcPr>
          <w:p w:rsidR="00000000" w:rsidRPr="00E023D7" w:rsidP="00E023D7">
            <w:pPr>
              <w:pStyle w:val="ListBullet"/>
            </w:pPr>
            <w:r w:rsidRPr="00E023D7">
              <w:t>policies and procedures relating to own role, responsibilities and delegation</w:t>
            </w:r>
          </w:p>
          <w:p w:rsidR="00000000" w:rsidRPr="00E023D7" w:rsidP="00E023D7">
            <w:pPr>
              <w:pStyle w:val="ListBullet"/>
            </w:pPr>
            <w:r w:rsidRPr="00E023D7">
              <w:t>quality assurance and procedures manuals</w:t>
            </w:r>
          </w:p>
          <w:p w:rsidR="00000000" w:rsidRPr="00E023D7" w:rsidP="00E023D7">
            <w:pPr>
              <w:pStyle w:val="ListBullet"/>
            </w:pPr>
            <w:r w:rsidRPr="00E023D7">
              <w:t>privacy and confidentiality policies and p</w:t>
            </w:r>
            <w:r w:rsidRPr="00E023D7">
              <w:t>rocedures</w:t>
            </w:r>
          </w:p>
          <w:p w:rsidR="00000000" w:rsidRPr="00E023D7" w:rsidP="00E023D7">
            <w:pPr>
              <w:pStyle w:val="ListBullet"/>
            </w:pPr>
            <w:r w:rsidRPr="00E023D7">
              <w:t>records and information management systems and processes</w:t>
            </w:r>
          </w:p>
          <w:p w:rsidR="00000000" w:rsidP="00E023D7">
            <w:pPr>
              <w:pStyle w:val="BodyText"/>
              <w:rPr>
                <w:lang w:val="en-NZ"/>
              </w:rPr>
            </w:pPr>
            <w:r w:rsidRPr="00E023D7">
              <w:t>style guides and other guides used to prepare documents.</w:t>
            </w:r>
          </w:p>
        </w:tc>
      </w:tr>
      <w:tr w:rsidTr="009C670B">
        <w:tblPrEx>
          <w:tblW w:w="0" w:type="auto"/>
          <w:tblLayout w:type="fixed"/>
          <w:tblCellMar>
            <w:left w:w="62" w:type="dxa"/>
            <w:right w:w="62" w:type="dxa"/>
          </w:tblCellMar>
          <w:tblLook w:val="0000"/>
        </w:tblPrEx>
        <w:tc>
          <w:tcPr>
            <w:tcW w:w="3180" w:type="dxa"/>
            <w:tcBorders>
              <w:top w:val="nil"/>
              <w:left w:val="nil"/>
              <w:bottom w:val="nil"/>
              <w:right w:val="nil"/>
            </w:tcBorders>
            <w:tcMar>
              <w:top w:w="0" w:type="dxa"/>
              <w:left w:w="62" w:type="dxa"/>
              <w:bottom w:w="0" w:type="dxa"/>
              <w:right w:w="62" w:type="dxa"/>
            </w:tcMar>
          </w:tcPr>
          <w:p w:rsidR="00000000" w:rsidP="00E023D7">
            <w:pPr>
              <w:pStyle w:val="BodyText"/>
              <w:rPr>
                <w:lang w:val="en-NZ"/>
              </w:rPr>
            </w:pPr>
            <w:r w:rsidRPr="00E023D7">
              <w:rPr>
                <w:rStyle w:val="BoldandItalics"/>
              </w:rPr>
              <w:t>Responsibilities</w:t>
            </w:r>
            <w:r w:rsidRPr="00E023D7">
              <w:t xml:space="preserve"> may include:</w:t>
            </w:r>
          </w:p>
        </w:tc>
        <w:tc>
          <w:tcPr>
            <w:tcW w:w="5342" w:type="dxa"/>
            <w:tcBorders>
              <w:top w:val="nil"/>
              <w:left w:val="nil"/>
              <w:bottom w:val="nil"/>
              <w:right w:val="nil"/>
            </w:tcBorders>
            <w:tcMar>
              <w:top w:w="0" w:type="dxa"/>
              <w:left w:w="62" w:type="dxa"/>
              <w:bottom w:w="0" w:type="dxa"/>
              <w:right w:w="62" w:type="dxa"/>
            </w:tcMar>
          </w:tcPr>
          <w:p w:rsidR="00000000" w:rsidRPr="00E023D7" w:rsidP="00E023D7">
            <w:pPr>
              <w:pStyle w:val="ListBullet"/>
            </w:pPr>
            <w:r w:rsidRPr="00E023D7">
              <w:t>working within own areas of competence</w:t>
            </w:r>
          </w:p>
          <w:p w:rsidR="00000000" w:rsidRPr="00E023D7" w:rsidP="00E023D7">
            <w:pPr>
              <w:pStyle w:val="ListBullet"/>
            </w:pPr>
            <w:r w:rsidRPr="00E023D7">
              <w:t>working within the law</w:t>
            </w:r>
          </w:p>
          <w:p w:rsidR="00000000" w:rsidRPr="00E023D7" w:rsidP="00E023D7">
            <w:pPr>
              <w:pStyle w:val="ListBullet"/>
            </w:pPr>
            <w:r w:rsidRPr="00E023D7">
              <w:t>maintaining a duty of care at all times in professional dealings</w:t>
            </w:r>
          </w:p>
          <w:p w:rsidR="00000000" w:rsidRPr="00E023D7" w:rsidP="00E023D7">
            <w:pPr>
              <w:pStyle w:val="ListBullet"/>
            </w:pPr>
            <w:r w:rsidRPr="00E023D7">
              <w:t>providing contracted services to the standard specified in a timely and professional manner</w:t>
            </w:r>
          </w:p>
          <w:p w:rsidR="00000000" w:rsidRPr="00E023D7" w:rsidP="00E023D7">
            <w:pPr>
              <w:pStyle w:val="ListBullet"/>
            </w:pPr>
            <w:r w:rsidRPr="00E023D7">
              <w:t>adhering to and implementing relevant industry codes of practice and ethics</w:t>
            </w:r>
          </w:p>
          <w:p w:rsidR="00000000" w:rsidP="00E023D7">
            <w:pPr>
              <w:pStyle w:val="BodyText"/>
              <w:rPr>
                <w:lang w:val="en-NZ"/>
              </w:rPr>
            </w:pPr>
            <w:r w:rsidRPr="00E023D7">
              <w:t>participating in contin</w:t>
            </w:r>
            <w:r w:rsidRPr="00E023D7">
              <w:t>uous professional development programs.</w:t>
            </w:r>
          </w:p>
        </w:tc>
      </w:tr>
      <w:tr w:rsidTr="009C670B">
        <w:tblPrEx>
          <w:tblW w:w="0" w:type="auto"/>
          <w:tblLayout w:type="fixed"/>
          <w:tblCellMar>
            <w:left w:w="62" w:type="dxa"/>
            <w:right w:w="62" w:type="dxa"/>
          </w:tblCellMar>
          <w:tblLook w:val="0000"/>
        </w:tblPrEx>
        <w:tc>
          <w:tcPr>
            <w:tcW w:w="31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2" w:type="dxa"/>
            <w:tcBorders>
              <w:top w:val="nil"/>
              <w:left w:val="nil"/>
              <w:bottom w:val="nil"/>
              <w:right w:val="nil"/>
            </w:tcBorders>
            <w:tcMar>
              <w:top w:w="0" w:type="dxa"/>
              <w:left w:w="62" w:type="dxa"/>
              <w:bottom w:w="0" w:type="dxa"/>
              <w:right w:w="62" w:type="dxa"/>
            </w:tcMar>
          </w:tcPr>
          <w:p w:rsidR="00000000" w:rsidRPr="00E023D7" w:rsidP="00E023D7">
            <w:pPr>
              <w:pStyle w:val="BodyText"/>
            </w:pPr>
          </w:p>
        </w:tc>
      </w:tr>
    </w:tbl>
    <w:p w:rsidR="009C670B" w:rsidP="00E023D7">
      <w:pPr>
        <w:pStyle w:val="BodyText"/>
      </w:pPr>
    </w:p>
    <w:p w:rsidR="009C670B" w:rsidP="00E023D7">
      <w:pPr>
        <w:pStyle w:val="BodyText"/>
      </w:pPr>
    </w:p>
    <w:p w:rsidR="00000000" w:rsidRPr="00E023D7" w:rsidP="00E023D7">
      <w:pPr>
        <w:pStyle w:val="Heading1"/>
      </w:pPr>
      <w:bookmarkStart w:id="12" w:name="O_200581"/>
      <w:bookmarkEnd w:id="12"/>
      <w:r w:rsidRPr="00E023D7">
        <w:t>Unit Sector(s)</w:t>
      </w:r>
    </w:p>
    <w:p w:rsidR="00000000" w:rsidRPr="00E023D7" w:rsidP="00E023D7">
      <w:pPr>
        <w:pStyle w:val="BodyText"/>
      </w:pPr>
      <w:r w:rsidRPr="00E023D7">
        <w:rPr>
          <w:rStyle w:val="SpecialBold"/>
        </w:rPr>
        <w:t>Unit sector</w:t>
      </w:r>
    </w:p>
    <w:p w:rsidR="009C670B" w:rsidP="00E023D7">
      <w:pPr>
        <w:pStyle w:val="BodyText"/>
      </w:pPr>
      <w:r w:rsidRPr="00E023D7">
        <w:t>Access consulting</w:t>
      </w:r>
    </w:p>
    <w:p w:rsidR="009C670B" w:rsidP="00E023D7">
      <w:pPr>
        <w:pStyle w:val="BodyText"/>
      </w:pPr>
    </w:p>
    <w:p w:rsidR="00000000" w:rsidRPr="00E023D7" w:rsidP="00E023D7"/>
    <w:sectPr w:rsidSect="00E023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3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670B" w:rsidP="009C670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3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70B" w:rsidP="00E023D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C670B" w:rsidP="00E023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C670B" w:rsidP="00E023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3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3D7" w:rsidRPr="009C670B" w:rsidP="009C67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3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70B" w:rsidRPr="002D2AF8" w:rsidP="00E023D7">
    <w:pPr>
      <w:pStyle w:val="Header"/>
      <w:framePr w:wrap="around"/>
    </w:pPr>
    <w:r>
      <w:fldChar w:fldCharType="begin"/>
    </w:r>
    <w:r>
      <w:instrText xml:space="preserve"> TITLE   \* MERGEFORMAT </w:instrText>
    </w:r>
    <w:r>
      <w:fldChar w:fldCharType="separate"/>
    </w:r>
    <w:r>
      <w:t>CPPACC5005A Interpret and apply building control legislation when assessing large-scale buildings for access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C670B" w:rsidP="00E023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406F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70F3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6AF4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3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23D7"/>
    <w:pPr>
      <w:spacing w:before="360" w:after="60"/>
      <w:outlineLvl w:val="0"/>
    </w:pPr>
    <w:rPr>
      <w:sz w:val="32"/>
    </w:rPr>
  </w:style>
  <w:style w:type="paragraph" w:styleId="Heading2">
    <w:name w:val="heading 2"/>
    <w:basedOn w:val="HeadingBase"/>
    <w:next w:val="BodyText"/>
    <w:link w:val="Heading2Char"/>
    <w:qFormat/>
    <w:rsid w:val="00E023D7"/>
    <w:pPr>
      <w:keepLines/>
      <w:spacing w:before="240" w:after="120"/>
      <w:outlineLvl w:val="1"/>
    </w:pPr>
    <w:rPr>
      <w:sz w:val="28"/>
      <w:szCs w:val="40"/>
    </w:rPr>
  </w:style>
  <w:style w:type="paragraph" w:styleId="Heading3">
    <w:name w:val="heading 3"/>
    <w:basedOn w:val="HeadingBase"/>
    <w:next w:val="BodyText"/>
    <w:link w:val="Heading3Char"/>
    <w:qFormat/>
    <w:rsid w:val="00E023D7"/>
    <w:pPr>
      <w:spacing w:before="180" w:after="120"/>
      <w:outlineLvl w:val="2"/>
    </w:pPr>
    <w:rPr>
      <w:spacing w:val="-10"/>
      <w:kern w:val="32"/>
    </w:rPr>
  </w:style>
  <w:style w:type="paragraph" w:styleId="Heading4">
    <w:name w:val="heading 4"/>
    <w:basedOn w:val="HeadingBase"/>
    <w:next w:val="BodyText"/>
    <w:link w:val="Heading4Char"/>
    <w:qFormat/>
    <w:rsid w:val="00E023D7"/>
    <w:pPr>
      <w:spacing w:before="160" w:after="120"/>
      <w:outlineLvl w:val="3"/>
    </w:pPr>
    <w:rPr>
      <w:sz w:val="22"/>
    </w:rPr>
  </w:style>
  <w:style w:type="paragraph" w:styleId="Heading5">
    <w:name w:val="heading 5"/>
    <w:basedOn w:val="HeadingBase"/>
    <w:next w:val="Normal"/>
    <w:link w:val="Heading5Char"/>
    <w:qFormat/>
    <w:rsid w:val="00E023D7"/>
    <w:pPr>
      <w:spacing w:before="80"/>
      <w:outlineLvl w:val="4"/>
    </w:pPr>
    <w:rPr>
      <w:color w:val="918585"/>
      <w:sz w:val="20"/>
    </w:rPr>
  </w:style>
  <w:style w:type="paragraph" w:styleId="Heading6">
    <w:name w:val="heading 6"/>
    <w:basedOn w:val="HeadingBase"/>
    <w:next w:val="Normal"/>
    <w:link w:val="Heading6Char"/>
    <w:qFormat/>
    <w:rsid w:val="00E023D7"/>
    <w:pPr>
      <w:spacing w:before="60"/>
      <w:outlineLvl w:val="5"/>
    </w:pPr>
    <w:rPr>
      <w:color w:val="918585"/>
      <w:sz w:val="20"/>
    </w:rPr>
  </w:style>
  <w:style w:type="paragraph" w:styleId="Heading7">
    <w:name w:val="heading 7"/>
    <w:basedOn w:val="Normal"/>
    <w:next w:val="Normal"/>
    <w:link w:val="Heading7Char"/>
    <w:qFormat/>
    <w:rsid w:val="00E023D7"/>
    <w:pPr>
      <w:ind w:left="720"/>
      <w:outlineLvl w:val="6"/>
    </w:pPr>
    <w:rPr>
      <w:i/>
    </w:rPr>
  </w:style>
  <w:style w:type="paragraph" w:styleId="Heading8">
    <w:name w:val="heading 8"/>
    <w:basedOn w:val="Normal"/>
    <w:next w:val="Normal"/>
    <w:link w:val="Heading8Char"/>
    <w:qFormat/>
    <w:rsid w:val="00E023D7"/>
    <w:pPr>
      <w:ind w:left="720"/>
      <w:outlineLvl w:val="7"/>
    </w:pPr>
    <w:rPr>
      <w:i/>
    </w:rPr>
  </w:style>
  <w:style w:type="paragraph" w:styleId="Heading9">
    <w:name w:val="heading 9"/>
    <w:basedOn w:val="Normal"/>
    <w:next w:val="Normal"/>
    <w:link w:val="Heading9Char"/>
    <w:qFormat/>
    <w:rsid w:val="00E023D7"/>
    <w:pPr>
      <w:ind w:left="720"/>
      <w:outlineLvl w:val="8"/>
    </w:pPr>
    <w:rPr>
      <w:i/>
    </w:rPr>
  </w:style>
  <w:style w:type="character" w:default="1" w:styleId="DefaultParagraphFont">
    <w:name w:val="Default Paragraph Font"/>
    <w:uiPriority w:val="1"/>
    <w:unhideWhenUsed/>
    <w:rsid w:val="00E023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23D7"/>
  </w:style>
  <w:style w:type="character" w:customStyle="1" w:styleId="Heading1Char">
    <w:name w:val="Heading 1 Char"/>
    <w:basedOn w:val="DefaultParagraphFont"/>
    <w:link w:val="Heading1"/>
    <w:rsid w:val="00E023D7"/>
    <w:rPr>
      <w:rFonts w:ascii="Times New Roman" w:eastAsia="Times New Roman" w:hAnsi="Times New Roman" w:cs="Times New Roman"/>
      <w:b/>
      <w:sz w:val="32"/>
      <w:szCs w:val="20"/>
      <w:lang w:eastAsia="en-US"/>
    </w:rPr>
  </w:style>
  <w:style w:type="paragraph" w:styleId="BodyText">
    <w:name w:val="Body Text"/>
    <w:basedOn w:val="Normal"/>
    <w:link w:val="BodyTextChar"/>
    <w:rsid w:val="00E023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23D7"/>
    <w:rPr>
      <w:rFonts w:ascii="Times New Roman" w:eastAsia="Times New Roman" w:hAnsi="Times New Roman" w:cs="Times New Roman"/>
      <w:sz w:val="24"/>
      <w:lang w:eastAsia="en-US"/>
    </w:rPr>
  </w:style>
  <w:style w:type="paragraph" w:styleId="Footer">
    <w:name w:val="footer"/>
    <w:basedOn w:val="Normal"/>
    <w:link w:val="FooterChar"/>
    <w:rsid w:val="00E023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23D7"/>
    <w:rPr>
      <w:rFonts w:ascii="Times New Roman" w:eastAsia="Times New Roman" w:hAnsi="Times New Roman" w:cs="Times New Roman"/>
      <w:sz w:val="16"/>
      <w:lang w:eastAsia="en-US"/>
    </w:rPr>
  </w:style>
  <w:style w:type="paragraph" w:styleId="List">
    <w:name w:val="List"/>
    <w:basedOn w:val="BodyText"/>
    <w:next w:val="BodyText"/>
    <w:rsid w:val="00E023D7"/>
    <w:pPr>
      <w:tabs>
        <w:tab w:val="left" w:pos="340"/>
      </w:tabs>
      <w:spacing w:before="60" w:after="60"/>
      <w:ind w:left="340" w:hanging="340"/>
    </w:pPr>
  </w:style>
  <w:style w:type="paragraph" w:styleId="ListBullet">
    <w:name w:val="List Bullet"/>
    <w:basedOn w:val="List"/>
    <w:rsid w:val="00E023D7"/>
    <w:pPr>
      <w:numPr>
        <w:numId w:val="13"/>
      </w:numPr>
      <w:tabs>
        <w:tab w:val="clear" w:pos="340"/>
      </w:tabs>
      <w:spacing w:before="40" w:after="40"/>
    </w:pPr>
  </w:style>
  <w:style w:type="character" w:customStyle="1" w:styleId="SpecialBold">
    <w:name w:val="Special Bold"/>
    <w:basedOn w:val="DefaultParagraphFont"/>
    <w:rsid w:val="00E023D7"/>
    <w:rPr>
      <w:b/>
      <w:spacing w:val="0"/>
    </w:rPr>
  </w:style>
  <w:style w:type="paragraph" w:styleId="ListBullet2">
    <w:name w:val="List Bullet 2"/>
    <w:basedOn w:val="List2"/>
    <w:rsid w:val="00E023D7"/>
    <w:pPr>
      <w:numPr>
        <w:numId w:val="14"/>
      </w:numPr>
      <w:tabs>
        <w:tab w:val="clear" w:pos="680"/>
      </w:tabs>
    </w:pPr>
  </w:style>
  <w:style w:type="paragraph" w:customStyle="1" w:styleId="SuperHeading">
    <w:name w:val="SuperHeading"/>
    <w:basedOn w:val="Normal"/>
    <w:rsid w:val="00E023D7"/>
    <w:pPr>
      <w:spacing w:before="240" w:after="120"/>
      <w:outlineLvl w:val="0"/>
    </w:pPr>
    <w:rPr>
      <w:rFonts w:ascii="Times New Roman" w:hAnsi="Times New Roman"/>
      <w:b/>
      <w:sz w:val="28"/>
    </w:rPr>
  </w:style>
  <w:style w:type="paragraph" w:customStyle="1" w:styleId="AllowPageBreak">
    <w:name w:val="AllowPageBreak"/>
    <w:rsid w:val="00E023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023D7"/>
    <w:rPr>
      <w:b/>
      <w:i/>
      <w:u w:val="none"/>
    </w:rPr>
  </w:style>
  <w:style w:type="character" w:customStyle="1" w:styleId="Heading2Char">
    <w:name w:val="Heading 2 Char"/>
    <w:basedOn w:val="DefaultParagraphFont"/>
    <w:link w:val="Heading2"/>
    <w:rsid w:val="00E023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23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23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23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23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23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23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23D7"/>
    <w:rPr>
      <w:rFonts w:ascii="Courier New" w:eastAsia="Times New Roman" w:hAnsi="Courier New" w:cs="Times New Roman"/>
      <w:i/>
      <w:szCs w:val="20"/>
      <w:lang w:eastAsia="en-US"/>
    </w:rPr>
  </w:style>
  <w:style w:type="paragraph" w:customStyle="1" w:styleId="HeadingBase">
    <w:name w:val="Heading Base"/>
    <w:rsid w:val="00E023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23D7"/>
    <w:pPr>
      <w:tabs>
        <w:tab w:val="right" w:leader="dot" w:pos="9072"/>
      </w:tabs>
      <w:ind w:left="567"/>
    </w:pPr>
    <w:rPr>
      <w:szCs w:val="22"/>
    </w:rPr>
  </w:style>
  <w:style w:type="paragraph" w:customStyle="1" w:styleId="TOCBase">
    <w:name w:val="TOC Base"/>
    <w:rsid w:val="00E023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23D7"/>
    <w:pPr>
      <w:tabs>
        <w:tab w:val="right" w:leader="dot" w:pos="9072"/>
      </w:tabs>
      <w:spacing w:before="40" w:after="40"/>
      <w:ind w:left="284"/>
    </w:pPr>
    <w:rPr>
      <w:rFonts w:ascii="Times New Roman" w:hAnsi="Times New Roman"/>
    </w:rPr>
  </w:style>
  <w:style w:type="paragraph" w:styleId="TOC1">
    <w:name w:val="toc 1"/>
    <w:basedOn w:val="TOCBase"/>
    <w:next w:val="Normal"/>
    <w:rsid w:val="00E023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23D7"/>
    <w:pPr>
      <w:spacing w:before="5040"/>
      <w:jc w:val="center"/>
    </w:pPr>
    <w:rPr>
      <w:sz w:val="48"/>
      <w:szCs w:val="72"/>
      <w:lang w:val="en-US"/>
    </w:rPr>
  </w:style>
  <w:style w:type="character" w:customStyle="1" w:styleId="TitleChar">
    <w:name w:val="Title Char"/>
    <w:basedOn w:val="DefaultParagraphFont"/>
    <w:link w:val="Title"/>
    <w:rsid w:val="00E023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23D7"/>
    <w:pPr>
      <w:tabs>
        <w:tab w:val="left" w:pos="3600"/>
        <w:tab w:val="left" w:pos="3958"/>
      </w:tabs>
    </w:pPr>
  </w:style>
  <w:style w:type="paragraph" w:customStyle="1" w:styleId="Note">
    <w:name w:val="Note"/>
    <w:basedOn w:val="BodyText"/>
    <w:rsid w:val="00E023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23D7"/>
    <w:pPr>
      <w:framePr w:wrap="auto" w:hAnchor="text" w:y="6049"/>
    </w:pPr>
    <w:rPr>
      <w:color w:val="000000"/>
      <w:sz w:val="40"/>
    </w:rPr>
  </w:style>
  <w:style w:type="paragraph" w:customStyle="1" w:styleId="TOCTitle">
    <w:name w:val="TOCTitle"/>
    <w:basedOn w:val="Heading1"/>
    <w:rsid w:val="00E023D7"/>
    <w:pPr>
      <w:spacing w:after="240"/>
      <w:jc w:val="center"/>
      <w:outlineLvl w:val="9"/>
    </w:pPr>
    <w:rPr>
      <w:caps/>
    </w:rPr>
  </w:style>
  <w:style w:type="paragraph" w:customStyle="1" w:styleId="Version">
    <w:name w:val="Version"/>
    <w:rsid w:val="00E023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23D7"/>
    <w:pPr>
      <w:keepNext w:val="0"/>
      <w:tabs>
        <w:tab w:val="right" w:pos="4176"/>
      </w:tabs>
      <w:ind w:left="198" w:hanging="198"/>
    </w:pPr>
    <w:rPr>
      <w:rFonts w:ascii="Garamond" w:hAnsi="Garamond"/>
    </w:rPr>
  </w:style>
  <w:style w:type="paragraph" w:styleId="IndexHeading">
    <w:name w:val="index heading"/>
    <w:basedOn w:val="Normal"/>
    <w:next w:val="Index1"/>
    <w:semiHidden/>
    <w:rsid w:val="00E023D7"/>
    <w:pPr>
      <w:spacing w:before="120" w:after="120"/>
    </w:pPr>
    <w:rPr>
      <w:rFonts w:ascii="Arial" w:hAnsi="Arial"/>
      <w:b/>
      <w:color w:val="918585"/>
      <w:sz w:val="24"/>
    </w:rPr>
  </w:style>
  <w:style w:type="paragraph" w:styleId="Header">
    <w:name w:val="header"/>
    <w:basedOn w:val="Normal"/>
    <w:link w:val="HeaderChar"/>
    <w:rsid w:val="00E023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23D7"/>
    <w:rPr>
      <w:rFonts w:ascii="Times New Roman" w:eastAsia="Times New Roman" w:hAnsi="Times New Roman" w:cs="Times New Roman"/>
      <w:sz w:val="16"/>
      <w:szCs w:val="20"/>
      <w:lang w:val="en-GB" w:eastAsia="en-US"/>
    </w:rPr>
  </w:style>
  <w:style w:type="paragraph" w:customStyle="1" w:styleId="Chapter">
    <w:name w:val="Chapter"/>
    <w:basedOn w:val="Normal"/>
    <w:rsid w:val="00E023D7"/>
    <w:pPr>
      <w:spacing w:before="240"/>
    </w:pPr>
    <w:rPr>
      <w:rFonts w:ascii="Times New Roman" w:hAnsi="Times New Roman"/>
      <w:smallCaps/>
      <w:spacing w:val="80"/>
      <w:sz w:val="28"/>
    </w:rPr>
  </w:style>
  <w:style w:type="paragraph" w:customStyle="1" w:styleId="InChapter">
    <w:name w:val="InChapter"/>
    <w:basedOn w:val="Heading3"/>
    <w:rsid w:val="00E023D7"/>
    <w:pPr>
      <w:spacing w:after="240"/>
      <w:outlineLvl w:val="9"/>
    </w:pPr>
    <w:rPr>
      <w:noProof/>
    </w:rPr>
  </w:style>
  <w:style w:type="paragraph" w:styleId="Index2">
    <w:name w:val="index 2"/>
    <w:basedOn w:val="Normal"/>
    <w:next w:val="Normal"/>
    <w:semiHidden/>
    <w:rsid w:val="00E023D7"/>
    <w:pPr>
      <w:tabs>
        <w:tab w:val="right" w:pos="4176"/>
      </w:tabs>
      <w:ind w:left="568" w:hanging="284"/>
    </w:pPr>
    <w:rPr>
      <w:rFonts w:ascii="Garamond" w:hAnsi="Garamond"/>
    </w:rPr>
  </w:style>
  <w:style w:type="paragraph" w:customStyle="1" w:styleId="Byline">
    <w:name w:val="Byline"/>
    <w:rsid w:val="00E023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23D7"/>
    <w:pPr>
      <w:tabs>
        <w:tab w:val="clear" w:pos="3600"/>
        <w:tab w:val="clear" w:pos="3958"/>
      </w:tabs>
      <w:jc w:val="right"/>
    </w:pPr>
  </w:style>
  <w:style w:type="character" w:styleId="Emphasis">
    <w:name w:val="Emphasis"/>
    <w:basedOn w:val="DefaultParagraphFont"/>
    <w:qFormat/>
    <w:rsid w:val="00E023D7"/>
    <w:rPr>
      <w:i/>
    </w:rPr>
  </w:style>
  <w:style w:type="paragraph" w:styleId="Caption">
    <w:name w:val="caption"/>
    <w:basedOn w:val="BodyText"/>
    <w:next w:val="Normal"/>
    <w:qFormat/>
    <w:rsid w:val="00E023D7"/>
    <w:pPr>
      <w:framePr w:w="2268" w:hSpace="181" w:vSpace="181" w:wrap="around" w:vAnchor="text" w:hAnchor="page" w:x="1135" w:y="285" w:anchorLock="1"/>
    </w:pPr>
    <w:rPr>
      <w:i/>
    </w:rPr>
  </w:style>
  <w:style w:type="paragraph" w:customStyle="1" w:styleId="MiniTOCTitle">
    <w:name w:val="MiniTOCTitle"/>
    <w:basedOn w:val="Heading4"/>
    <w:rsid w:val="00E023D7"/>
    <w:pPr>
      <w:spacing w:before="240"/>
      <w:outlineLvl w:val="9"/>
    </w:pPr>
    <w:rPr>
      <w:noProof/>
      <w:sz w:val="24"/>
    </w:rPr>
  </w:style>
  <w:style w:type="paragraph" w:customStyle="1" w:styleId="MiniTOCItem">
    <w:name w:val="MiniTOCItem"/>
    <w:basedOn w:val="ListBullet"/>
    <w:rsid w:val="00E023D7"/>
    <w:pPr>
      <w:numPr>
        <w:numId w:val="0"/>
      </w:numPr>
      <w:tabs>
        <w:tab w:val="right" w:leader="dot" w:pos="6521"/>
      </w:tabs>
      <w:spacing w:before="0" w:after="0"/>
    </w:pPr>
  </w:style>
  <w:style w:type="paragraph" w:customStyle="1" w:styleId="TOFTitle">
    <w:name w:val="TOFTitle"/>
    <w:basedOn w:val="TOCTitle"/>
    <w:rsid w:val="00E023D7"/>
  </w:style>
  <w:style w:type="paragraph" w:styleId="TableofFigures">
    <w:name w:val="table of figures"/>
    <w:basedOn w:val="Normal"/>
    <w:next w:val="Normal"/>
    <w:semiHidden/>
    <w:rsid w:val="00E023D7"/>
    <w:pPr>
      <w:tabs>
        <w:tab w:val="right" w:leader="dot" w:pos="9072"/>
      </w:tabs>
      <w:ind w:left="970" w:hanging="403"/>
    </w:pPr>
    <w:rPr>
      <w:rFonts w:ascii="Times New Roman" w:hAnsi="Times New Roman"/>
      <w:b/>
    </w:rPr>
  </w:style>
  <w:style w:type="paragraph" w:styleId="ListNumber">
    <w:name w:val="List Number"/>
    <w:basedOn w:val="List"/>
    <w:rsid w:val="00E023D7"/>
    <w:pPr>
      <w:numPr>
        <w:numId w:val="11"/>
      </w:numPr>
    </w:pPr>
  </w:style>
  <w:style w:type="character" w:customStyle="1" w:styleId="WingdingSymbols">
    <w:name w:val="Wingding Symbols"/>
    <w:rsid w:val="00E023D7"/>
    <w:rPr>
      <w:rFonts w:ascii="Wingdings" w:hAnsi="Wingdings"/>
    </w:rPr>
  </w:style>
  <w:style w:type="paragraph" w:customStyle="1" w:styleId="TableHeading">
    <w:name w:val="Table Heading"/>
    <w:basedOn w:val="HeadingBase"/>
    <w:rsid w:val="00E023D7"/>
    <w:pPr>
      <w:keepLines/>
      <w:pBdr>
        <w:bottom w:val="single" w:sz="6" w:space="1" w:color="918585"/>
      </w:pBdr>
      <w:spacing w:before="240"/>
    </w:pPr>
  </w:style>
  <w:style w:type="character" w:customStyle="1" w:styleId="HotSpot">
    <w:name w:val="HotSpot"/>
    <w:rsid w:val="00E023D7"/>
    <w:rPr>
      <w:color w:val="0033CC"/>
      <w:u w:val="none"/>
    </w:rPr>
  </w:style>
  <w:style w:type="paragraph" w:customStyle="1" w:styleId="BodyTextRight">
    <w:name w:val="Body Text Right"/>
    <w:basedOn w:val="BodyText"/>
    <w:rsid w:val="00E023D7"/>
    <w:pPr>
      <w:spacing w:before="0" w:after="0"/>
      <w:jc w:val="right"/>
    </w:pPr>
  </w:style>
  <w:style w:type="paragraph" w:styleId="Index3">
    <w:name w:val="index 3"/>
    <w:basedOn w:val="ListNumber2"/>
    <w:next w:val="Normal"/>
    <w:semiHidden/>
    <w:rsid w:val="00E023D7"/>
    <w:pPr>
      <w:numPr>
        <w:numId w:val="0"/>
      </w:numPr>
      <w:tabs>
        <w:tab w:val="right" w:leader="dot" w:pos="4176"/>
      </w:tabs>
    </w:pPr>
  </w:style>
  <w:style w:type="paragraph" w:styleId="ListNumber2">
    <w:name w:val="List Number 2"/>
    <w:basedOn w:val="List2"/>
    <w:rsid w:val="00E023D7"/>
    <w:pPr>
      <w:numPr>
        <w:numId w:val="10"/>
      </w:numPr>
      <w:tabs>
        <w:tab w:val="clear" w:pos="1060"/>
      </w:tabs>
    </w:pPr>
  </w:style>
  <w:style w:type="paragraph" w:customStyle="1" w:styleId="MarginNote">
    <w:name w:val="Margin Note"/>
    <w:basedOn w:val="BodyText"/>
    <w:rsid w:val="00E023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23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23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23D7"/>
    <w:rPr>
      <w:sz w:val="32"/>
    </w:rPr>
  </w:style>
  <w:style w:type="paragraph" w:customStyle="1" w:styleId="HeadingProcedure">
    <w:name w:val="Heading Procedure"/>
    <w:basedOn w:val="HeadingBase"/>
    <w:next w:val="Normal"/>
    <w:rsid w:val="00E023D7"/>
    <w:pPr>
      <w:tabs>
        <w:tab w:val="left" w:pos="0"/>
      </w:tabs>
      <w:spacing w:before="120" w:after="60"/>
    </w:pPr>
    <w:rPr>
      <w:i/>
      <w:color w:val="918585"/>
      <w:sz w:val="22"/>
    </w:rPr>
  </w:style>
  <w:style w:type="paragraph" w:customStyle="1" w:styleId="TableBodyText">
    <w:name w:val="Table Body Text"/>
    <w:basedOn w:val="BodyText"/>
    <w:rsid w:val="00E023D7"/>
    <w:pPr>
      <w:spacing w:before="60" w:after="60"/>
    </w:pPr>
  </w:style>
  <w:style w:type="paragraph" w:styleId="ListContinue">
    <w:name w:val="List Continue"/>
    <w:basedOn w:val="List"/>
    <w:rsid w:val="00E023D7"/>
    <w:pPr>
      <w:ind w:firstLine="0"/>
    </w:pPr>
  </w:style>
  <w:style w:type="paragraph" w:customStyle="1" w:styleId="ListNote">
    <w:name w:val="List Note"/>
    <w:basedOn w:val="List"/>
    <w:rsid w:val="00E023D7"/>
    <w:pPr>
      <w:pBdr>
        <w:top w:val="single" w:sz="6" w:space="2" w:color="918585"/>
        <w:bottom w:val="single" w:sz="6" w:space="2" w:color="918585"/>
      </w:pBdr>
      <w:tabs>
        <w:tab w:val="left" w:pos="1021"/>
      </w:tabs>
      <w:ind w:firstLine="0"/>
    </w:pPr>
  </w:style>
  <w:style w:type="paragraph" w:customStyle="1" w:styleId="Warning">
    <w:name w:val="Warning"/>
    <w:basedOn w:val="BodyText"/>
    <w:rsid w:val="00E023D7"/>
    <w:pPr>
      <w:shd w:val="clear" w:color="auto" w:fill="D9D9D9"/>
      <w:tabs>
        <w:tab w:val="left" w:pos="992"/>
      </w:tabs>
      <w:ind w:left="119" w:right="119"/>
    </w:pPr>
    <w:rPr>
      <w:sz w:val="20"/>
    </w:rPr>
  </w:style>
  <w:style w:type="paragraph" w:customStyle="1" w:styleId="MarginIcons">
    <w:name w:val="Margin Icons"/>
    <w:basedOn w:val="BodyText"/>
    <w:rsid w:val="00E023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23D7"/>
    <w:rPr>
      <w:rFonts w:ascii="Courier New" w:hAnsi="Courier New"/>
    </w:rPr>
  </w:style>
  <w:style w:type="paragraph" w:customStyle="1" w:styleId="NoteBullet">
    <w:name w:val="Note Bullet"/>
    <w:basedOn w:val="Note"/>
    <w:rsid w:val="00E023D7"/>
    <w:pPr>
      <w:tabs>
        <w:tab w:val="clear" w:pos="680"/>
      </w:tabs>
      <w:spacing w:before="60" w:after="60"/>
    </w:pPr>
  </w:style>
  <w:style w:type="paragraph" w:customStyle="1" w:styleId="SubHeading2">
    <w:name w:val="SubHeading2"/>
    <w:basedOn w:val="HeadingBase"/>
    <w:rsid w:val="00E023D7"/>
    <w:pPr>
      <w:spacing w:before="240" w:after="60"/>
    </w:pPr>
    <w:rPr>
      <w:sz w:val="20"/>
    </w:rPr>
  </w:style>
  <w:style w:type="paragraph" w:customStyle="1" w:styleId="SubHeading1">
    <w:name w:val="SubHeading1"/>
    <w:basedOn w:val="HeadingBase"/>
    <w:rsid w:val="00E023D7"/>
    <w:pPr>
      <w:spacing w:before="240" w:after="60"/>
    </w:pPr>
    <w:rPr>
      <w:color w:val="918585"/>
      <w:sz w:val="22"/>
    </w:rPr>
  </w:style>
  <w:style w:type="paragraph" w:customStyle="1" w:styleId="SideHeading">
    <w:name w:val="Side Heading"/>
    <w:basedOn w:val="HeadingBase"/>
    <w:rsid w:val="00E023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23D7"/>
    <w:pPr>
      <w:numPr>
        <w:numId w:val="12"/>
      </w:numPr>
    </w:pPr>
  </w:style>
  <w:style w:type="paragraph" w:styleId="PlainText">
    <w:name w:val="Plain Text"/>
    <w:basedOn w:val="Normal"/>
    <w:link w:val="PlainTextChar"/>
    <w:rsid w:val="00E023D7"/>
    <w:rPr>
      <w:sz w:val="20"/>
    </w:rPr>
  </w:style>
  <w:style w:type="character" w:customStyle="1" w:styleId="PlainTextChar">
    <w:name w:val="Plain Text Char"/>
    <w:basedOn w:val="DefaultParagraphFont"/>
    <w:link w:val="PlainText"/>
    <w:rsid w:val="00E023D7"/>
    <w:rPr>
      <w:rFonts w:ascii="Courier New" w:eastAsia="Times New Roman" w:hAnsi="Courier New" w:cs="Times New Roman"/>
      <w:sz w:val="20"/>
      <w:szCs w:val="20"/>
      <w:lang w:eastAsia="en-US"/>
    </w:rPr>
  </w:style>
  <w:style w:type="character" w:customStyle="1" w:styleId="MenuOption">
    <w:name w:val="Menu Option"/>
    <w:basedOn w:val="DefaultParagraphFont"/>
    <w:rsid w:val="00E023D7"/>
    <w:rPr>
      <w:b/>
      <w:smallCaps/>
    </w:rPr>
  </w:style>
  <w:style w:type="paragraph" w:customStyle="1" w:styleId="TableListNumber">
    <w:name w:val="Table List Number"/>
    <w:basedOn w:val="ListNumber"/>
    <w:rsid w:val="00E023D7"/>
    <w:pPr>
      <w:numPr>
        <w:numId w:val="0"/>
      </w:numPr>
    </w:pPr>
  </w:style>
  <w:style w:type="paragraph" w:styleId="TOC4">
    <w:name w:val="toc 4"/>
    <w:basedOn w:val="TOCBase"/>
    <w:next w:val="Normal"/>
    <w:semiHidden/>
    <w:rsid w:val="00E023D7"/>
    <w:pPr>
      <w:tabs>
        <w:tab w:val="right" w:leader="dot" w:pos="9071"/>
      </w:tabs>
      <w:ind w:left="1701"/>
    </w:pPr>
  </w:style>
  <w:style w:type="paragraph" w:customStyle="1" w:styleId="ListAlpha">
    <w:name w:val="List Alpha"/>
    <w:basedOn w:val="List"/>
    <w:rsid w:val="00E023D7"/>
    <w:pPr>
      <w:numPr>
        <w:numId w:val="9"/>
      </w:numPr>
    </w:pPr>
  </w:style>
  <w:style w:type="paragraph" w:customStyle="1" w:styleId="ListAlpha2">
    <w:name w:val="List Alpha 2"/>
    <w:basedOn w:val="List2"/>
    <w:rsid w:val="00E023D7"/>
    <w:pPr>
      <w:numPr>
        <w:numId w:val="8"/>
      </w:numPr>
    </w:pPr>
  </w:style>
  <w:style w:type="paragraph" w:styleId="List2">
    <w:name w:val="List 2"/>
    <w:basedOn w:val="BodyText"/>
    <w:rsid w:val="00E023D7"/>
    <w:pPr>
      <w:tabs>
        <w:tab w:val="left" w:pos="680"/>
      </w:tabs>
      <w:spacing w:before="60" w:after="60"/>
      <w:ind w:left="680" w:hanging="340"/>
    </w:pPr>
  </w:style>
  <w:style w:type="paragraph" w:styleId="List3">
    <w:name w:val="List 3"/>
    <w:basedOn w:val="BodyText"/>
    <w:rsid w:val="00E023D7"/>
    <w:pPr>
      <w:tabs>
        <w:tab w:val="left" w:pos="1021"/>
      </w:tabs>
      <w:spacing w:before="60" w:after="60"/>
      <w:ind w:left="1020" w:hanging="340"/>
    </w:pPr>
  </w:style>
  <w:style w:type="paragraph" w:styleId="List4">
    <w:name w:val="List 4"/>
    <w:basedOn w:val="BodyText"/>
    <w:rsid w:val="00E023D7"/>
    <w:pPr>
      <w:tabs>
        <w:tab w:val="left" w:pos="1361"/>
      </w:tabs>
      <w:spacing w:before="60" w:after="60"/>
      <w:ind w:left="1361" w:hanging="340"/>
    </w:pPr>
  </w:style>
  <w:style w:type="paragraph" w:styleId="List5">
    <w:name w:val="List 5"/>
    <w:basedOn w:val="BodyText"/>
    <w:rsid w:val="00E023D7"/>
    <w:pPr>
      <w:tabs>
        <w:tab w:val="left" w:pos="1701"/>
      </w:tabs>
      <w:spacing w:before="60" w:after="60"/>
      <w:ind w:left="1701" w:hanging="340"/>
    </w:pPr>
  </w:style>
  <w:style w:type="paragraph" w:styleId="ListBullet3">
    <w:name w:val="List Bullet 3"/>
    <w:basedOn w:val="List3"/>
    <w:rsid w:val="00E023D7"/>
    <w:pPr>
      <w:numPr>
        <w:numId w:val="15"/>
      </w:numPr>
      <w:tabs>
        <w:tab w:val="clear" w:pos="1021"/>
      </w:tabs>
      <w:ind w:left="1037" w:hanging="357"/>
    </w:pPr>
  </w:style>
  <w:style w:type="paragraph" w:styleId="ListBullet4">
    <w:name w:val="List Bullet 4"/>
    <w:basedOn w:val="List4"/>
    <w:rsid w:val="00E023D7"/>
    <w:pPr>
      <w:numPr>
        <w:numId w:val="3"/>
      </w:numPr>
    </w:pPr>
  </w:style>
  <w:style w:type="paragraph" w:styleId="ListBullet5">
    <w:name w:val="List Bullet 5"/>
    <w:basedOn w:val="List5"/>
    <w:rsid w:val="00E023D7"/>
    <w:pPr>
      <w:numPr>
        <w:numId w:val="4"/>
      </w:numPr>
    </w:pPr>
  </w:style>
  <w:style w:type="paragraph" w:styleId="ListContinue2">
    <w:name w:val="List Continue 2"/>
    <w:basedOn w:val="List2"/>
    <w:rsid w:val="00E023D7"/>
    <w:pPr>
      <w:ind w:firstLine="0"/>
    </w:pPr>
  </w:style>
  <w:style w:type="paragraph" w:styleId="ListContinue3">
    <w:name w:val="List Continue 3"/>
    <w:basedOn w:val="List3"/>
    <w:rsid w:val="00E023D7"/>
    <w:pPr>
      <w:ind w:left="1021" w:firstLine="0"/>
    </w:pPr>
  </w:style>
  <w:style w:type="paragraph" w:styleId="ListContinue4">
    <w:name w:val="List Continue 4"/>
    <w:basedOn w:val="List4"/>
    <w:rsid w:val="00E023D7"/>
    <w:pPr>
      <w:ind w:firstLine="0"/>
    </w:pPr>
  </w:style>
  <w:style w:type="paragraph" w:styleId="ListContinue5">
    <w:name w:val="List Continue 5"/>
    <w:basedOn w:val="List5"/>
    <w:rsid w:val="00E023D7"/>
    <w:pPr>
      <w:ind w:firstLine="0"/>
    </w:pPr>
  </w:style>
  <w:style w:type="paragraph" w:styleId="ListNumber3">
    <w:name w:val="List Number 3"/>
    <w:basedOn w:val="List3"/>
    <w:rsid w:val="00E023D7"/>
    <w:pPr>
      <w:numPr>
        <w:numId w:val="5"/>
      </w:numPr>
    </w:pPr>
  </w:style>
  <w:style w:type="paragraph" w:styleId="ListNumber4">
    <w:name w:val="List Number 4"/>
    <w:basedOn w:val="List4"/>
    <w:rsid w:val="00E023D7"/>
    <w:pPr>
      <w:numPr>
        <w:numId w:val="6"/>
      </w:numPr>
    </w:pPr>
  </w:style>
  <w:style w:type="paragraph" w:styleId="ListNumber5">
    <w:name w:val="List Number 5"/>
    <w:basedOn w:val="List5"/>
    <w:rsid w:val="00E023D7"/>
    <w:pPr>
      <w:numPr>
        <w:numId w:val="7"/>
      </w:numPr>
    </w:pPr>
  </w:style>
  <w:style w:type="paragraph" w:styleId="BlockText">
    <w:name w:val="Block Text"/>
    <w:basedOn w:val="Normal"/>
    <w:rsid w:val="00E023D7"/>
    <w:pPr>
      <w:spacing w:after="120"/>
      <w:ind w:left="1440" w:right="1440"/>
    </w:pPr>
  </w:style>
  <w:style w:type="character" w:customStyle="1" w:styleId="Subscript">
    <w:name w:val="Subscript"/>
    <w:basedOn w:val="DefaultParagraphFont"/>
    <w:rsid w:val="00E023D7"/>
    <w:rPr>
      <w:sz w:val="16"/>
      <w:vertAlign w:val="subscript"/>
    </w:rPr>
  </w:style>
  <w:style w:type="character" w:customStyle="1" w:styleId="Superscript">
    <w:name w:val="Superscript"/>
    <w:basedOn w:val="DefaultParagraphFont"/>
    <w:rsid w:val="00E023D7"/>
    <w:rPr>
      <w:sz w:val="16"/>
      <w:vertAlign w:val="superscript"/>
    </w:rPr>
  </w:style>
  <w:style w:type="character" w:customStyle="1" w:styleId="Symbols">
    <w:name w:val="Symbols"/>
    <w:basedOn w:val="DefaultParagraphFont"/>
    <w:rsid w:val="00E023D7"/>
    <w:rPr>
      <w:rFonts w:ascii="Symbol" w:hAnsi="Symbol"/>
    </w:rPr>
  </w:style>
  <w:style w:type="character" w:customStyle="1" w:styleId="MenuOptions">
    <w:name w:val="Menu Options"/>
    <w:basedOn w:val="DefaultParagraphFont"/>
    <w:rsid w:val="00E023D7"/>
    <w:rPr>
      <w:rFonts w:ascii="Arial Narrow" w:hAnsi="Arial Narrow"/>
      <w:smallCaps/>
    </w:rPr>
  </w:style>
  <w:style w:type="character" w:customStyle="1" w:styleId="Buttons">
    <w:name w:val="Buttons"/>
    <w:basedOn w:val="DefaultParagraphFont"/>
    <w:rsid w:val="00E023D7"/>
    <w:rPr>
      <w:b/>
    </w:rPr>
  </w:style>
  <w:style w:type="character" w:customStyle="1" w:styleId="Underlined">
    <w:name w:val="Underlined"/>
    <w:basedOn w:val="DefaultParagraphFont"/>
    <w:rsid w:val="00E023D7"/>
    <w:rPr>
      <w:u w:val="single"/>
    </w:rPr>
  </w:style>
  <w:style w:type="paragraph" w:customStyle="1" w:styleId="TableBodyTextRight">
    <w:name w:val="Table Body Text Right"/>
    <w:basedOn w:val="TableBodyText"/>
    <w:rsid w:val="00E023D7"/>
    <w:pPr>
      <w:widowControl w:val="0"/>
      <w:autoSpaceDE w:val="0"/>
      <w:autoSpaceDN w:val="0"/>
      <w:adjustRightInd w:val="0"/>
      <w:jc w:val="right"/>
    </w:pPr>
    <w:rPr>
      <w:rFonts w:cs="Arial"/>
      <w:szCs w:val="18"/>
    </w:rPr>
  </w:style>
  <w:style w:type="paragraph" w:customStyle="1" w:styleId="CopyrightText">
    <w:name w:val="Copyright Text"/>
    <w:basedOn w:val="BodyText"/>
    <w:rsid w:val="00E023D7"/>
    <w:rPr>
      <w:sz w:val="18"/>
    </w:rPr>
  </w:style>
  <w:style w:type="paragraph" w:customStyle="1" w:styleId="BodySmallRight">
    <w:name w:val="Body Small Right"/>
    <w:basedOn w:val="BodyTextRight"/>
    <w:rsid w:val="00E023D7"/>
    <w:rPr>
      <w:sz w:val="18"/>
      <w:szCs w:val="18"/>
    </w:rPr>
  </w:style>
  <w:style w:type="paragraph" w:customStyle="1" w:styleId="MarginEdition">
    <w:name w:val="Margin Edition"/>
    <w:basedOn w:val="MarginNote"/>
    <w:rsid w:val="00E023D7"/>
    <w:pPr>
      <w:spacing w:before="0" w:after="0"/>
    </w:pPr>
    <w:rPr>
      <w:rFonts w:ascii="Times New Roman" w:hAnsi="Times New Roman"/>
      <w:color w:val="999999"/>
    </w:rPr>
  </w:style>
  <w:style w:type="paragraph" w:customStyle="1" w:styleId="Spacer">
    <w:name w:val="Spacer"/>
    <w:basedOn w:val="Normal"/>
    <w:rsid w:val="00E023D7"/>
    <w:rPr>
      <w:sz w:val="2"/>
      <w:szCs w:val="2"/>
    </w:rPr>
  </w:style>
  <w:style w:type="character" w:customStyle="1" w:styleId="Small">
    <w:name w:val="Small"/>
    <w:basedOn w:val="DefaultParagraphFont"/>
    <w:rsid w:val="00E023D7"/>
    <w:rPr>
      <w:sz w:val="16"/>
    </w:rPr>
  </w:style>
  <w:style w:type="paragraph" w:customStyle="1" w:styleId="WideTable">
    <w:name w:val="Wide Table"/>
    <w:basedOn w:val="Normal"/>
    <w:rsid w:val="00E023D7"/>
    <w:pPr>
      <w:ind w:left="-1418"/>
    </w:pPr>
    <w:rPr>
      <w:sz w:val="2"/>
      <w:szCs w:val="2"/>
    </w:rPr>
  </w:style>
  <w:style w:type="character" w:styleId="PageNumber">
    <w:name w:val="page number"/>
    <w:basedOn w:val="DefaultParagraphFont"/>
    <w:rsid w:val="00E023D7"/>
  </w:style>
  <w:style w:type="paragraph" w:styleId="Quote">
    <w:name w:val="Quote"/>
    <w:basedOn w:val="Heading1"/>
    <w:link w:val="QuoteChar"/>
    <w:qFormat/>
    <w:rsid w:val="00E023D7"/>
    <w:rPr>
      <w:b w:val="0"/>
      <w:sz w:val="72"/>
      <w:szCs w:val="72"/>
      <w:lang w:val="en-NZ"/>
    </w:rPr>
  </w:style>
  <w:style w:type="character" w:customStyle="1" w:styleId="QuoteChar">
    <w:name w:val="Quote Char"/>
    <w:basedOn w:val="DefaultParagraphFont"/>
    <w:link w:val="Quote"/>
    <w:rsid w:val="00E023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23D7"/>
    <w:pPr>
      <w:pageBreakBefore/>
    </w:pPr>
  </w:style>
  <w:style w:type="paragraph" w:customStyle="1" w:styleId="Border">
    <w:name w:val="Border"/>
    <w:basedOn w:val="Normal"/>
    <w:qFormat/>
    <w:rsid w:val="00E023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23D7"/>
    <w:rPr>
      <w:b/>
      <w:bCs/>
      <w:i/>
      <w:iCs/>
      <w:color w:val="auto"/>
    </w:rPr>
  </w:style>
  <w:style w:type="paragraph" w:styleId="IntenseQuote">
    <w:name w:val="Intense Quote"/>
    <w:basedOn w:val="Normal"/>
    <w:next w:val="Normal"/>
    <w:link w:val="IntenseQuoteChar"/>
    <w:uiPriority w:val="30"/>
    <w:qFormat/>
    <w:rsid w:val="00E023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23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23D7"/>
    <w:rPr>
      <w:smallCaps/>
      <w:color w:val="auto"/>
      <w:u w:val="single"/>
    </w:rPr>
  </w:style>
  <w:style w:type="character" w:styleId="IntenseReference">
    <w:name w:val="Intense Reference"/>
    <w:basedOn w:val="DefaultParagraphFont"/>
    <w:uiPriority w:val="32"/>
    <w:qFormat/>
    <w:rsid w:val="00E023D7"/>
    <w:rPr>
      <w:b/>
      <w:bCs/>
      <w:smallCaps/>
      <w:color w:val="auto"/>
      <w:spacing w:val="5"/>
      <w:u w:val="single"/>
    </w:rPr>
  </w:style>
  <w:style w:type="paragraph" w:customStyle="1" w:styleId="2ColumnHeading">
    <w:name w:val="2Column Heading"/>
    <w:basedOn w:val="BodyText"/>
    <w:qFormat/>
    <w:rsid w:val="00E023D7"/>
    <w:pPr>
      <w:spacing w:after="60"/>
      <w:ind w:left="-2268"/>
    </w:pPr>
    <w:rPr>
      <w:b/>
    </w:rPr>
  </w:style>
  <w:style w:type="paragraph" w:customStyle="1" w:styleId="Heading1TOC">
    <w:name w:val="Heading1 TOC"/>
    <w:basedOn w:val="Normal"/>
    <w:qFormat/>
    <w:rsid w:val="00E023D7"/>
    <w:pPr>
      <w:spacing w:before="240" w:after="120"/>
    </w:pPr>
    <w:rPr>
      <w:rFonts w:ascii="Times New Roman" w:hAnsi="Times New Roman"/>
      <w:b/>
      <w:sz w:val="32"/>
    </w:rPr>
  </w:style>
  <w:style w:type="paragraph" w:customStyle="1" w:styleId="Heading2TOC">
    <w:name w:val="Heading2 TOC"/>
    <w:basedOn w:val="Normal"/>
    <w:qFormat/>
    <w:rsid w:val="00E023D7"/>
    <w:pPr>
      <w:spacing w:before="240" w:after="60"/>
    </w:pPr>
    <w:rPr>
      <w:rFonts w:ascii="Times New Roman" w:hAnsi="Times New Roman"/>
      <w:b/>
      <w:sz w:val="28"/>
    </w:rPr>
  </w:style>
  <w:style w:type="character" w:customStyle="1" w:styleId="Underline">
    <w:name w:val="Underline"/>
    <w:basedOn w:val="DefaultParagraphFont"/>
    <w:qFormat/>
    <w:rsid w:val="00E023D7"/>
    <w:rPr>
      <w:u w:val="single"/>
    </w:rPr>
  </w:style>
  <w:style w:type="paragraph" w:styleId="BalloonText">
    <w:name w:val="Balloon Text"/>
    <w:basedOn w:val="Normal"/>
    <w:link w:val="BalloonTextChar"/>
    <w:rsid w:val="00E023D7"/>
    <w:rPr>
      <w:rFonts w:ascii="Tahoma" w:hAnsi="Tahoma" w:cs="Tahoma"/>
      <w:sz w:val="16"/>
      <w:szCs w:val="16"/>
    </w:rPr>
  </w:style>
  <w:style w:type="character" w:customStyle="1" w:styleId="BalloonTextChar">
    <w:name w:val="Balloon Text Char"/>
    <w:basedOn w:val="DefaultParagraphFont"/>
    <w:link w:val="BalloonText"/>
    <w:rsid w:val="00E023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23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23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23D7"/>
    <w:rPr>
      <w:b/>
      <w:color w:val="660033"/>
      <w:spacing w:val="0"/>
    </w:rPr>
  </w:style>
  <w:style w:type="paragraph" w:customStyle="1" w:styleId="Nameditemlist">
    <w:name w:val="Named item list"/>
    <w:basedOn w:val="BodyText"/>
    <w:qFormat/>
    <w:rsid w:val="00E023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1795</Words>
  <Characters>11497</Characters>
  <Application>Microsoft Office Word</Application>
  <DocSecurity>0</DocSecurity>
  <Lines>348</Lines>
  <Paragraphs>178</Paragraphs>
  <ScaleCrop>false</ScaleCrop>
  <Company>Author-it Software Corporation Ltd.</Company>
  <LinksUpToDate>false</LinksUpToDate>
  <CharactersWithSpaces>13218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CPPACC5005A Interpret and apply building control legislation when assessing large-scale buildings for access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2012-10-05T17:01:00Z</dcterms:created>
  <dcterms:modified xsi:type="dcterms:W3CDTF">2012-10-05T17:01:00Z</dcterms:modified>
</cp:coreProperties>
</file>