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6054" w:rsidP="00A06054">
      <w:pPr>
        <w:pStyle w:val="Title"/>
      </w:pPr>
      <w:r>
        <w:fldChar w:fldCharType="begin"/>
      </w:r>
      <w:r>
        <w:instrText xml:space="preserve"> TITLE   \* MERGEFORMAT </w:instrText>
      </w:r>
      <w:r>
        <w:fldChar w:fldCharType="separate"/>
      </w:r>
      <w:r>
        <w:t>CPPACC5002A Inspect access compliance during the building process</w:t>
      </w:r>
      <w:r>
        <w:fldChar w:fldCharType="end"/>
      </w:r>
    </w:p>
    <w:p w:rsidR="00A06054" w:rsidP="00A06054">
      <w:pPr>
        <w:pStyle w:val="Version"/>
        <w:sectPr w:rsidSect="003A7C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7C1F" w:rsidP="003A7C1F">
      <w:pPr>
        <w:pStyle w:val="SuperHeading"/>
      </w:pPr>
      <w:r w:rsidRPr="003A7C1F">
        <w:t>CPPACC5002A Inspect access compliance during the building process</w:t>
      </w:r>
    </w:p>
    <w:p w:rsidR="00000000" w:rsidRPr="003A7C1F" w:rsidP="003A7C1F">
      <w:pPr>
        <w:pStyle w:val="Heading1"/>
      </w:pPr>
      <w:bookmarkStart w:id="1" w:name="O_269980"/>
      <w:bookmarkEnd w:id="1"/>
      <w:r w:rsidRPr="003A7C1F">
        <w:t>Modification History</w:t>
      </w:r>
    </w:p>
    <w:p w:rsidR="00000000" w:rsidRPr="003A7C1F" w:rsidP="003A7C1F">
      <w:pPr>
        <w:pStyle w:val="BodyText"/>
      </w:pPr>
      <w:r w:rsidRPr="003A7C1F">
        <w:t>Not Applicable</w:t>
      </w:r>
    </w:p>
    <w:p w:rsidR="00000000" w:rsidRPr="003A7C1F" w:rsidP="003A7C1F">
      <w:pPr>
        <w:pStyle w:val="AllowPageBreak"/>
      </w:pPr>
    </w:p>
    <w:p w:rsidR="00000000" w:rsidRPr="003A7C1F" w:rsidP="003A7C1F">
      <w:pPr>
        <w:pStyle w:val="Heading1"/>
      </w:pPr>
      <w:bookmarkStart w:id="2" w:name="O_200566"/>
      <w:bookmarkEnd w:id="2"/>
      <w:r w:rsidRPr="003A7C1F">
        <w:t>Unit Descriptor</w:t>
      </w:r>
    </w:p>
    <w:p w:rsidR="00000000" w:rsidRPr="003A7C1F" w:rsidP="003A7C1F">
      <w:pPr>
        <w:pStyle w:val="BodyText"/>
      </w:pPr>
      <w:r w:rsidRPr="003A7C1F">
        <w:rPr>
          <w:rStyle w:val="SpecialBold"/>
        </w:rPr>
        <w:t>Unit descriptor</w:t>
      </w:r>
    </w:p>
    <w:p w:rsidR="00A06054" w:rsidP="003A7C1F">
      <w:pPr>
        <w:pStyle w:val="BodyText"/>
      </w:pPr>
      <w:r w:rsidRPr="003A7C1F">
        <w:t>This unit specifies the competency required to conduct inspections of building work d</w:t>
      </w:r>
      <w:r w:rsidRPr="003A7C1F">
        <w:t>uring the building process for compliance with building access legislation. It includes the progressive inspection of building work, and the preparation of reports detailing compliance with legislative requirements and non-compliant building work and servi</w:t>
      </w:r>
      <w:r w:rsidRPr="003A7C1F">
        <w:t>ces.</w:t>
      </w:r>
    </w:p>
    <w:p w:rsidR="00A06054" w:rsidP="003A7C1F">
      <w:pPr>
        <w:pStyle w:val="BodyText"/>
      </w:pPr>
    </w:p>
    <w:p w:rsidR="00000000" w:rsidRPr="003A7C1F" w:rsidP="003A7C1F">
      <w:pPr>
        <w:pStyle w:val="Heading1"/>
      </w:pPr>
      <w:bookmarkStart w:id="3" w:name="O_200568"/>
      <w:bookmarkEnd w:id="3"/>
      <w:r w:rsidRPr="003A7C1F">
        <w:t>Application of the Unit</w:t>
      </w:r>
    </w:p>
    <w:p w:rsidR="00000000" w:rsidRPr="003A7C1F" w:rsidP="003A7C1F">
      <w:pPr>
        <w:pStyle w:val="BodyText"/>
      </w:pPr>
      <w:r w:rsidRPr="003A7C1F">
        <w:rPr>
          <w:rStyle w:val="SpecialBold"/>
        </w:rPr>
        <w:t>Application of the unit</w:t>
      </w:r>
    </w:p>
    <w:p w:rsidR="00A06054" w:rsidP="003A7C1F">
      <w:pPr>
        <w:pStyle w:val="BodyText"/>
      </w:pPr>
      <w:r w:rsidRPr="003A7C1F">
        <w:t>This unit of competency supports a number of access consulting services where there is a breadth, depth and complexity of tasks and often the require</w:t>
      </w:r>
      <w:r w:rsidRPr="003A7C1F">
        <w:t>ment to make decisions and provide recommendations involving non-routine situations. These access consulting services include conducting building access audits, assessing building plans, providing advice on building renovations and serving on a Building Co</w:t>
      </w:r>
      <w:r w:rsidRPr="003A7C1F">
        <w:t>de of Australia (BCA) Access Panel.</w:t>
      </w:r>
    </w:p>
    <w:p w:rsidR="00A06054" w:rsidP="003A7C1F">
      <w:pPr>
        <w:pStyle w:val="BodyText"/>
      </w:pPr>
    </w:p>
    <w:p w:rsidR="00000000" w:rsidRPr="003A7C1F" w:rsidP="003A7C1F">
      <w:pPr>
        <w:pStyle w:val="Heading1"/>
      </w:pPr>
      <w:bookmarkStart w:id="4" w:name="O_278240"/>
      <w:bookmarkEnd w:id="4"/>
      <w:r w:rsidRPr="003A7C1F">
        <w:t>Licensing/Regulatory Information</w:t>
      </w:r>
    </w:p>
    <w:p w:rsidR="00000000" w:rsidRPr="003A7C1F" w:rsidP="003A7C1F">
      <w:pPr>
        <w:pStyle w:val="BodyText"/>
      </w:pPr>
      <w:r w:rsidRPr="003A7C1F">
        <w:t>Not Applicable</w:t>
      </w:r>
    </w:p>
    <w:p w:rsidR="00000000" w:rsidRPr="003A7C1F" w:rsidP="003A7C1F">
      <w:pPr>
        <w:pStyle w:val="AllowPageBreak"/>
      </w:pPr>
    </w:p>
    <w:p w:rsidR="00000000" w:rsidRPr="003A7C1F" w:rsidP="003A7C1F">
      <w:pPr>
        <w:pStyle w:val="Heading1"/>
      </w:pPr>
      <w:bookmarkStart w:id="5" w:name="O_283514"/>
      <w:bookmarkEnd w:id="5"/>
      <w:r w:rsidRPr="003A7C1F">
        <w:t>Pre-Requisites</w:t>
      </w:r>
    </w:p>
    <w:p w:rsidR="00000000" w:rsidRPr="003A7C1F" w:rsidP="003A7C1F">
      <w:pPr>
        <w:pStyle w:val="BodyText"/>
      </w:pPr>
      <w:r w:rsidRPr="003A7C1F">
        <w:t>Not Applicable</w:t>
      </w:r>
    </w:p>
    <w:p w:rsidR="00000000" w:rsidRPr="003A7C1F" w:rsidP="003A7C1F">
      <w:pPr>
        <w:pStyle w:val="AllowPageBreak"/>
      </w:pPr>
    </w:p>
    <w:p w:rsidR="00000000" w:rsidRPr="003A7C1F" w:rsidP="003A7C1F">
      <w:pPr>
        <w:pStyle w:val="Heading1"/>
      </w:pPr>
      <w:bookmarkStart w:id="6" w:name="O_200567"/>
      <w:bookmarkEnd w:id="6"/>
      <w:r w:rsidRPr="003A7C1F">
        <w:t>Employability Skills Information</w:t>
      </w:r>
    </w:p>
    <w:p w:rsidR="00000000" w:rsidRPr="003A7C1F" w:rsidP="003A7C1F">
      <w:pPr>
        <w:pStyle w:val="BodyText"/>
      </w:pPr>
      <w:r w:rsidRPr="003A7C1F">
        <w:rPr>
          <w:rStyle w:val="SpecialBold"/>
        </w:rPr>
        <w:t>Employability skills</w:t>
      </w:r>
    </w:p>
    <w:p w:rsidR="00A06054" w:rsidP="003A7C1F">
      <w:pPr>
        <w:pStyle w:val="BodyText"/>
      </w:pPr>
      <w:r w:rsidRPr="003A7C1F">
        <w:t>This unit contains employability skills.</w:t>
      </w:r>
    </w:p>
    <w:p w:rsidR="00A06054" w:rsidP="003A7C1F">
      <w:pPr>
        <w:pStyle w:val="BodyText"/>
      </w:pPr>
    </w:p>
    <w:p w:rsidR="00000000" w:rsidRPr="003A7C1F" w:rsidP="003A7C1F">
      <w:pPr>
        <w:pStyle w:val="Heading1"/>
      </w:pPr>
      <w:bookmarkStart w:id="7" w:name="O_288026"/>
      <w:bookmarkEnd w:id="7"/>
      <w:r w:rsidRPr="003A7C1F">
        <w:t>Elements and Performance Criteria Pre-Content</w:t>
      </w:r>
    </w:p>
    <w:tbl>
      <w:tblPr>
        <w:tblW w:w="0" w:type="auto"/>
        <w:tblLayout w:type="fixed"/>
        <w:tblCellMar>
          <w:left w:w="62" w:type="dxa"/>
          <w:right w:w="62" w:type="dxa"/>
        </w:tblCellMar>
        <w:tblLook w:val="0000"/>
      </w:tblPr>
      <w:tblGrid>
        <w:gridCol w:w="2991"/>
        <w:gridCol w:w="5507"/>
      </w:tblGrid>
      <w:tr w:rsidTr="00A06054">
        <w:tblPrEx>
          <w:tblW w:w="0" w:type="auto"/>
          <w:tblLayout w:type="fixed"/>
          <w:tblCellMar>
            <w:left w:w="62" w:type="dxa"/>
            <w:right w:w="62" w:type="dxa"/>
          </w:tblCellMar>
          <w:tblLook w:val="0000"/>
        </w:tblPrEx>
        <w:tc>
          <w:tcPr>
            <w:tcW w:w="2991" w:type="dxa"/>
            <w:tcBorders>
              <w:top w:val="nil"/>
              <w:left w:val="nil"/>
              <w:bottom w:val="nil"/>
              <w:right w:val="nil"/>
            </w:tcBorders>
            <w:tcMar>
              <w:top w:w="0" w:type="dxa"/>
              <w:left w:w="62" w:type="dxa"/>
              <w:bottom w:w="0" w:type="dxa"/>
              <w:right w:w="62" w:type="dxa"/>
            </w:tcMar>
          </w:tcPr>
          <w:p w:rsidR="00000000" w:rsidP="003A7C1F">
            <w:pPr>
              <w:pStyle w:val="BodyText"/>
              <w:rPr>
                <w:lang w:val="en-NZ"/>
              </w:rPr>
            </w:pPr>
            <w:r w:rsidRPr="003A7C1F">
              <w:t>Elements describe the essential outcomes of a unit of competency.</w:t>
            </w:r>
          </w:p>
        </w:tc>
        <w:tc>
          <w:tcPr>
            <w:tcW w:w="5507" w:type="dxa"/>
            <w:tcBorders>
              <w:top w:val="nil"/>
              <w:left w:val="nil"/>
              <w:bottom w:val="nil"/>
              <w:right w:val="nil"/>
            </w:tcBorders>
            <w:tcMar>
              <w:top w:w="0" w:type="dxa"/>
              <w:left w:w="62" w:type="dxa"/>
              <w:bottom w:w="0" w:type="dxa"/>
              <w:right w:w="62" w:type="dxa"/>
            </w:tcMar>
          </w:tcPr>
          <w:p w:rsidR="00000000" w:rsidRPr="003A7C1F" w:rsidP="003A7C1F">
            <w:pPr>
              <w:pStyle w:val="BodyText"/>
            </w:pPr>
            <w:r w:rsidRPr="003A7C1F">
              <w:t>Performance criteria describe the required performance needed to demonstrate achieve</w:t>
            </w:r>
            <w:r w:rsidRPr="003A7C1F">
              <w:t>ment of the element. Where bold italicised text is used, further information is detailed in the required skills and knowledge and/or the range statement. Assessment of performance is to be consistent with the evidence guide.</w:t>
            </w:r>
          </w:p>
        </w:tc>
      </w:tr>
    </w:tbl>
    <w:p w:rsidR="00000000" w:rsidRPr="003A7C1F" w:rsidP="003A7C1F">
      <w:pPr>
        <w:pStyle w:val="BodyText"/>
      </w:pPr>
    </w:p>
    <w:p w:rsidR="00000000" w:rsidRPr="003A7C1F" w:rsidP="003A7C1F">
      <w:pPr>
        <w:pStyle w:val="AllowPageBreak"/>
      </w:pPr>
    </w:p>
    <w:p w:rsidR="00000000" w:rsidRPr="003A7C1F" w:rsidP="003A7C1F">
      <w:pPr>
        <w:pStyle w:val="Heading1"/>
      </w:pPr>
      <w:bookmarkStart w:id="8" w:name="O_234693"/>
      <w:bookmarkEnd w:id="8"/>
      <w:r w:rsidRPr="003A7C1F">
        <w:t>Elements and Performance Criteria</w:t>
      </w:r>
    </w:p>
    <w:tbl>
      <w:tblPr>
        <w:tblW w:w="0" w:type="auto"/>
        <w:tblLayout w:type="fixed"/>
        <w:tblCellMar>
          <w:left w:w="62" w:type="dxa"/>
          <w:right w:w="62" w:type="dxa"/>
        </w:tblCellMar>
        <w:tblLook w:val="0000"/>
      </w:tblPr>
      <w:tblGrid>
        <w:gridCol w:w="2991"/>
        <w:gridCol w:w="17"/>
        <w:gridCol w:w="5490"/>
        <w:gridCol w:w="24"/>
      </w:tblGrid>
      <w:tr w:rsidTr="00A06054">
        <w:tblPrEx>
          <w:tblW w:w="0" w:type="auto"/>
          <w:tblLayout w:type="fixed"/>
          <w:tblCellMar>
            <w:left w:w="62" w:type="dxa"/>
            <w:right w:w="62" w:type="dxa"/>
          </w:tblCellMar>
          <w:tblLook w:val="0000"/>
        </w:tblPrEx>
        <w:trPr>
          <w:tblHeader/>
        </w:trPr>
        <w:tc>
          <w:tcPr>
            <w:tcW w:w="3008" w:type="dxa"/>
            <w:gridSpan w:val="2"/>
            <w:tcBorders>
              <w:top w:val="nil"/>
              <w:left w:val="nil"/>
              <w:bottom w:val="nil"/>
              <w:right w:val="nil"/>
            </w:tcBorders>
            <w:tcMar>
              <w:top w:w="0" w:type="dxa"/>
              <w:left w:w="62" w:type="dxa"/>
              <w:bottom w:w="0" w:type="dxa"/>
              <w:right w:w="62" w:type="dxa"/>
            </w:tcMar>
          </w:tcPr>
          <w:p w:rsidR="00000000" w:rsidRPr="003A7C1F" w:rsidP="003A7C1F">
            <w:pPr>
              <w:pStyle w:val="List"/>
            </w:pPr>
            <w:r w:rsidRPr="003A7C1F">
              <w:rPr>
                <w:rStyle w:val="SpecialBold"/>
              </w:rPr>
              <w:t>ELEMENT</w:t>
            </w:r>
          </w:p>
        </w:tc>
        <w:tc>
          <w:tcPr>
            <w:tcW w:w="5514" w:type="dxa"/>
            <w:gridSpan w:val="2"/>
            <w:tcBorders>
              <w:top w:val="nil"/>
              <w:left w:val="nil"/>
              <w:bottom w:val="nil"/>
              <w:right w:val="nil"/>
            </w:tcBorders>
            <w:tcMar>
              <w:top w:w="0" w:type="dxa"/>
              <w:left w:w="62" w:type="dxa"/>
              <w:bottom w:w="0" w:type="dxa"/>
              <w:right w:w="62" w:type="dxa"/>
            </w:tcMar>
          </w:tcPr>
          <w:p w:rsidR="00000000" w:rsidP="003A7C1F">
            <w:pPr>
              <w:pStyle w:val="List"/>
              <w:rPr>
                <w:lang w:val="en-NZ"/>
              </w:rPr>
            </w:pPr>
            <w:r w:rsidRPr="003A7C1F">
              <w:rPr>
                <w:rStyle w:val="SpecialBold"/>
              </w:rPr>
              <w:t>PERFORMANCE CRITERIA</w:t>
            </w:r>
          </w:p>
        </w:tc>
      </w:tr>
      <w:tr w:rsidTr="00A06054">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3A7C1F">
            <w:pPr>
              <w:pStyle w:val="List"/>
              <w:rPr>
                <w:lang w:val="en-NZ"/>
              </w:rPr>
            </w:pPr>
            <w:r w:rsidRPr="003A7C1F">
              <w:rPr>
                <w:rStyle w:val="SpecialBold"/>
              </w:rPr>
              <w:t>1</w:t>
            </w:r>
            <w:r w:rsidRPr="003A7C1F">
              <w:tab/>
            </w:r>
            <w:r w:rsidRPr="003A7C1F">
              <w:rPr>
                <w:rStyle w:val="SpecialBold"/>
              </w:rPr>
              <w:t>Carry out inspections of building work and building services at various stages during the building process</w:t>
            </w:r>
            <w:r w:rsidRPr="003A7C1F">
              <w:t>.</w:t>
            </w:r>
          </w:p>
        </w:tc>
        <w:tc>
          <w:tcPr>
            <w:tcW w:w="5507" w:type="dxa"/>
            <w:gridSpan w:val="2"/>
            <w:tcBorders>
              <w:top w:val="nil"/>
              <w:left w:val="nil"/>
              <w:bottom w:val="nil"/>
              <w:right w:val="nil"/>
            </w:tcBorders>
            <w:tcMar>
              <w:top w:w="0" w:type="dxa"/>
              <w:left w:w="62" w:type="dxa"/>
              <w:bottom w:w="0" w:type="dxa"/>
              <w:right w:w="62" w:type="dxa"/>
            </w:tcMar>
          </w:tcPr>
          <w:p w:rsidR="00000000" w:rsidRPr="003A7C1F" w:rsidP="003A7C1F">
            <w:pPr>
              <w:pStyle w:val="List"/>
            </w:pPr>
            <w:r w:rsidRPr="003A7C1F">
              <w:t>1.1</w:t>
            </w:r>
            <w:r w:rsidRPr="003A7C1F">
              <w:tab/>
              <w:t>Building work is inspected during construction and checked for compliance with</w:t>
            </w:r>
            <w:r w:rsidRPr="003A7C1F">
              <w:t xml:space="preserve"> legislative requirements for access.</w:t>
            </w:r>
          </w:p>
          <w:p w:rsidR="00000000" w:rsidRPr="003A7C1F" w:rsidP="003A7C1F">
            <w:pPr>
              <w:pStyle w:val="List"/>
            </w:pPr>
            <w:r w:rsidRPr="003A7C1F">
              <w:t>1.2</w:t>
            </w:r>
            <w:r w:rsidRPr="003A7C1F">
              <w:tab/>
              <w:t>Building services are inspected against relevant legislative requirements and the provision of access is documented.</w:t>
            </w:r>
          </w:p>
          <w:p w:rsidR="00000000" w:rsidP="003A7C1F">
            <w:pPr>
              <w:pStyle w:val="List"/>
              <w:rPr>
                <w:lang w:val="en-NZ"/>
              </w:rPr>
            </w:pPr>
            <w:r w:rsidRPr="003A7C1F">
              <w:t>1.3</w:t>
            </w:r>
            <w:r w:rsidRPr="003A7C1F">
              <w:tab/>
              <w:t>Inspection results are assessed and the findings processed promptly within contractual arrang</w:t>
            </w:r>
            <w:r w:rsidRPr="003A7C1F">
              <w:t>ements.</w:t>
            </w:r>
          </w:p>
        </w:tc>
      </w:tr>
      <w:tr w:rsidTr="00A06054">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3A7C1F">
            <w:pPr>
              <w:pStyle w:val="List"/>
              <w:rPr>
                <w:lang w:val="en-NZ"/>
              </w:rPr>
            </w:pPr>
            <w:r w:rsidRPr="003A7C1F">
              <w:rPr>
                <w:rStyle w:val="SpecialBold"/>
              </w:rPr>
              <w:t>2</w:t>
            </w:r>
            <w:r w:rsidRPr="003A7C1F">
              <w:tab/>
            </w:r>
            <w:r w:rsidRPr="003A7C1F">
              <w:rPr>
                <w:rStyle w:val="SpecialBold"/>
              </w:rPr>
              <w:t>Determine the compliance of building work and building services with respect to legislation</w:t>
            </w:r>
            <w:r w:rsidRPr="003A7C1F">
              <w:t>.</w:t>
            </w:r>
          </w:p>
        </w:tc>
        <w:tc>
          <w:tcPr>
            <w:tcW w:w="5507" w:type="dxa"/>
            <w:gridSpan w:val="2"/>
            <w:tcBorders>
              <w:top w:val="nil"/>
              <w:left w:val="nil"/>
              <w:bottom w:val="nil"/>
              <w:right w:val="nil"/>
            </w:tcBorders>
            <w:tcMar>
              <w:top w:w="0" w:type="dxa"/>
              <w:left w:w="62" w:type="dxa"/>
              <w:bottom w:w="0" w:type="dxa"/>
              <w:right w:w="62" w:type="dxa"/>
            </w:tcMar>
          </w:tcPr>
          <w:p w:rsidR="00000000" w:rsidRPr="003A7C1F" w:rsidP="003A7C1F">
            <w:pPr>
              <w:pStyle w:val="List"/>
            </w:pPr>
            <w:r w:rsidRPr="003A7C1F">
              <w:t>2.1</w:t>
            </w:r>
            <w:r w:rsidRPr="003A7C1F">
              <w:tab/>
              <w:t>Progress reports including a full explanation of non-compliant building work and building services and required remedial action are prepared promptl</w:t>
            </w:r>
            <w:r w:rsidRPr="003A7C1F">
              <w:t xml:space="preserve">y for the </w:t>
            </w:r>
            <w:r w:rsidRPr="003A7C1F">
              <w:rPr>
                <w:rStyle w:val="BoldandItalics"/>
              </w:rPr>
              <w:t>client</w:t>
            </w:r>
            <w:r w:rsidRPr="003A7C1F">
              <w:t xml:space="preserve"> and processed in accordance with </w:t>
            </w:r>
            <w:r w:rsidRPr="003A7C1F">
              <w:rPr>
                <w:rStyle w:val="BoldandItalics"/>
              </w:rPr>
              <w:t>organisational requirements</w:t>
            </w:r>
            <w:r w:rsidRPr="003A7C1F">
              <w:t>.</w:t>
            </w:r>
          </w:p>
          <w:p w:rsidR="00000000" w:rsidRPr="003A7C1F" w:rsidP="003A7C1F">
            <w:pPr>
              <w:pStyle w:val="List"/>
            </w:pPr>
            <w:r w:rsidRPr="003A7C1F">
              <w:t>2.2</w:t>
            </w:r>
            <w:r w:rsidRPr="003A7C1F">
              <w:tab/>
              <w:t>Follow-up inspections to check rectified work are conducted at a suitable time and without disruption to the building progress.</w:t>
            </w:r>
          </w:p>
          <w:p w:rsidR="00000000" w:rsidRPr="003A7C1F" w:rsidP="003A7C1F">
            <w:pPr>
              <w:pStyle w:val="List"/>
            </w:pPr>
            <w:r w:rsidRPr="003A7C1F">
              <w:t>2.3</w:t>
            </w:r>
            <w:r w:rsidRPr="003A7C1F">
              <w:tab/>
              <w:t>Meetings are conducted with the client an</w:t>
            </w:r>
            <w:r w:rsidRPr="003A7C1F">
              <w:t>d other members of the building development team and recorded.</w:t>
            </w:r>
          </w:p>
          <w:p w:rsidR="00000000" w:rsidP="003A7C1F">
            <w:pPr>
              <w:pStyle w:val="List"/>
              <w:rPr>
                <w:lang w:val="en-NZ"/>
              </w:rPr>
            </w:pPr>
            <w:r w:rsidRPr="003A7C1F">
              <w:t>2.4</w:t>
            </w:r>
            <w:r w:rsidRPr="003A7C1F">
              <w:tab/>
              <w:t>Outcome of rectified building work is inspected, documented and reported to the client.</w:t>
            </w:r>
          </w:p>
        </w:tc>
      </w:tr>
      <w:tr w:rsidTr="00A06054">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3A7C1F">
            <w:pPr>
              <w:pStyle w:val="List"/>
              <w:rPr>
                <w:lang w:val="en-NZ"/>
              </w:rPr>
            </w:pPr>
            <w:r w:rsidRPr="003A7C1F">
              <w:rPr>
                <w:rStyle w:val="SpecialBold"/>
              </w:rPr>
              <w:t>3</w:t>
            </w:r>
            <w:r w:rsidRPr="003A7C1F">
              <w:tab/>
            </w:r>
            <w:r w:rsidRPr="003A7C1F">
              <w:rPr>
                <w:rStyle w:val="SpecialBold"/>
              </w:rPr>
              <w:t>Prepare the building access report and provide to client</w:t>
            </w:r>
            <w:r w:rsidRPr="003A7C1F">
              <w:t>.</w:t>
            </w:r>
          </w:p>
        </w:tc>
        <w:tc>
          <w:tcPr>
            <w:tcW w:w="5507" w:type="dxa"/>
            <w:gridSpan w:val="2"/>
            <w:tcBorders>
              <w:top w:val="nil"/>
              <w:left w:val="nil"/>
              <w:bottom w:val="nil"/>
              <w:right w:val="nil"/>
            </w:tcBorders>
            <w:tcMar>
              <w:top w:w="0" w:type="dxa"/>
              <w:left w:w="62" w:type="dxa"/>
              <w:bottom w:w="0" w:type="dxa"/>
              <w:right w:w="62" w:type="dxa"/>
            </w:tcMar>
          </w:tcPr>
          <w:p w:rsidR="00000000" w:rsidRPr="003A7C1F" w:rsidP="003A7C1F">
            <w:pPr>
              <w:pStyle w:val="List"/>
            </w:pPr>
            <w:r w:rsidRPr="003A7C1F">
              <w:t>3.1</w:t>
            </w:r>
            <w:r w:rsidRPr="003A7C1F">
              <w:tab/>
            </w:r>
            <w:r w:rsidRPr="003A7C1F">
              <w:t>The final building access report is prepared for the client prior to occupancy, in accordance with contractual arrangements and organisational requirements.</w:t>
            </w:r>
          </w:p>
          <w:p w:rsidR="00000000" w:rsidRPr="003A7C1F" w:rsidP="003A7C1F">
            <w:pPr>
              <w:pStyle w:val="List"/>
            </w:pPr>
            <w:r w:rsidRPr="003A7C1F">
              <w:t>3.2</w:t>
            </w:r>
            <w:r w:rsidRPr="003A7C1F">
              <w:tab/>
              <w:t>The building access report and associated documentation are forwarded to the client in accordan</w:t>
            </w:r>
            <w:r w:rsidRPr="003A7C1F">
              <w:t>ce with contractual arrangements.</w:t>
            </w:r>
          </w:p>
          <w:p w:rsidR="00000000" w:rsidRPr="003A7C1F" w:rsidP="003A7C1F">
            <w:pPr>
              <w:pStyle w:val="List"/>
            </w:pPr>
            <w:r w:rsidRPr="003A7C1F">
              <w:t>3.3</w:t>
            </w:r>
            <w:r w:rsidRPr="003A7C1F">
              <w:tab/>
              <w:t>A copy of the building access report and associated documentation is recorded and retained for future reference in accordance with organisational and legislative requirements.</w:t>
            </w:r>
          </w:p>
        </w:tc>
      </w:tr>
    </w:tbl>
    <w:p w:rsidR="00A06054" w:rsidP="003A7C1F">
      <w:pPr>
        <w:pStyle w:val="BodyText"/>
      </w:pPr>
    </w:p>
    <w:p w:rsidR="00A06054" w:rsidP="003A7C1F">
      <w:pPr>
        <w:pStyle w:val="BodyText"/>
      </w:pPr>
    </w:p>
    <w:p w:rsidR="00000000" w:rsidRPr="003A7C1F" w:rsidP="003A7C1F">
      <w:pPr>
        <w:pStyle w:val="Heading1"/>
      </w:pPr>
      <w:bookmarkStart w:id="9" w:name="O_258643"/>
      <w:bookmarkEnd w:id="9"/>
      <w:r w:rsidRPr="003A7C1F">
        <w:t>Required Skills and Kn</w:t>
      </w:r>
      <w:r w:rsidRPr="003A7C1F">
        <w:t>owledge</w:t>
      </w:r>
    </w:p>
    <w:p w:rsidR="00000000" w:rsidRPr="003A7C1F" w:rsidP="003A7C1F">
      <w:pPr>
        <w:pStyle w:val="BodyText"/>
      </w:pPr>
      <w:r w:rsidRPr="003A7C1F">
        <w:rPr>
          <w:rStyle w:val="SpecialBold"/>
        </w:rPr>
        <w:t>REQUIRED SKILLS AND KNOWLEDGE</w:t>
      </w:r>
    </w:p>
    <w:p w:rsidR="00000000" w:rsidRPr="003A7C1F" w:rsidP="003A7C1F">
      <w:pPr>
        <w:pStyle w:val="BodyText"/>
      </w:pPr>
      <w:r w:rsidRPr="003A7C1F">
        <w:t>This section describes the essential skills and knowledge and their level, required for this unit.</w:t>
      </w:r>
    </w:p>
    <w:p w:rsidR="00000000" w:rsidRPr="003A7C1F" w:rsidP="003A7C1F">
      <w:pPr>
        <w:pStyle w:val="BodyText"/>
      </w:pPr>
      <w:r w:rsidRPr="003A7C1F">
        <w:rPr>
          <w:rStyle w:val="SpecialBold"/>
        </w:rPr>
        <w:t>Required knowledge and understanding include</w:t>
      </w:r>
      <w:r w:rsidRPr="003A7C1F">
        <w:t>:</w:t>
      </w:r>
    </w:p>
    <w:p w:rsidR="00000000" w:rsidRPr="003A7C1F" w:rsidP="003A7C1F">
      <w:pPr>
        <w:pStyle w:val="ListBullet"/>
      </w:pPr>
      <w:r w:rsidRPr="003A7C1F">
        <w:t>commonwealth, state and territory anti-discrimination legislation and re</w:t>
      </w:r>
      <w:r w:rsidRPr="003A7C1F">
        <w:t>gulations</w:t>
      </w:r>
    </w:p>
    <w:p w:rsidR="00000000" w:rsidRPr="003A7C1F" w:rsidP="003A7C1F">
      <w:pPr>
        <w:pStyle w:val="ListBullet"/>
      </w:pPr>
      <w:r w:rsidRPr="003A7C1F">
        <w:t>disability awareness</w:t>
      </w:r>
    </w:p>
    <w:p w:rsidR="00000000" w:rsidRPr="003A7C1F" w:rsidP="003A7C1F">
      <w:pPr>
        <w:pStyle w:val="ListBullet"/>
      </w:pPr>
      <w:r w:rsidRPr="003A7C1F">
        <w:t>industry codes of practice and ethics</w:t>
      </w:r>
    </w:p>
    <w:p w:rsidR="00000000" w:rsidRPr="003A7C1F" w:rsidP="003A7C1F">
      <w:pPr>
        <w:pStyle w:val="ListBullet"/>
      </w:pPr>
      <w:r w:rsidRPr="003A7C1F">
        <w:t>international standards on building access</w:t>
      </w:r>
    </w:p>
    <w:p w:rsidR="00000000" w:rsidRPr="003A7C1F" w:rsidP="003A7C1F">
      <w:pPr>
        <w:pStyle w:val="ListBullet"/>
      </w:pPr>
      <w:r w:rsidRPr="003A7C1F">
        <w:t>limitations of work role, responsibility and professional abilities</w:t>
      </w:r>
    </w:p>
    <w:p w:rsidR="00000000" w:rsidRPr="003A7C1F" w:rsidP="003A7C1F">
      <w:pPr>
        <w:pStyle w:val="ListBullet"/>
      </w:pPr>
      <w:r w:rsidRPr="003A7C1F">
        <w:t>nature of building materials and effect of performance</w:t>
      </w:r>
    </w:p>
    <w:p w:rsidR="00000000" w:rsidRPr="003A7C1F" w:rsidP="003A7C1F">
      <w:pPr>
        <w:pStyle w:val="ListBullet"/>
      </w:pPr>
      <w:r w:rsidRPr="003A7C1F">
        <w:t>occupational health and safety (OHS) legislation and procedures</w:t>
      </w:r>
    </w:p>
    <w:p w:rsidR="00000000" w:rsidRPr="003A7C1F" w:rsidP="003A7C1F">
      <w:pPr>
        <w:pStyle w:val="ListBullet"/>
      </w:pPr>
      <w:r w:rsidRPr="003A7C1F">
        <w:t>processes for interpreting reports, working drawings and specifications</w:t>
      </w:r>
    </w:p>
    <w:p w:rsidR="00000000" w:rsidRPr="003A7C1F" w:rsidP="003A7C1F">
      <w:pPr>
        <w:pStyle w:val="ListBullet"/>
      </w:pPr>
      <w:r w:rsidRPr="003A7C1F">
        <w:t>processes for preparing and administering documentation and reports</w:t>
      </w:r>
    </w:p>
    <w:p w:rsidR="00000000" w:rsidRPr="003A7C1F" w:rsidP="003A7C1F">
      <w:pPr>
        <w:pStyle w:val="ListBullet"/>
      </w:pPr>
      <w:r w:rsidRPr="003A7C1F">
        <w:t xml:space="preserve">relevant commonwealth, state and territory building </w:t>
      </w:r>
      <w:r w:rsidRPr="003A7C1F">
        <w:t>legislation, local government regulations and Australian standards</w:t>
      </w:r>
    </w:p>
    <w:p w:rsidR="00000000" w:rsidRPr="003A7C1F" w:rsidP="003A7C1F">
      <w:pPr>
        <w:pStyle w:val="ListBullet"/>
      </w:pPr>
      <w:r w:rsidRPr="003A7C1F">
        <w:t>research methodologies and analytical processes</w:t>
      </w:r>
    </w:p>
    <w:p w:rsidR="00000000" w:rsidRPr="003A7C1F" w:rsidP="003A7C1F">
      <w:pPr>
        <w:pStyle w:val="ListBullet"/>
      </w:pPr>
      <w:r w:rsidRPr="003A7C1F">
        <w:t>role, responsibilities and powers of building certifiers</w:t>
      </w:r>
    </w:p>
    <w:p w:rsidR="00000000" w:rsidRPr="003A7C1F" w:rsidP="003A7C1F">
      <w:pPr>
        <w:pStyle w:val="ListBullet"/>
      </w:pPr>
      <w:r w:rsidRPr="003A7C1F">
        <w:t>relevant terminology and definitions in hazard identification.</w:t>
      </w:r>
    </w:p>
    <w:p w:rsidR="00000000" w:rsidRPr="003A7C1F" w:rsidP="003A7C1F">
      <w:pPr>
        <w:pStyle w:val="BodyText"/>
      </w:pPr>
      <w:r w:rsidRPr="003A7C1F">
        <w:rPr>
          <w:rStyle w:val="SpecialBold"/>
        </w:rPr>
        <w:t>Required skills and a</w:t>
      </w:r>
      <w:r w:rsidRPr="003A7C1F">
        <w:rPr>
          <w:rStyle w:val="SpecialBold"/>
        </w:rPr>
        <w:t>ttributes include</w:t>
      </w:r>
      <w:r w:rsidRPr="003A7C1F">
        <w:t>:</w:t>
      </w:r>
    </w:p>
    <w:tbl>
      <w:tblPr>
        <w:tblW w:w="9356" w:type="dxa"/>
        <w:tblLayout w:type="fixed"/>
        <w:tblCellMar>
          <w:left w:w="62" w:type="dxa"/>
          <w:right w:w="62" w:type="dxa"/>
        </w:tblCellMar>
        <w:tblLook w:val="0000"/>
      </w:tblPr>
      <w:tblGrid>
        <w:gridCol w:w="9356"/>
      </w:tblGrid>
      <w:tr w:rsidTr="00A06054">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RPr="003A7C1F" w:rsidP="003A7C1F">
            <w:pPr>
              <w:pStyle w:val="ListBullet"/>
            </w:pPr>
            <w:r w:rsidRPr="003A7C1F">
              <w:t>analytical skills to:</w:t>
            </w:r>
          </w:p>
          <w:p w:rsidR="00000000" w:rsidRPr="003A7C1F" w:rsidP="003A7C1F">
            <w:pPr>
              <w:pStyle w:val="ListBullet"/>
            </w:pPr>
            <w:r w:rsidRPr="003A7C1F">
              <w:t>analyse, evaluate and apply legislative requirements pertaining to disability access</w:t>
            </w:r>
          </w:p>
          <w:p w:rsidR="00000000" w:rsidRPr="003A7C1F" w:rsidP="003A7C1F">
            <w:pPr>
              <w:pStyle w:val="ListBullet2"/>
            </w:pPr>
            <w:r w:rsidRPr="003A7C1F">
              <w:t xml:space="preserve">analyse and evaluate the impacts of the full range of disabilities and the limitations </w:t>
            </w:r>
            <w:r w:rsidRPr="003A7C1F">
              <w:t>that each disability places on the individual's ability to access the environment</w:t>
            </w:r>
          </w:p>
          <w:p w:rsidR="00000000" w:rsidRPr="003A7C1F" w:rsidP="003A7C1F">
            <w:pPr>
              <w:pStyle w:val="ListBullet2"/>
            </w:pPr>
            <w:r w:rsidRPr="003A7C1F">
              <w:t>analyse and evaluate how environmental barriers impact on people with disabilities</w:t>
            </w:r>
          </w:p>
          <w:p w:rsidR="00000000" w:rsidRPr="003A7C1F" w:rsidP="003A7C1F">
            <w:pPr>
              <w:pStyle w:val="ListBullet2"/>
            </w:pPr>
            <w:r w:rsidRPr="003A7C1F">
              <w:t>review completed building work and determine compliance with approved plans, specifications</w:t>
            </w:r>
            <w:r w:rsidRPr="003A7C1F">
              <w:t xml:space="preserve"> and detail drawings</w:t>
            </w:r>
          </w:p>
          <w:p w:rsidR="00000000" w:rsidRPr="003A7C1F" w:rsidP="003A7C1F">
            <w:pPr>
              <w:pStyle w:val="ListBullet2"/>
            </w:pPr>
            <w:r w:rsidRPr="003A7C1F">
              <w:t>review completed building work and determine level of compliance as specified by legislation</w:t>
            </w:r>
          </w:p>
          <w:p w:rsidR="00000000" w:rsidRPr="003A7C1F" w:rsidP="003A7C1F">
            <w:pPr>
              <w:pStyle w:val="ListBullet2"/>
            </w:pPr>
            <w:r w:rsidRPr="003A7C1F">
              <w:t>interpret and analyse routine and non-routine situations to establish suitable methods of reporting</w:t>
            </w:r>
          </w:p>
          <w:p w:rsidR="00000000" w:rsidRPr="003A7C1F" w:rsidP="003A7C1F">
            <w:pPr>
              <w:pStyle w:val="ListBullet"/>
            </w:pPr>
            <w:r w:rsidRPr="003A7C1F">
              <w:t>application skills to:</w:t>
            </w:r>
          </w:p>
          <w:p w:rsidR="00000000" w:rsidRPr="003A7C1F" w:rsidP="003A7C1F">
            <w:pPr>
              <w:pStyle w:val="ListBullet2"/>
            </w:pPr>
            <w:r w:rsidRPr="003A7C1F">
              <w:t>apply relevant an</w:t>
            </w:r>
            <w:r w:rsidRPr="003A7C1F">
              <w:t>ti-discrimination and building legislation</w:t>
            </w:r>
          </w:p>
          <w:p w:rsidR="00000000" w:rsidRPr="003A7C1F" w:rsidP="003A7C1F">
            <w:pPr>
              <w:pStyle w:val="ListBullet2"/>
            </w:pPr>
            <w:r w:rsidRPr="003A7C1F">
              <w:t>apply industry building codes of practice and ethics and other legislative requirements to work processes</w:t>
            </w:r>
          </w:p>
          <w:p w:rsidR="00000000" w:rsidRPr="003A7C1F" w:rsidP="003A7C1F">
            <w:pPr>
              <w:pStyle w:val="ListBullet2"/>
            </w:pPr>
            <w:r w:rsidRPr="003A7C1F">
              <w:t>apply disability awareness to work processes</w:t>
            </w:r>
          </w:p>
          <w:p w:rsidR="00000000" w:rsidRPr="003A7C1F" w:rsidP="003A7C1F">
            <w:pPr>
              <w:pStyle w:val="ListBullet2"/>
            </w:pPr>
            <w:r w:rsidRPr="003A7C1F">
              <w:t>maintain and apply current Australian and international buildi</w:t>
            </w:r>
            <w:r w:rsidRPr="003A7C1F">
              <w:t>ng codes, standards, regulations and practices</w:t>
            </w:r>
          </w:p>
          <w:p w:rsidR="00000000" w:rsidRPr="003A7C1F" w:rsidP="003A7C1F">
            <w:pPr>
              <w:pStyle w:val="ListBullet"/>
            </w:pPr>
            <w:r w:rsidRPr="003A7C1F">
              <w:t>communication skills to:</w:t>
            </w:r>
          </w:p>
          <w:p w:rsidR="00000000" w:rsidRPr="003A7C1F" w:rsidP="003A7C1F">
            <w:pPr>
              <w:pStyle w:val="ListBullet2"/>
            </w:pPr>
            <w:r w:rsidRPr="003A7C1F">
              <w:t>explain clearly information on issues relating to the provision of access</w:t>
            </w:r>
          </w:p>
          <w:p w:rsidR="00000000" w:rsidRPr="003A7C1F" w:rsidP="003A7C1F">
            <w:pPr>
              <w:pStyle w:val="ListBullet2"/>
            </w:pPr>
            <w:r w:rsidRPr="003A7C1F">
              <w:t>explain clearly information on legislation relating to the p</w:t>
            </w:r>
            <w:r w:rsidRPr="003A7C1F">
              <w:t>rovision of access, and the relationship between the various pieces of legislation</w:t>
            </w:r>
          </w:p>
          <w:p w:rsidR="00000000" w:rsidRPr="003A7C1F" w:rsidP="003A7C1F">
            <w:pPr>
              <w:pStyle w:val="ListBullet2"/>
            </w:pPr>
            <w:r w:rsidRPr="003A7C1F">
              <w:t>consult effectively with clients and colleagues</w:t>
            </w:r>
          </w:p>
          <w:p w:rsidR="00000000" w:rsidRPr="003A7C1F" w:rsidP="003A7C1F">
            <w:pPr>
              <w:pStyle w:val="ListBullet2"/>
            </w:pPr>
            <w:r w:rsidRPr="003A7C1F">
              <w:t>impart knowledge and ideas through oral, written and visual means</w:t>
            </w:r>
          </w:p>
          <w:p w:rsidR="00000000" w:rsidRPr="003A7C1F" w:rsidP="003A7C1F">
            <w:pPr>
              <w:pStyle w:val="ListBullet2"/>
            </w:pPr>
            <w:r w:rsidRPr="003A7C1F">
              <w:t>develop and maintain professional relationships and network</w:t>
            </w:r>
            <w:r w:rsidRPr="003A7C1F">
              <w:t>s</w:t>
            </w:r>
          </w:p>
          <w:p w:rsidR="00000000" w:rsidRPr="003A7C1F" w:rsidP="003A7C1F">
            <w:pPr>
              <w:pStyle w:val="ListBullet2"/>
            </w:pPr>
            <w:r w:rsidRPr="003A7C1F">
              <w:t>use workplace equipment and communication methods</w:t>
            </w:r>
          </w:p>
          <w:p w:rsidR="00000000" w:rsidRPr="003A7C1F" w:rsidP="003A7C1F">
            <w:pPr>
              <w:pStyle w:val="ListBullet"/>
            </w:pPr>
            <w:r w:rsidRPr="003A7C1F">
              <w:t>literacy and numeracy skills to:</w:t>
            </w:r>
          </w:p>
          <w:p w:rsidR="00000000" w:rsidRPr="003A7C1F" w:rsidP="003A7C1F">
            <w:pPr>
              <w:pStyle w:val="ListBullet2"/>
            </w:pPr>
            <w:r w:rsidRPr="003A7C1F">
              <w:t>assess and use workplace information</w:t>
            </w:r>
          </w:p>
          <w:p w:rsidR="00000000" w:rsidRPr="003A7C1F" w:rsidP="003A7C1F">
            <w:pPr>
              <w:pStyle w:val="ListBullet2"/>
            </w:pPr>
            <w:r w:rsidRPr="003A7C1F">
              <w:t>read and interpret plans, specifications and detail drawings</w:t>
            </w:r>
          </w:p>
          <w:p w:rsidR="00000000" w:rsidRPr="003A7C1F" w:rsidP="003A7C1F">
            <w:pPr>
              <w:pStyle w:val="ListBullet2"/>
            </w:pPr>
            <w:r w:rsidRPr="003A7C1F">
              <w:t>measure building work in progress and make calculations to determine co</w:t>
            </w:r>
            <w:r w:rsidRPr="003A7C1F">
              <w:t>mpliance with access requirements</w:t>
            </w:r>
          </w:p>
          <w:p w:rsidR="00000000" w:rsidRPr="003A7C1F" w:rsidP="003A7C1F">
            <w:pPr>
              <w:pStyle w:val="ListBullet"/>
            </w:pPr>
            <w:r w:rsidRPr="003A7C1F">
              <w:t>organisational skills to:</w:t>
            </w:r>
          </w:p>
          <w:p w:rsidR="00000000" w:rsidRPr="003A7C1F" w:rsidP="003A7C1F">
            <w:pPr>
              <w:pStyle w:val="ListBullet2"/>
            </w:pPr>
            <w:r w:rsidRPr="003A7C1F">
              <w:t>prepare and manage documentation</w:t>
            </w:r>
          </w:p>
          <w:p w:rsidR="00000000" w:rsidRPr="003A7C1F" w:rsidP="003A7C1F">
            <w:pPr>
              <w:pStyle w:val="ListBullet2"/>
            </w:pPr>
            <w:r w:rsidRPr="003A7C1F">
              <w:t>plan and schedule site visits</w:t>
            </w:r>
          </w:p>
          <w:p w:rsidR="00000000" w:rsidRPr="003A7C1F" w:rsidP="003A7C1F">
            <w:pPr>
              <w:pStyle w:val="ListBullet2"/>
            </w:pPr>
            <w:r w:rsidRPr="003A7C1F">
              <w:t>collect, store and retrieve data for inclusion in a report to the client</w:t>
            </w:r>
          </w:p>
          <w:p w:rsidR="00000000" w:rsidRPr="003A7C1F" w:rsidP="003A7C1F">
            <w:pPr>
              <w:pStyle w:val="ListBullet2"/>
            </w:pPr>
            <w:r w:rsidRPr="003A7C1F">
              <w:t>develop and implement organisational policies and procedures</w:t>
            </w:r>
          </w:p>
          <w:p w:rsidR="00000000" w:rsidRPr="003A7C1F" w:rsidP="003A7C1F">
            <w:pPr>
              <w:pStyle w:val="ListBullet"/>
            </w:pPr>
            <w:r w:rsidRPr="003A7C1F">
              <w:t>interpersonal skills to:</w:t>
            </w:r>
          </w:p>
          <w:p w:rsidR="00000000" w:rsidRPr="003A7C1F" w:rsidP="003A7C1F">
            <w:pPr>
              <w:pStyle w:val="ListBullet2"/>
            </w:pPr>
            <w:r w:rsidRPr="003A7C1F">
              <w:t>relate to people from a range of social, cultural and ethnic backgrounds and with a range of physical and mental abilities</w:t>
            </w:r>
          </w:p>
          <w:p w:rsidR="00000000" w:rsidRPr="003A7C1F" w:rsidP="003A7C1F">
            <w:pPr>
              <w:pStyle w:val="ListBullet2"/>
            </w:pPr>
            <w:r w:rsidRPr="003A7C1F">
              <w:t>consult and provide advice in a sensitive and</w:t>
            </w:r>
            <w:r w:rsidRPr="003A7C1F">
              <w:t xml:space="preserve"> appropriate manner</w:t>
            </w:r>
          </w:p>
          <w:p w:rsidR="00000000" w:rsidRPr="003A7C1F" w:rsidP="003A7C1F">
            <w:pPr>
              <w:pStyle w:val="ListBullet2"/>
            </w:pPr>
            <w:r w:rsidRPr="003A7C1F">
              <w:t>facilitate change for greater awareness of disability access</w:t>
            </w:r>
          </w:p>
          <w:p w:rsidR="00000000" w:rsidRPr="003A7C1F" w:rsidP="003A7C1F">
            <w:pPr>
              <w:pStyle w:val="ListBullet2"/>
            </w:pPr>
            <w:r w:rsidRPr="003A7C1F">
              <w:t>analyse own work practices and process outcomes critically</w:t>
            </w:r>
          </w:p>
          <w:p w:rsidR="00000000" w:rsidRPr="003A7C1F" w:rsidP="003A7C1F">
            <w:pPr>
              <w:pStyle w:val="ListBullet2"/>
            </w:pPr>
            <w:r w:rsidRPr="003A7C1F">
              <w:t>engage colleagues and share disability access knowledge</w:t>
            </w:r>
          </w:p>
          <w:p w:rsidR="00000000" w:rsidRPr="003A7C1F" w:rsidP="003A7C1F">
            <w:pPr>
              <w:pStyle w:val="ListBullet2"/>
            </w:pPr>
            <w:r w:rsidRPr="003A7C1F">
              <w:t>adapt to new workplace situations</w:t>
            </w:r>
          </w:p>
          <w:p w:rsidR="00000000" w:rsidRPr="003A7C1F" w:rsidP="003A7C1F">
            <w:pPr>
              <w:pStyle w:val="ListBullet"/>
            </w:pPr>
            <w:r w:rsidRPr="003A7C1F">
              <w:t>report-writing skills to:</w:t>
            </w:r>
          </w:p>
          <w:p w:rsidR="00000000" w:rsidRPr="003A7C1F" w:rsidP="003A7C1F">
            <w:pPr>
              <w:pStyle w:val="ListBullet2"/>
            </w:pPr>
            <w:r w:rsidRPr="003A7C1F">
              <w:t>prepare progress and final building access reports to meet the contractual requirements of the client</w:t>
            </w:r>
          </w:p>
          <w:p w:rsidR="00000000" w:rsidRPr="003A7C1F" w:rsidP="003A7C1F">
            <w:pPr>
              <w:pStyle w:val="ListBullet2"/>
            </w:pPr>
            <w:r w:rsidRPr="003A7C1F">
              <w:t>prepare progress and final building access reports that meet organisational requirements</w:t>
            </w:r>
          </w:p>
          <w:p w:rsidR="00000000" w:rsidRPr="003A7C1F" w:rsidP="003A7C1F">
            <w:pPr>
              <w:pStyle w:val="ListBullet"/>
            </w:pPr>
            <w:r w:rsidRPr="003A7C1F">
              <w:t>research and evaluation skills to:</w:t>
            </w:r>
          </w:p>
          <w:p w:rsidR="00000000" w:rsidRPr="003A7C1F" w:rsidP="003A7C1F">
            <w:pPr>
              <w:pStyle w:val="ListBullet2"/>
            </w:pPr>
            <w:r w:rsidRPr="003A7C1F">
              <w:t>source, analyse and evalua</w:t>
            </w:r>
            <w:r w:rsidRPr="003A7C1F">
              <w:t>te building legislative requirements</w:t>
            </w:r>
          </w:p>
          <w:p w:rsidR="00000000" w:rsidRPr="003A7C1F" w:rsidP="003A7C1F">
            <w:pPr>
              <w:pStyle w:val="ListBullet2"/>
            </w:pPr>
            <w:r w:rsidRPr="003A7C1F">
              <w:t>source, analyse and evaluate legislative requirements for the provision of access.</w:t>
            </w:r>
          </w:p>
        </w:tc>
      </w:tr>
    </w:tbl>
    <w:p w:rsidR="00A06054" w:rsidP="003A7C1F">
      <w:pPr>
        <w:pStyle w:val="BodyText"/>
      </w:pPr>
    </w:p>
    <w:p w:rsidR="00A06054" w:rsidP="003A7C1F">
      <w:pPr>
        <w:pStyle w:val="BodyText"/>
      </w:pPr>
    </w:p>
    <w:p w:rsidR="00000000" w:rsidRPr="003A7C1F" w:rsidP="003A7C1F">
      <w:pPr>
        <w:pStyle w:val="Heading1"/>
      </w:pPr>
      <w:bookmarkStart w:id="10" w:name="O_242677"/>
      <w:bookmarkEnd w:id="10"/>
      <w:r w:rsidRPr="003A7C1F">
        <w:t>Evidence Guide</w:t>
      </w:r>
    </w:p>
    <w:p w:rsidR="00000000" w:rsidRPr="003A7C1F" w:rsidP="003A7C1F">
      <w:pPr>
        <w:pStyle w:val="BodyText"/>
      </w:pPr>
      <w:r w:rsidRPr="003A7C1F">
        <w:rPr>
          <w:rStyle w:val="SpecialBold"/>
        </w:rPr>
        <w:t>EVIDENCE GUIDE</w:t>
      </w:r>
    </w:p>
    <w:tbl>
      <w:tblPr>
        <w:tblW w:w="0" w:type="auto"/>
        <w:tblLayout w:type="fixed"/>
        <w:tblCellMar>
          <w:left w:w="62" w:type="dxa"/>
          <w:right w:w="62" w:type="dxa"/>
        </w:tblCellMar>
        <w:tblLook w:val="0000"/>
      </w:tblPr>
      <w:tblGrid>
        <w:gridCol w:w="2803"/>
        <w:gridCol w:w="5808"/>
        <w:gridCol w:w="109"/>
      </w:tblGrid>
      <w:tr w:rsidTr="00A06054">
        <w:tblPrEx>
          <w:tblW w:w="0" w:type="auto"/>
          <w:tblLayout w:type="fixed"/>
          <w:tblCellMar>
            <w:left w:w="62" w:type="dxa"/>
            <w:right w:w="62" w:type="dxa"/>
          </w:tblCellMar>
          <w:tblLook w:val="0000"/>
        </w:tblPrEx>
        <w:trPr>
          <w:gridAfter w:val="1"/>
          <w:wAfter w:w="109" w:type="dxa"/>
        </w:trPr>
        <w:tc>
          <w:tcPr>
            <w:tcW w:w="8611" w:type="dxa"/>
            <w:gridSpan w:val="2"/>
            <w:tcBorders>
              <w:top w:val="nil"/>
              <w:left w:val="nil"/>
              <w:bottom w:val="nil"/>
              <w:right w:val="nil"/>
            </w:tcBorders>
            <w:tcMar>
              <w:top w:w="0" w:type="dxa"/>
              <w:left w:w="62" w:type="dxa"/>
              <w:bottom w:w="0" w:type="dxa"/>
              <w:right w:w="62" w:type="dxa"/>
            </w:tcMar>
          </w:tcPr>
          <w:p w:rsidR="00000000" w:rsidP="003A7C1F">
            <w:pPr>
              <w:pStyle w:val="BodyText"/>
              <w:rPr>
                <w:lang w:val="en-NZ"/>
              </w:rPr>
            </w:pPr>
            <w:r w:rsidRPr="003A7C1F">
              <w:t>The evidence guide provides advice on assessment and must be read in conjunction with the performance criteria, required skills and knowledge, the range statement and the Assessment Guidelines for this Training Package.</w:t>
            </w:r>
          </w:p>
        </w:tc>
      </w:tr>
      <w:tr w:rsidTr="00A06054">
        <w:tblPrEx>
          <w:tblW w:w="0" w:type="auto"/>
          <w:tblLayout w:type="fixed"/>
          <w:tblCellMar>
            <w:left w:w="62" w:type="dxa"/>
            <w:right w:w="62" w:type="dxa"/>
          </w:tblCellMar>
          <w:tblLook w:val="0000"/>
        </w:tblPrEx>
        <w:trPr>
          <w:gridAfter w:val="1"/>
          <w:wAfter w:w="109" w:type="dxa"/>
        </w:trPr>
        <w:tc>
          <w:tcPr>
            <w:tcW w:w="2803" w:type="dxa"/>
            <w:tcBorders>
              <w:top w:val="nil"/>
              <w:left w:val="nil"/>
              <w:bottom w:val="nil"/>
              <w:right w:val="nil"/>
            </w:tcBorders>
            <w:tcMar>
              <w:top w:w="0" w:type="dxa"/>
              <w:left w:w="62" w:type="dxa"/>
              <w:bottom w:w="0" w:type="dxa"/>
              <w:right w:w="62" w:type="dxa"/>
            </w:tcMar>
          </w:tcPr>
          <w:p w:rsidR="00000000" w:rsidP="003A7C1F">
            <w:pPr>
              <w:pStyle w:val="BodyText"/>
              <w:rPr>
                <w:lang w:val="en-NZ"/>
              </w:rPr>
            </w:pPr>
            <w:r w:rsidRPr="003A7C1F">
              <w:rPr>
                <w:rStyle w:val="SpecialBold"/>
              </w:rPr>
              <w:t>Overview of assessment</w:t>
            </w:r>
          </w:p>
        </w:tc>
        <w:tc>
          <w:tcPr>
            <w:tcW w:w="5808" w:type="dxa"/>
            <w:tcBorders>
              <w:top w:val="nil"/>
              <w:left w:val="nil"/>
              <w:bottom w:val="nil"/>
              <w:right w:val="nil"/>
            </w:tcBorders>
            <w:tcMar>
              <w:top w:w="0" w:type="dxa"/>
              <w:left w:w="62" w:type="dxa"/>
              <w:bottom w:w="0" w:type="dxa"/>
              <w:right w:w="62" w:type="dxa"/>
            </w:tcMar>
          </w:tcPr>
          <w:p w:rsidR="00000000" w:rsidP="003A7C1F">
            <w:pPr>
              <w:pStyle w:val="ListBullet"/>
              <w:rPr>
                <w:lang w:val="en-NZ"/>
              </w:rPr>
            </w:pPr>
            <w:r w:rsidRPr="003A7C1F">
              <w:t>This unit of competency could be assessed on its own or as part of an integrated assessment activity involving other competencies relevant to the job function.</w:t>
            </w:r>
          </w:p>
        </w:tc>
      </w:tr>
      <w:tr w:rsidTr="00A06054">
        <w:tblPrEx>
          <w:tblW w:w="0" w:type="auto"/>
          <w:tblLayout w:type="fixed"/>
          <w:tblCellMar>
            <w:left w:w="62" w:type="dxa"/>
            <w:right w:w="62" w:type="dxa"/>
          </w:tblCellMar>
          <w:tblLook w:val="0000"/>
        </w:tblPrEx>
        <w:trPr>
          <w:gridAfter w:val="1"/>
          <w:wAfter w:w="109" w:type="dxa"/>
        </w:trPr>
        <w:tc>
          <w:tcPr>
            <w:tcW w:w="2803" w:type="dxa"/>
            <w:tcBorders>
              <w:top w:val="nil"/>
              <w:left w:val="nil"/>
              <w:bottom w:val="nil"/>
              <w:right w:val="nil"/>
            </w:tcBorders>
            <w:tcMar>
              <w:top w:w="0" w:type="dxa"/>
              <w:left w:w="62" w:type="dxa"/>
              <w:bottom w:w="0" w:type="dxa"/>
              <w:right w:w="62" w:type="dxa"/>
            </w:tcMar>
          </w:tcPr>
          <w:p w:rsidR="00000000" w:rsidP="003A7C1F">
            <w:pPr>
              <w:pStyle w:val="BodyText"/>
              <w:rPr>
                <w:lang w:val="en-NZ"/>
              </w:rPr>
            </w:pPr>
            <w:r w:rsidRPr="003A7C1F">
              <w:rPr>
                <w:rStyle w:val="SpecialBold"/>
              </w:rPr>
              <w:t>Critical aspects for assessment and evidence required to demonstrate competency in this unit</w:t>
            </w:r>
          </w:p>
        </w:tc>
        <w:tc>
          <w:tcPr>
            <w:tcW w:w="5808" w:type="dxa"/>
            <w:tcBorders>
              <w:top w:val="nil"/>
              <w:left w:val="nil"/>
              <w:bottom w:val="nil"/>
              <w:right w:val="nil"/>
            </w:tcBorders>
            <w:tcMar>
              <w:top w:w="0" w:type="dxa"/>
              <w:left w:w="62" w:type="dxa"/>
              <w:bottom w:w="0" w:type="dxa"/>
              <w:right w:w="62" w:type="dxa"/>
            </w:tcMar>
          </w:tcPr>
          <w:p w:rsidR="00000000" w:rsidRPr="003A7C1F" w:rsidP="003A7C1F">
            <w:pPr>
              <w:pStyle w:val="ListBullet"/>
            </w:pPr>
            <w:r w:rsidRPr="003A7C1F">
              <w:t>A</w:t>
            </w:r>
            <w:r w:rsidRPr="003A7C1F">
              <w:t xml:space="preserve"> person who demonstrates competency in this unit must be able to provide evidence of:</w:t>
            </w:r>
          </w:p>
          <w:p w:rsidR="00000000" w:rsidRPr="003A7C1F" w:rsidP="003A7C1F">
            <w:pPr>
              <w:pStyle w:val="ListBullet2"/>
            </w:pPr>
            <w:r w:rsidRPr="003A7C1F">
              <w:t>recognising the needs and desires of people with disabilities to engage fully in all aspects of society, and their right to do so</w:t>
            </w:r>
          </w:p>
          <w:p w:rsidR="00000000" w:rsidRPr="003A7C1F" w:rsidP="003A7C1F">
            <w:pPr>
              <w:pStyle w:val="ListBullet2"/>
            </w:pPr>
            <w:r w:rsidRPr="003A7C1F">
              <w:t>interpreting accurately the impacts of the full range of disabilities and the limitations that each disability places on the individual's ability to access the environment</w:t>
            </w:r>
          </w:p>
          <w:p w:rsidR="00000000" w:rsidRPr="003A7C1F" w:rsidP="003A7C1F">
            <w:pPr>
              <w:pStyle w:val="ListBullet2"/>
            </w:pPr>
            <w:r w:rsidRPr="003A7C1F">
              <w:t>interpreting accurately how the full range of environmental barriers impact on any o</w:t>
            </w:r>
            <w:r w:rsidRPr="003A7C1F">
              <w:t>f the impairments that people with disabilities might have</w:t>
            </w:r>
          </w:p>
          <w:p w:rsidR="00000000" w:rsidRPr="003A7C1F" w:rsidP="003A7C1F">
            <w:pPr>
              <w:pStyle w:val="ListBullet2"/>
            </w:pPr>
            <w:r w:rsidRPr="003A7C1F">
              <w:t>conducting inspections during the building process to determine building access compliance</w:t>
            </w:r>
          </w:p>
          <w:p w:rsidR="00000000" w:rsidRPr="003A7C1F" w:rsidP="003A7C1F">
            <w:pPr>
              <w:pStyle w:val="ListBullet2"/>
            </w:pPr>
            <w:r w:rsidRPr="003A7C1F">
              <w:t>negotiating with other members of the building development team to resolve access non-compliance issues</w:t>
            </w:r>
          </w:p>
          <w:p w:rsidR="00000000" w:rsidRPr="003A7C1F" w:rsidP="003A7C1F">
            <w:pPr>
              <w:pStyle w:val="ListBullet2"/>
            </w:pPr>
            <w:r w:rsidRPr="003A7C1F">
              <w:t>co</w:t>
            </w:r>
            <w:r w:rsidRPr="003A7C1F">
              <w:t>mplying with OHS regulations applicable to workplace operations</w:t>
            </w:r>
          </w:p>
          <w:p w:rsidR="00000000" w:rsidRPr="003A7C1F" w:rsidP="003A7C1F">
            <w:pPr>
              <w:pStyle w:val="ListBullet2"/>
            </w:pPr>
            <w:r w:rsidRPr="003A7C1F">
              <w:t>applying organisational management policies and procedures, including quality assurance requirements</w:t>
            </w:r>
          </w:p>
          <w:p w:rsidR="00000000" w:rsidP="003A7C1F">
            <w:pPr>
              <w:pStyle w:val="ListBullet2"/>
              <w:rPr>
                <w:lang w:val="en-NZ"/>
              </w:rPr>
            </w:pPr>
            <w:r w:rsidRPr="003A7C1F">
              <w:t>preparing progress and final access reports that comply with legislative requirements and f</w:t>
            </w:r>
            <w:r w:rsidRPr="003A7C1F">
              <w:t>ulfil contractual requirements.</w:t>
            </w:r>
          </w:p>
        </w:tc>
      </w:tr>
      <w:tr w:rsidTr="00A06054">
        <w:tblPrEx>
          <w:tblW w:w="0" w:type="auto"/>
          <w:tblLayout w:type="fixed"/>
          <w:tblCellMar>
            <w:left w:w="62" w:type="dxa"/>
            <w:right w:w="62" w:type="dxa"/>
          </w:tblCellMar>
          <w:tblLook w:val="0000"/>
        </w:tblPrEx>
        <w:trPr>
          <w:gridAfter w:val="1"/>
          <w:wAfter w:w="109" w:type="dxa"/>
        </w:trPr>
        <w:tc>
          <w:tcPr>
            <w:tcW w:w="2803" w:type="dxa"/>
            <w:tcBorders>
              <w:top w:val="nil"/>
              <w:left w:val="nil"/>
              <w:bottom w:val="nil"/>
              <w:right w:val="nil"/>
            </w:tcBorders>
            <w:tcMar>
              <w:top w:w="0" w:type="dxa"/>
              <w:left w:w="62" w:type="dxa"/>
              <w:bottom w:w="0" w:type="dxa"/>
              <w:right w:w="62" w:type="dxa"/>
            </w:tcMar>
          </w:tcPr>
          <w:p w:rsidR="00000000" w:rsidP="003A7C1F">
            <w:pPr>
              <w:pStyle w:val="BodyText"/>
              <w:rPr>
                <w:lang w:val="en-NZ"/>
              </w:rPr>
            </w:pPr>
            <w:r w:rsidRPr="003A7C1F">
              <w:rPr>
                <w:rStyle w:val="SpecialBold"/>
              </w:rPr>
              <w:t>Context of and specific resources for assessment</w:t>
            </w:r>
          </w:p>
        </w:tc>
        <w:tc>
          <w:tcPr>
            <w:tcW w:w="5808" w:type="dxa"/>
            <w:tcBorders>
              <w:top w:val="nil"/>
              <w:left w:val="nil"/>
              <w:bottom w:val="nil"/>
              <w:right w:val="nil"/>
            </w:tcBorders>
            <w:tcMar>
              <w:top w:w="0" w:type="dxa"/>
              <w:left w:w="62" w:type="dxa"/>
              <w:bottom w:w="0" w:type="dxa"/>
              <w:right w:w="62" w:type="dxa"/>
            </w:tcMar>
          </w:tcPr>
          <w:p w:rsidR="00000000" w:rsidRPr="003A7C1F" w:rsidP="003A7C1F">
            <w:pPr>
              <w:pStyle w:val="ListBullet"/>
            </w:pPr>
            <w:r w:rsidRPr="003A7C1F">
              <w:t>Resource implications for assessment include:</w:t>
            </w:r>
          </w:p>
          <w:p w:rsidR="00000000" w:rsidRPr="003A7C1F" w:rsidP="003A7C1F">
            <w:pPr>
              <w:pStyle w:val="ListBullet2"/>
            </w:pPr>
            <w:r w:rsidRPr="003A7C1F">
              <w:t>a registered provider of assessment services</w:t>
            </w:r>
          </w:p>
          <w:p w:rsidR="00000000" w:rsidRPr="003A7C1F" w:rsidP="003A7C1F">
            <w:pPr>
              <w:pStyle w:val="ListBullet2"/>
            </w:pPr>
            <w:r w:rsidRPr="003A7C1F">
              <w:t>competency standards</w:t>
            </w:r>
          </w:p>
          <w:p w:rsidR="00000000" w:rsidRPr="003A7C1F" w:rsidP="003A7C1F">
            <w:pPr>
              <w:pStyle w:val="ListBullet2"/>
            </w:pPr>
            <w:r w:rsidRPr="003A7C1F">
              <w:t>assessment materials and tools</w:t>
            </w:r>
          </w:p>
          <w:p w:rsidR="00000000" w:rsidRPr="003A7C1F" w:rsidP="003A7C1F">
            <w:pPr>
              <w:pStyle w:val="ListBullet2"/>
            </w:pPr>
            <w:r w:rsidRPr="003A7C1F">
              <w:t>suitable assessment venue/equipment</w:t>
            </w:r>
          </w:p>
          <w:p w:rsidR="00000000" w:rsidRPr="003A7C1F" w:rsidP="003A7C1F">
            <w:pPr>
              <w:pStyle w:val="ListBullet2"/>
            </w:pPr>
            <w:r w:rsidRPr="003A7C1F">
              <w:t>workplace documentation</w:t>
            </w:r>
          </w:p>
          <w:p w:rsidR="00000000" w:rsidRPr="003A7C1F" w:rsidP="003A7C1F">
            <w:pPr>
              <w:pStyle w:val="ListBullet2"/>
            </w:pPr>
            <w:r w:rsidRPr="003A7C1F">
              <w:t>candidate special requirements</w:t>
            </w:r>
          </w:p>
          <w:p w:rsidR="00000000" w:rsidRPr="003A7C1F" w:rsidP="003A7C1F">
            <w:pPr>
              <w:pStyle w:val="ListBullet2"/>
            </w:pPr>
            <w:r w:rsidRPr="003A7C1F">
              <w:t>cost and time considerations.</w:t>
            </w:r>
          </w:p>
          <w:p w:rsidR="00000000" w:rsidRPr="003A7C1F" w:rsidP="003A7C1F">
            <w:pPr>
              <w:pStyle w:val="ListBullet"/>
            </w:pPr>
            <w:r w:rsidRPr="003A7C1F">
              <w:t>Validity and sufficiency of evidence requires:</w:t>
            </w:r>
          </w:p>
          <w:p w:rsidR="00000000" w:rsidRPr="003A7C1F" w:rsidP="003A7C1F">
            <w:pPr>
              <w:pStyle w:val="ListBullet2"/>
            </w:pPr>
            <w:r w:rsidRPr="003A7C1F">
              <w:t xml:space="preserve">competency will need to be demonstrated over a period of time reflecting the scope of </w:t>
            </w:r>
            <w:r w:rsidRPr="003A7C1F">
              <w:t>the role</w:t>
            </w:r>
          </w:p>
          <w:p w:rsidR="00000000" w:rsidRPr="003A7C1F" w:rsidP="003A7C1F">
            <w:pPr>
              <w:pStyle w:val="ListBullet2"/>
            </w:pPr>
            <w:r w:rsidRPr="003A7C1F">
              <w:t xml:space="preserve">where the assessment is part of a structured learning experience the evidence collected must relate to a number of performances assessed at different points in time and separated by further learning and practice with a decision of competence only </w:t>
            </w:r>
            <w:r w:rsidRPr="003A7C1F">
              <w:t>taken at the point when the assessor has complete confidence in the person's competence</w:t>
            </w:r>
          </w:p>
          <w:p w:rsidR="00000000" w:rsidRPr="003A7C1F" w:rsidP="003A7C1F">
            <w:pPr>
              <w:pStyle w:val="ListBullet2"/>
            </w:pPr>
            <w:r w:rsidRPr="003A7C1F">
              <w:t>all assessment that is part of a structured learning experience must include a combination of direct, indirect and supplementary evidence</w:t>
            </w:r>
          </w:p>
          <w:p w:rsidR="00000000" w:rsidRPr="003A7C1F" w:rsidP="003A7C1F">
            <w:pPr>
              <w:pStyle w:val="ListBullet2"/>
            </w:pPr>
            <w:r w:rsidRPr="003A7C1F">
              <w:t>where assessment is for the pu</w:t>
            </w:r>
            <w:r w:rsidRPr="003A7C1F">
              <w:t>rpose of recognition (RCC/RPL), the evidence provided will need to be current and show that it represents competency demonstrated over a period of time</w:t>
            </w:r>
          </w:p>
          <w:p w:rsidR="00000000" w:rsidP="003A7C1F">
            <w:pPr>
              <w:pStyle w:val="ListBullet2"/>
              <w:rPr>
                <w:lang w:val="en-NZ"/>
              </w:rPr>
            </w:pPr>
            <w:r w:rsidRPr="003A7C1F">
              <w:t>assessment can be through simulated project-based activity and must include evidence relating to each of</w:t>
            </w:r>
            <w:r w:rsidRPr="003A7C1F">
              <w:t xml:space="preserve"> the elements in this unit.</w:t>
            </w:r>
          </w:p>
        </w:tc>
      </w:tr>
      <w:tr w:rsidTr="00A06054">
        <w:tblPrEx>
          <w:tblW w:w="0" w:type="auto"/>
          <w:tblLayout w:type="fixed"/>
          <w:tblCellMar>
            <w:left w:w="62" w:type="dxa"/>
            <w:right w:w="62" w:type="dxa"/>
          </w:tblCellMar>
          <w:tblLook w:val="0000"/>
        </w:tblPrEx>
        <w:tc>
          <w:tcPr>
            <w:tcW w:w="8720" w:type="dxa"/>
            <w:gridSpan w:val="3"/>
            <w:tcBorders>
              <w:top w:val="nil"/>
              <w:left w:val="nil"/>
              <w:bottom w:val="nil"/>
              <w:right w:val="nil"/>
            </w:tcBorders>
            <w:tcMar>
              <w:top w:w="0" w:type="dxa"/>
              <w:left w:w="62" w:type="dxa"/>
              <w:bottom w:w="0" w:type="dxa"/>
              <w:right w:w="62" w:type="dxa"/>
            </w:tcMar>
          </w:tcPr>
          <w:p w:rsidR="00000000" w:rsidRPr="003A7C1F" w:rsidP="003A7C1F">
            <w:pPr>
              <w:pStyle w:val="BodyText"/>
            </w:pPr>
          </w:p>
        </w:tc>
      </w:tr>
    </w:tbl>
    <w:p w:rsidR="00A06054" w:rsidP="003A7C1F">
      <w:pPr>
        <w:pStyle w:val="BodyText"/>
      </w:pPr>
    </w:p>
    <w:p w:rsidR="00A06054" w:rsidP="003A7C1F">
      <w:pPr>
        <w:pStyle w:val="BodyText"/>
      </w:pPr>
    </w:p>
    <w:p w:rsidR="00000000" w:rsidRPr="003A7C1F" w:rsidP="003A7C1F">
      <w:pPr>
        <w:pStyle w:val="Heading1"/>
      </w:pPr>
      <w:bookmarkStart w:id="11" w:name="O_250660"/>
      <w:bookmarkEnd w:id="11"/>
      <w:r w:rsidRPr="003A7C1F">
        <w:t>Range Statement</w:t>
      </w:r>
    </w:p>
    <w:p w:rsidR="00000000" w:rsidRPr="003A7C1F" w:rsidP="003A7C1F">
      <w:pPr>
        <w:pStyle w:val="BodyText"/>
      </w:pPr>
      <w:r w:rsidRPr="003A7C1F">
        <w:rPr>
          <w:rStyle w:val="SpecialBold"/>
        </w:rPr>
        <w:t>RANGE STATEMENT</w:t>
      </w:r>
    </w:p>
    <w:p w:rsidR="00000000" w:rsidRPr="003A7C1F" w:rsidP="003A7C1F">
      <w:pPr>
        <w:pStyle w:val="BodyText"/>
      </w:pPr>
      <w:r w:rsidRPr="003A7C1F">
        <w:t>The range statement relates to the unit of competency as a whole. It allows for different work environments and situations that may affect performance. Bold italicised wording in the performance criteria is detailed below. Add any essential operating condi</w:t>
      </w:r>
      <w:r w:rsidRPr="003A7C1F">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46"/>
        <w:gridCol w:w="5676"/>
      </w:tblGrid>
      <w:tr w:rsidTr="00A06054">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3A7C1F">
            <w:pPr>
              <w:pStyle w:val="BodyText"/>
              <w:rPr>
                <w:lang w:val="en-NZ"/>
              </w:rPr>
            </w:pPr>
            <w:r w:rsidRPr="003A7C1F">
              <w:rPr>
                <w:rStyle w:val="BoldandItalics"/>
              </w:rPr>
              <w:t>Client</w:t>
            </w:r>
            <w:r w:rsidRPr="003A7C1F">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3A7C1F" w:rsidP="003A7C1F">
            <w:pPr>
              <w:pStyle w:val="ListBullet"/>
            </w:pPr>
            <w:r w:rsidRPr="003A7C1F">
              <w:t>architect</w:t>
            </w:r>
          </w:p>
          <w:p w:rsidR="00000000" w:rsidRPr="003A7C1F" w:rsidP="003A7C1F">
            <w:pPr>
              <w:pStyle w:val="ListBullet"/>
            </w:pPr>
            <w:r w:rsidRPr="003A7C1F">
              <w:t>owner and manager</w:t>
            </w:r>
          </w:p>
          <w:p w:rsidR="00000000" w:rsidRPr="003A7C1F" w:rsidP="003A7C1F">
            <w:pPr>
              <w:pStyle w:val="ListBullet"/>
            </w:pPr>
            <w:r w:rsidRPr="003A7C1F">
              <w:t>building designer</w:t>
            </w:r>
          </w:p>
          <w:p w:rsidR="00000000" w:rsidRPr="003A7C1F" w:rsidP="003A7C1F">
            <w:pPr>
              <w:pStyle w:val="ListBullet"/>
            </w:pPr>
            <w:r w:rsidRPr="003A7C1F">
              <w:t>builder</w:t>
            </w:r>
          </w:p>
          <w:p w:rsidR="00000000" w:rsidRPr="003A7C1F" w:rsidP="003A7C1F">
            <w:pPr>
              <w:pStyle w:val="ListBullet"/>
            </w:pPr>
            <w:r w:rsidRPr="003A7C1F">
              <w:t>building certifier and surveyor</w:t>
            </w:r>
          </w:p>
          <w:p w:rsidR="00000000" w:rsidP="003A7C1F">
            <w:pPr>
              <w:pStyle w:val="ListBullet"/>
              <w:rPr>
                <w:lang w:val="en-NZ"/>
              </w:rPr>
            </w:pPr>
            <w:r w:rsidRPr="003A7C1F">
              <w:t>developer.</w:t>
            </w:r>
          </w:p>
        </w:tc>
      </w:tr>
      <w:tr w:rsidTr="00A06054">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3A7C1F">
            <w:pPr>
              <w:pStyle w:val="BodyText"/>
              <w:rPr>
                <w:lang w:val="en-NZ"/>
              </w:rPr>
            </w:pPr>
            <w:r w:rsidRPr="003A7C1F">
              <w:rPr>
                <w:rStyle w:val="BoldandItalics"/>
              </w:rPr>
              <w:t>Organisational requirements</w:t>
            </w:r>
            <w:r w:rsidRPr="003A7C1F">
              <w:t xml:space="preserve"> may be outlined and reflected in:</w:t>
            </w:r>
          </w:p>
        </w:tc>
        <w:tc>
          <w:tcPr>
            <w:tcW w:w="5676" w:type="dxa"/>
            <w:tcBorders>
              <w:top w:val="nil"/>
              <w:left w:val="nil"/>
              <w:bottom w:val="nil"/>
              <w:right w:val="nil"/>
            </w:tcBorders>
            <w:tcMar>
              <w:top w:w="0" w:type="dxa"/>
              <w:left w:w="62" w:type="dxa"/>
              <w:bottom w:w="0" w:type="dxa"/>
              <w:right w:w="62" w:type="dxa"/>
            </w:tcMar>
          </w:tcPr>
          <w:p w:rsidR="00000000" w:rsidRPr="003A7C1F" w:rsidP="003A7C1F">
            <w:pPr>
              <w:pStyle w:val="ListBullet"/>
            </w:pPr>
            <w:r w:rsidRPr="003A7C1F">
              <w:t>access and equity policy, principles and practices</w:t>
            </w:r>
          </w:p>
          <w:p w:rsidR="00000000" w:rsidRPr="003A7C1F" w:rsidP="003A7C1F">
            <w:pPr>
              <w:pStyle w:val="ListBullet"/>
            </w:pPr>
            <w:r w:rsidRPr="003A7C1F">
              <w:t>business and performance plans</w:t>
            </w:r>
          </w:p>
          <w:p w:rsidR="00000000" w:rsidRPr="003A7C1F" w:rsidP="003A7C1F">
            <w:pPr>
              <w:pStyle w:val="ListBullet"/>
            </w:pPr>
            <w:r w:rsidRPr="003A7C1F">
              <w:t>client service policies, procedures and standards</w:t>
            </w:r>
          </w:p>
          <w:p w:rsidR="00000000" w:rsidRPr="003A7C1F" w:rsidP="003A7C1F">
            <w:pPr>
              <w:pStyle w:val="ListBullet"/>
            </w:pPr>
            <w:r w:rsidRPr="003A7C1F">
              <w:t>codes of conduct and codes of practice</w:t>
            </w:r>
          </w:p>
          <w:p w:rsidR="00000000" w:rsidRPr="003A7C1F" w:rsidP="003A7C1F">
            <w:pPr>
              <w:pStyle w:val="ListBullet"/>
            </w:pPr>
            <w:r w:rsidRPr="003A7C1F">
              <w:t>communication channels and reporting procedures</w:t>
            </w:r>
          </w:p>
          <w:p w:rsidR="00000000" w:rsidRPr="003A7C1F" w:rsidP="003A7C1F">
            <w:pPr>
              <w:pStyle w:val="ListBullet"/>
            </w:pPr>
            <w:r w:rsidRPr="003A7C1F">
              <w:t>communication of services offered</w:t>
            </w:r>
          </w:p>
          <w:p w:rsidR="00000000" w:rsidRPr="003A7C1F" w:rsidP="003A7C1F">
            <w:pPr>
              <w:pStyle w:val="ListBullet"/>
            </w:pPr>
            <w:r w:rsidRPr="003A7C1F">
              <w:t>complaint and dispute resolution procedures</w:t>
            </w:r>
          </w:p>
          <w:p w:rsidR="00000000" w:rsidRPr="003A7C1F" w:rsidP="003A7C1F">
            <w:pPr>
              <w:pStyle w:val="ListBullet"/>
            </w:pPr>
            <w:r w:rsidRPr="003A7C1F">
              <w:t>compliance with legislation, codes and workplace standards</w:t>
            </w:r>
          </w:p>
          <w:p w:rsidR="00000000" w:rsidRPr="003A7C1F" w:rsidP="003A7C1F">
            <w:pPr>
              <w:pStyle w:val="ListBullet"/>
            </w:pPr>
            <w:r w:rsidRPr="003A7C1F">
              <w:t>continuous improvement processes</w:t>
            </w:r>
            <w:r w:rsidRPr="003A7C1F">
              <w:t xml:space="preserve"> and standards</w:t>
            </w:r>
          </w:p>
          <w:p w:rsidR="00000000" w:rsidRPr="003A7C1F" w:rsidP="003A7C1F">
            <w:pPr>
              <w:pStyle w:val="ListBullet"/>
            </w:pPr>
            <w:r w:rsidRPr="003A7C1F">
              <w:t>defined resource parameters</w:t>
            </w:r>
          </w:p>
          <w:p w:rsidR="00000000" w:rsidRPr="003A7C1F" w:rsidP="003A7C1F">
            <w:pPr>
              <w:pStyle w:val="ListBullet"/>
            </w:pPr>
            <w:r w:rsidRPr="003A7C1F">
              <w:t>duty of care</w:t>
            </w:r>
          </w:p>
          <w:p w:rsidR="00000000" w:rsidRPr="003A7C1F" w:rsidP="003A7C1F">
            <w:pPr>
              <w:pStyle w:val="ListBullet"/>
            </w:pPr>
            <w:r w:rsidRPr="003A7C1F">
              <w:t>employer and employee rights and responsibilities</w:t>
            </w:r>
          </w:p>
          <w:p w:rsidR="00000000" w:rsidRPr="003A7C1F" w:rsidP="003A7C1F">
            <w:pPr>
              <w:pStyle w:val="ListBullet"/>
            </w:pPr>
            <w:r w:rsidRPr="003A7C1F">
              <w:t>ethical standards</w:t>
            </w:r>
          </w:p>
          <w:p w:rsidR="00000000" w:rsidRPr="003A7C1F" w:rsidP="003A7C1F">
            <w:pPr>
              <w:pStyle w:val="ListBullet"/>
            </w:pPr>
            <w:r w:rsidRPr="003A7C1F">
              <w:t>legal policies and guidelines</w:t>
            </w:r>
          </w:p>
          <w:p w:rsidR="00000000" w:rsidRPr="003A7C1F" w:rsidP="003A7C1F">
            <w:pPr>
              <w:pStyle w:val="ListBullet"/>
            </w:pPr>
            <w:r w:rsidRPr="003A7C1F">
              <w:t>OHS policies, procedures and programs</w:t>
            </w:r>
          </w:p>
          <w:p w:rsidR="00000000" w:rsidRPr="003A7C1F" w:rsidP="003A7C1F">
            <w:pPr>
              <w:pStyle w:val="ListBullet"/>
            </w:pPr>
            <w:r w:rsidRPr="003A7C1F">
              <w:t>organisational mission statement, goals, objectives, plans, systems and processes</w:t>
            </w:r>
          </w:p>
          <w:p w:rsidR="00000000" w:rsidRPr="003A7C1F" w:rsidP="003A7C1F">
            <w:pPr>
              <w:pStyle w:val="ListBullet"/>
            </w:pPr>
            <w:r w:rsidRPr="003A7C1F">
              <w:t>policies and procedures relating to the setting of fees and the negotiation and management of contracts</w:t>
            </w:r>
          </w:p>
          <w:p w:rsidR="00000000" w:rsidRPr="003A7C1F" w:rsidP="003A7C1F">
            <w:pPr>
              <w:pStyle w:val="ListBullet"/>
            </w:pPr>
            <w:r w:rsidRPr="003A7C1F">
              <w:t>policies and procedures relating to own role, responsibilities and del</w:t>
            </w:r>
            <w:r w:rsidRPr="003A7C1F">
              <w:t>egation</w:t>
            </w:r>
          </w:p>
          <w:p w:rsidR="00000000" w:rsidRPr="003A7C1F" w:rsidP="003A7C1F">
            <w:pPr>
              <w:pStyle w:val="ListBullet"/>
            </w:pPr>
            <w:r w:rsidRPr="003A7C1F">
              <w:t>privacy and confidentiality policies and procedures</w:t>
            </w:r>
          </w:p>
          <w:p w:rsidR="00000000" w:rsidRPr="003A7C1F" w:rsidP="003A7C1F">
            <w:pPr>
              <w:pStyle w:val="ListBullet"/>
            </w:pPr>
            <w:r w:rsidRPr="003A7C1F">
              <w:t>quality assurance and procedures manuals</w:t>
            </w:r>
          </w:p>
          <w:p w:rsidR="00000000" w:rsidRPr="003A7C1F" w:rsidP="003A7C1F">
            <w:pPr>
              <w:pStyle w:val="ListBullet"/>
            </w:pPr>
            <w:r w:rsidRPr="003A7C1F">
              <w:t>records and information management systems and processes</w:t>
            </w:r>
          </w:p>
          <w:p w:rsidR="00000000" w:rsidRPr="003A7C1F" w:rsidP="003A7C1F">
            <w:pPr>
              <w:pStyle w:val="BodyText"/>
            </w:pPr>
            <w:r w:rsidRPr="003A7C1F">
              <w:t>style guides and other guides used to prepare documents.</w:t>
            </w:r>
          </w:p>
        </w:tc>
      </w:tr>
    </w:tbl>
    <w:p w:rsidR="00A06054" w:rsidP="003A7C1F">
      <w:pPr>
        <w:pStyle w:val="BodyText"/>
      </w:pPr>
    </w:p>
    <w:p w:rsidR="00A06054" w:rsidP="003A7C1F">
      <w:pPr>
        <w:pStyle w:val="BodyText"/>
      </w:pPr>
    </w:p>
    <w:p w:rsidR="00000000" w:rsidRPr="003A7C1F" w:rsidP="003A7C1F">
      <w:pPr>
        <w:pStyle w:val="Heading1"/>
      </w:pPr>
      <w:bookmarkStart w:id="12" w:name="O_200569"/>
      <w:bookmarkEnd w:id="12"/>
      <w:r w:rsidRPr="003A7C1F">
        <w:t>Unit Sector(s)</w:t>
      </w:r>
    </w:p>
    <w:p w:rsidR="00000000" w:rsidRPr="003A7C1F" w:rsidP="003A7C1F">
      <w:pPr>
        <w:pStyle w:val="BodyText"/>
      </w:pPr>
      <w:r w:rsidRPr="003A7C1F">
        <w:rPr>
          <w:rStyle w:val="SpecialBold"/>
        </w:rPr>
        <w:t>Unit sector</w:t>
      </w:r>
    </w:p>
    <w:p w:rsidR="00A06054" w:rsidP="003A7C1F">
      <w:pPr>
        <w:pStyle w:val="BodyText"/>
      </w:pPr>
      <w:r w:rsidRPr="003A7C1F">
        <w:t>Access consulting</w:t>
      </w:r>
    </w:p>
    <w:p w:rsidR="00A06054" w:rsidP="003A7C1F">
      <w:pPr>
        <w:pStyle w:val="BodyText"/>
      </w:pPr>
    </w:p>
    <w:p w:rsidR="00000000" w:rsidRPr="003A7C1F" w:rsidP="003A7C1F"/>
    <w:sectPr w:rsidSect="003A7C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C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6054" w:rsidP="00A060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C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054" w:rsidP="003A7C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06054" w:rsidP="003A7C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06054" w:rsidP="003A7C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C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6054" w:rsidP="00A0605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C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054" w:rsidP="003A7C1F">
    <w:pPr>
      <w:pStyle w:val="Header"/>
      <w:framePr w:wrap="around"/>
    </w:pPr>
    <w:r>
      <w:fldChar w:fldCharType="begin"/>
    </w:r>
    <w:r>
      <w:instrText xml:space="preserve"> TITLE   \* MERGEFORMAT </w:instrText>
    </w:r>
    <w:r>
      <w:fldChar w:fldCharType="separate"/>
    </w:r>
    <w:r>
      <w:t>CPPACC5002A Inspect access compliance during the building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06054" w:rsidP="003A7C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08E1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0CC7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6E7F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7C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A7C1F"/>
    <w:pPr>
      <w:spacing w:before="360" w:after="60"/>
      <w:outlineLvl w:val="0"/>
    </w:pPr>
    <w:rPr>
      <w:sz w:val="32"/>
    </w:rPr>
  </w:style>
  <w:style w:type="paragraph" w:styleId="Heading2">
    <w:name w:val="heading 2"/>
    <w:basedOn w:val="HeadingBase"/>
    <w:next w:val="BodyText"/>
    <w:link w:val="Heading2Char"/>
    <w:qFormat/>
    <w:rsid w:val="003A7C1F"/>
    <w:pPr>
      <w:keepLines/>
      <w:spacing w:before="240" w:after="120"/>
      <w:outlineLvl w:val="1"/>
    </w:pPr>
    <w:rPr>
      <w:sz w:val="28"/>
      <w:szCs w:val="40"/>
    </w:rPr>
  </w:style>
  <w:style w:type="paragraph" w:styleId="Heading3">
    <w:name w:val="heading 3"/>
    <w:basedOn w:val="HeadingBase"/>
    <w:next w:val="BodyText"/>
    <w:link w:val="Heading3Char"/>
    <w:qFormat/>
    <w:rsid w:val="003A7C1F"/>
    <w:pPr>
      <w:spacing w:before="180" w:after="120"/>
      <w:outlineLvl w:val="2"/>
    </w:pPr>
    <w:rPr>
      <w:spacing w:val="-10"/>
      <w:kern w:val="32"/>
    </w:rPr>
  </w:style>
  <w:style w:type="paragraph" w:styleId="Heading4">
    <w:name w:val="heading 4"/>
    <w:basedOn w:val="HeadingBase"/>
    <w:next w:val="BodyText"/>
    <w:link w:val="Heading4Char"/>
    <w:qFormat/>
    <w:rsid w:val="003A7C1F"/>
    <w:pPr>
      <w:spacing w:before="160" w:after="120"/>
      <w:outlineLvl w:val="3"/>
    </w:pPr>
    <w:rPr>
      <w:sz w:val="22"/>
    </w:rPr>
  </w:style>
  <w:style w:type="paragraph" w:styleId="Heading5">
    <w:name w:val="heading 5"/>
    <w:basedOn w:val="HeadingBase"/>
    <w:next w:val="Normal"/>
    <w:link w:val="Heading5Char"/>
    <w:qFormat/>
    <w:rsid w:val="003A7C1F"/>
    <w:pPr>
      <w:spacing w:before="80"/>
      <w:outlineLvl w:val="4"/>
    </w:pPr>
    <w:rPr>
      <w:color w:val="918585"/>
      <w:sz w:val="20"/>
    </w:rPr>
  </w:style>
  <w:style w:type="paragraph" w:styleId="Heading6">
    <w:name w:val="heading 6"/>
    <w:basedOn w:val="HeadingBase"/>
    <w:next w:val="Normal"/>
    <w:link w:val="Heading6Char"/>
    <w:qFormat/>
    <w:rsid w:val="003A7C1F"/>
    <w:pPr>
      <w:spacing w:before="60"/>
      <w:outlineLvl w:val="5"/>
    </w:pPr>
    <w:rPr>
      <w:color w:val="918585"/>
      <w:sz w:val="20"/>
    </w:rPr>
  </w:style>
  <w:style w:type="paragraph" w:styleId="Heading7">
    <w:name w:val="heading 7"/>
    <w:basedOn w:val="Normal"/>
    <w:next w:val="Normal"/>
    <w:link w:val="Heading7Char"/>
    <w:qFormat/>
    <w:rsid w:val="003A7C1F"/>
    <w:pPr>
      <w:ind w:left="720"/>
      <w:outlineLvl w:val="6"/>
    </w:pPr>
    <w:rPr>
      <w:i/>
    </w:rPr>
  </w:style>
  <w:style w:type="paragraph" w:styleId="Heading8">
    <w:name w:val="heading 8"/>
    <w:basedOn w:val="Normal"/>
    <w:next w:val="Normal"/>
    <w:link w:val="Heading8Char"/>
    <w:qFormat/>
    <w:rsid w:val="003A7C1F"/>
    <w:pPr>
      <w:ind w:left="720"/>
      <w:outlineLvl w:val="7"/>
    </w:pPr>
    <w:rPr>
      <w:i/>
    </w:rPr>
  </w:style>
  <w:style w:type="paragraph" w:styleId="Heading9">
    <w:name w:val="heading 9"/>
    <w:basedOn w:val="Normal"/>
    <w:next w:val="Normal"/>
    <w:link w:val="Heading9Char"/>
    <w:qFormat/>
    <w:rsid w:val="003A7C1F"/>
    <w:pPr>
      <w:ind w:left="720"/>
      <w:outlineLvl w:val="8"/>
    </w:pPr>
    <w:rPr>
      <w:i/>
    </w:rPr>
  </w:style>
  <w:style w:type="character" w:default="1" w:styleId="DefaultParagraphFont">
    <w:name w:val="Default Paragraph Font"/>
    <w:uiPriority w:val="1"/>
    <w:unhideWhenUsed/>
    <w:rsid w:val="003A7C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7C1F"/>
  </w:style>
  <w:style w:type="character" w:customStyle="1" w:styleId="Heading1Char">
    <w:name w:val="Heading 1 Char"/>
    <w:basedOn w:val="DefaultParagraphFont"/>
    <w:link w:val="Heading1"/>
    <w:rsid w:val="003A7C1F"/>
    <w:rPr>
      <w:rFonts w:ascii="Times New Roman" w:eastAsia="Times New Roman" w:hAnsi="Times New Roman" w:cs="Times New Roman"/>
      <w:b/>
      <w:sz w:val="32"/>
      <w:szCs w:val="20"/>
      <w:lang w:eastAsia="en-US"/>
    </w:rPr>
  </w:style>
  <w:style w:type="paragraph" w:styleId="BodyText">
    <w:name w:val="Body Text"/>
    <w:basedOn w:val="Normal"/>
    <w:link w:val="BodyTextChar"/>
    <w:rsid w:val="003A7C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7C1F"/>
    <w:rPr>
      <w:rFonts w:ascii="Times New Roman" w:eastAsia="Times New Roman" w:hAnsi="Times New Roman" w:cs="Times New Roman"/>
      <w:sz w:val="24"/>
      <w:lang w:val="en-US" w:eastAsia="en-US"/>
    </w:rPr>
  </w:style>
  <w:style w:type="paragraph" w:styleId="Footer">
    <w:name w:val="footer"/>
    <w:basedOn w:val="Normal"/>
    <w:link w:val="FooterChar"/>
    <w:rsid w:val="003A7C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7C1F"/>
    <w:rPr>
      <w:rFonts w:ascii="Times New Roman" w:eastAsia="Times New Roman" w:hAnsi="Times New Roman" w:cs="Times New Roman"/>
      <w:sz w:val="16"/>
      <w:lang w:val="en-US" w:eastAsia="en-US"/>
    </w:rPr>
  </w:style>
  <w:style w:type="paragraph" w:styleId="List">
    <w:name w:val="List"/>
    <w:basedOn w:val="BodyText"/>
    <w:next w:val="BodyText"/>
    <w:rsid w:val="003A7C1F"/>
    <w:pPr>
      <w:tabs>
        <w:tab w:val="left" w:pos="340"/>
      </w:tabs>
      <w:spacing w:before="60" w:after="60"/>
      <w:ind w:left="340" w:hanging="340"/>
    </w:pPr>
  </w:style>
  <w:style w:type="paragraph" w:styleId="ListBullet">
    <w:name w:val="List Bullet"/>
    <w:basedOn w:val="List"/>
    <w:rsid w:val="003A7C1F"/>
    <w:pPr>
      <w:numPr>
        <w:numId w:val="13"/>
      </w:numPr>
      <w:tabs>
        <w:tab w:val="clear" w:pos="340"/>
      </w:tabs>
      <w:spacing w:before="40" w:after="40"/>
    </w:pPr>
  </w:style>
  <w:style w:type="character" w:customStyle="1" w:styleId="SpecialBold">
    <w:name w:val="Special Bold"/>
    <w:basedOn w:val="DefaultParagraphFont"/>
    <w:rsid w:val="003A7C1F"/>
    <w:rPr>
      <w:b/>
      <w:spacing w:val="0"/>
    </w:rPr>
  </w:style>
  <w:style w:type="paragraph" w:styleId="ListBullet2">
    <w:name w:val="List Bullet 2"/>
    <w:basedOn w:val="List2"/>
    <w:rsid w:val="003A7C1F"/>
    <w:pPr>
      <w:numPr>
        <w:numId w:val="14"/>
      </w:numPr>
      <w:tabs>
        <w:tab w:val="clear" w:pos="680"/>
      </w:tabs>
    </w:pPr>
  </w:style>
  <w:style w:type="paragraph" w:styleId="Header">
    <w:name w:val="header"/>
    <w:basedOn w:val="Normal"/>
    <w:link w:val="HeaderChar"/>
    <w:rsid w:val="003A7C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7C1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A7C1F"/>
    <w:pPr>
      <w:spacing w:before="240" w:after="120"/>
      <w:outlineLvl w:val="0"/>
    </w:pPr>
    <w:rPr>
      <w:rFonts w:ascii="Times New Roman" w:hAnsi="Times New Roman"/>
      <w:b/>
      <w:sz w:val="28"/>
    </w:rPr>
  </w:style>
  <w:style w:type="paragraph" w:customStyle="1" w:styleId="AllowPageBreak">
    <w:name w:val="AllowPageBreak"/>
    <w:rsid w:val="003A7C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A7C1F"/>
    <w:rPr>
      <w:b/>
      <w:i/>
      <w:u w:val="none"/>
    </w:rPr>
  </w:style>
  <w:style w:type="character" w:customStyle="1" w:styleId="Heading2Char">
    <w:name w:val="Heading 2 Char"/>
    <w:basedOn w:val="DefaultParagraphFont"/>
    <w:link w:val="Heading2"/>
    <w:rsid w:val="003A7C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7C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7C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7C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7C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7C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A7C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A7C1F"/>
    <w:rPr>
      <w:rFonts w:ascii="Courier New" w:eastAsia="Times New Roman" w:hAnsi="Courier New" w:cs="Times New Roman"/>
      <w:i/>
      <w:szCs w:val="20"/>
      <w:lang w:val="en-US" w:eastAsia="en-US"/>
    </w:rPr>
  </w:style>
  <w:style w:type="paragraph" w:customStyle="1" w:styleId="HeadingBase">
    <w:name w:val="Heading Base"/>
    <w:rsid w:val="003A7C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7C1F"/>
    <w:pPr>
      <w:tabs>
        <w:tab w:val="right" w:leader="dot" w:pos="9072"/>
      </w:tabs>
      <w:ind w:left="567"/>
    </w:pPr>
    <w:rPr>
      <w:szCs w:val="22"/>
    </w:rPr>
  </w:style>
  <w:style w:type="paragraph" w:customStyle="1" w:styleId="TOCBase">
    <w:name w:val="TOC Base"/>
    <w:rsid w:val="003A7C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7C1F"/>
    <w:pPr>
      <w:tabs>
        <w:tab w:val="right" w:leader="dot" w:pos="9072"/>
      </w:tabs>
      <w:spacing w:before="40" w:after="40"/>
      <w:ind w:left="284"/>
    </w:pPr>
    <w:rPr>
      <w:rFonts w:ascii="Times New Roman" w:hAnsi="Times New Roman"/>
    </w:rPr>
  </w:style>
  <w:style w:type="paragraph" w:styleId="TOC1">
    <w:name w:val="toc 1"/>
    <w:basedOn w:val="TOCBase"/>
    <w:next w:val="Normal"/>
    <w:rsid w:val="003A7C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7C1F"/>
    <w:pPr>
      <w:spacing w:before="5040"/>
      <w:jc w:val="center"/>
    </w:pPr>
    <w:rPr>
      <w:sz w:val="48"/>
      <w:szCs w:val="72"/>
      <w:lang w:val="en-US"/>
    </w:rPr>
  </w:style>
  <w:style w:type="character" w:customStyle="1" w:styleId="TitleChar">
    <w:name w:val="Title Char"/>
    <w:basedOn w:val="DefaultParagraphFont"/>
    <w:link w:val="Title"/>
    <w:rsid w:val="003A7C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7C1F"/>
    <w:pPr>
      <w:tabs>
        <w:tab w:val="left" w:pos="3600"/>
        <w:tab w:val="left" w:pos="3958"/>
      </w:tabs>
    </w:pPr>
  </w:style>
  <w:style w:type="paragraph" w:customStyle="1" w:styleId="Note">
    <w:name w:val="Note"/>
    <w:basedOn w:val="BodyText"/>
    <w:rsid w:val="003A7C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7C1F"/>
    <w:pPr>
      <w:framePr w:wrap="auto" w:hAnchor="text" w:y="6049"/>
    </w:pPr>
    <w:rPr>
      <w:color w:val="000000"/>
      <w:sz w:val="40"/>
    </w:rPr>
  </w:style>
  <w:style w:type="paragraph" w:customStyle="1" w:styleId="TOCTitle">
    <w:name w:val="TOCTitle"/>
    <w:basedOn w:val="Heading1"/>
    <w:rsid w:val="003A7C1F"/>
    <w:pPr>
      <w:spacing w:after="240"/>
      <w:jc w:val="center"/>
      <w:outlineLvl w:val="9"/>
    </w:pPr>
    <w:rPr>
      <w:caps/>
    </w:rPr>
  </w:style>
  <w:style w:type="paragraph" w:customStyle="1" w:styleId="Version">
    <w:name w:val="Version"/>
    <w:rsid w:val="003A7C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7C1F"/>
    <w:pPr>
      <w:keepNext w:val="0"/>
      <w:tabs>
        <w:tab w:val="right" w:pos="4176"/>
      </w:tabs>
      <w:ind w:left="198" w:hanging="198"/>
    </w:pPr>
    <w:rPr>
      <w:rFonts w:ascii="Garamond" w:hAnsi="Garamond"/>
    </w:rPr>
  </w:style>
  <w:style w:type="paragraph" w:styleId="IndexHeading">
    <w:name w:val="index heading"/>
    <w:basedOn w:val="Normal"/>
    <w:next w:val="Index1"/>
    <w:semiHidden/>
    <w:rsid w:val="003A7C1F"/>
    <w:pPr>
      <w:spacing w:before="120" w:after="120"/>
    </w:pPr>
    <w:rPr>
      <w:rFonts w:ascii="Arial" w:hAnsi="Arial"/>
      <w:b/>
      <w:color w:val="918585"/>
      <w:sz w:val="24"/>
    </w:rPr>
  </w:style>
  <w:style w:type="paragraph" w:customStyle="1" w:styleId="Chapter">
    <w:name w:val="Chapter"/>
    <w:basedOn w:val="Normal"/>
    <w:rsid w:val="003A7C1F"/>
    <w:pPr>
      <w:spacing w:before="240"/>
    </w:pPr>
    <w:rPr>
      <w:rFonts w:ascii="Times New Roman" w:hAnsi="Times New Roman"/>
      <w:smallCaps/>
      <w:spacing w:val="80"/>
      <w:sz w:val="28"/>
    </w:rPr>
  </w:style>
  <w:style w:type="paragraph" w:customStyle="1" w:styleId="InChapter">
    <w:name w:val="InChapter"/>
    <w:basedOn w:val="Heading3"/>
    <w:rsid w:val="003A7C1F"/>
    <w:pPr>
      <w:spacing w:after="240"/>
      <w:outlineLvl w:val="9"/>
    </w:pPr>
    <w:rPr>
      <w:noProof/>
    </w:rPr>
  </w:style>
  <w:style w:type="paragraph" w:styleId="Index2">
    <w:name w:val="index 2"/>
    <w:basedOn w:val="Normal"/>
    <w:next w:val="Normal"/>
    <w:semiHidden/>
    <w:rsid w:val="003A7C1F"/>
    <w:pPr>
      <w:tabs>
        <w:tab w:val="right" w:pos="4176"/>
      </w:tabs>
      <w:ind w:left="568" w:hanging="284"/>
    </w:pPr>
    <w:rPr>
      <w:rFonts w:ascii="Garamond" w:hAnsi="Garamond"/>
    </w:rPr>
  </w:style>
  <w:style w:type="paragraph" w:customStyle="1" w:styleId="Byline">
    <w:name w:val="Byline"/>
    <w:rsid w:val="003A7C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7C1F"/>
    <w:pPr>
      <w:tabs>
        <w:tab w:val="clear" w:pos="3600"/>
        <w:tab w:val="clear" w:pos="3958"/>
      </w:tabs>
      <w:jc w:val="right"/>
    </w:pPr>
  </w:style>
  <w:style w:type="character" w:styleId="Emphasis">
    <w:name w:val="Emphasis"/>
    <w:basedOn w:val="DefaultParagraphFont"/>
    <w:qFormat/>
    <w:rsid w:val="003A7C1F"/>
    <w:rPr>
      <w:i/>
    </w:rPr>
  </w:style>
  <w:style w:type="paragraph" w:styleId="Caption">
    <w:name w:val="caption"/>
    <w:basedOn w:val="BodyText"/>
    <w:next w:val="Normal"/>
    <w:qFormat/>
    <w:rsid w:val="003A7C1F"/>
    <w:pPr>
      <w:framePr w:w="2268" w:hSpace="181" w:vSpace="181" w:wrap="around" w:vAnchor="text" w:hAnchor="page" w:x="1135" w:y="285" w:anchorLock="1"/>
    </w:pPr>
    <w:rPr>
      <w:i/>
    </w:rPr>
  </w:style>
  <w:style w:type="paragraph" w:customStyle="1" w:styleId="MiniTOCTitle">
    <w:name w:val="MiniTOCTitle"/>
    <w:basedOn w:val="Heading4"/>
    <w:rsid w:val="003A7C1F"/>
    <w:pPr>
      <w:spacing w:before="240"/>
      <w:outlineLvl w:val="9"/>
    </w:pPr>
    <w:rPr>
      <w:noProof/>
      <w:sz w:val="24"/>
    </w:rPr>
  </w:style>
  <w:style w:type="paragraph" w:customStyle="1" w:styleId="MiniTOCItem">
    <w:name w:val="MiniTOCItem"/>
    <w:basedOn w:val="ListBullet"/>
    <w:rsid w:val="003A7C1F"/>
    <w:pPr>
      <w:numPr>
        <w:numId w:val="0"/>
      </w:numPr>
      <w:tabs>
        <w:tab w:val="right" w:leader="dot" w:pos="6521"/>
      </w:tabs>
      <w:spacing w:before="0" w:after="0"/>
    </w:pPr>
  </w:style>
  <w:style w:type="paragraph" w:customStyle="1" w:styleId="TOFTitle">
    <w:name w:val="TOFTitle"/>
    <w:basedOn w:val="TOCTitle"/>
    <w:rsid w:val="003A7C1F"/>
  </w:style>
  <w:style w:type="paragraph" w:styleId="TableofFigures">
    <w:name w:val="table of figures"/>
    <w:basedOn w:val="Normal"/>
    <w:next w:val="Normal"/>
    <w:semiHidden/>
    <w:rsid w:val="003A7C1F"/>
    <w:pPr>
      <w:tabs>
        <w:tab w:val="right" w:leader="dot" w:pos="9072"/>
      </w:tabs>
      <w:ind w:left="970" w:hanging="403"/>
    </w:pPr>
    <w:rPr>
      <w:rFonts w:ascii="Times New Roman" w:hAnsi="Times New Roman"/>
      <w:b/>
    </w:rPr>
  </w:style>
  <w:style w:type="paragraph" w:styleId="ListNumber">
    <w:name w:val="List Number"/>
    <w:basedOn w:val="List"/>
    <w:rsid w:val="003A7C1F"/>
    <w:pPr>
      <w:numPr>
        <w:numId w:val="11"/>
      </w:numPr>
    </w:pPr>
  </w:style>
  <w:style w:type="character" w:customStyle="1" w:styleId="WingdingSymbols">
    <w:name w:val="Wingding Symbols"/>
    <w:rsid w:val="003A7C1F"/>
    <w:rPr>
      <w:rFonts w:ascii="Wingdings" w:hAnsi="Wingdings"/>
    </w:rPr>
  </w:style>
  <w:style w:type="paragraph" w:customStyle="1" w:styleId="TableHeading">
    <w:name w:val="Table Heading"/>
    <w:basedOn w:val="HeadingBase"/>
    <w:rsid w:val="003A7C1F"/>
    <w:pPr>
      <w:keepLines/>
      <w:pBdr>
        <w:bottom w:val="single" w:sz="6" w:space="1" w:color="918585"/>
      </w:pBdr>
      <w:spacing w:before="240"/>
    </w:pPr>
  </w:style>
  <w:style w:type="character" w:customStyle="1" w:styleId="HotSpot">
    <w:name w:val="HotSpot"/>
    <w:rsid w:val="003A7C1F"/>
    <w:rPr>
      <w:color w:val="0033CC"/>
      <w:u w:val="none"/>
    </w:rPr>
  </w:style>
  <w:style w:type="paragraph" w:customStyle="1" w:styleId="BodyTextRight">
    <w:name w:val="Body Text Right"/>
    <w:basedOn w:val="BodyText"/>
    <w:rsid w:val="003A7C1F"/>
    <w:pPr>
      <w:spacing w:before="0" w:after="0"/>
      <w:jc w:val="right"/>
    </w:pPr>
  </w:style>
  <w:style w:type="paragraph" w:styleId="Index3">
    <w:name w:val="index 3"/>
    <w:basedOn w:val="ListNumber2"/>
    <w:next w:val="Normal"/>
    <w:semiHidden/>
    <w:rsid w:val="003A7C1F"/>
    <w:pPr>
      <w:numPr>
        <w:numId w:val="0"/>
      </w:numPr>
      <w:tabs>
        <w:tab w:val="right" w:leader="dot" w:pos="4176"/>
      </w:tabs>
    </w:pPr>
  </w:style>
  <w:style w:type="paragraph" w:styleId="ListNumber2">
    <w:name w:val="List Number 2"/>
    <w:basedOn w:val="List2"/>
    <w:rsid w:val="003A7C1F"/>
    <w:pPr>
      <w:numPr>
        <w:numId w:val="10"/>
      </w:numPr>
      <w:tabs>
        <w:tab w:val="clear" w:pos="1060"/>
      </w:tabs>
    </w:pPr>
  </w:style>
  <w:style w:type="paragraph" w:customStyle="1" w:styleId="MarginNote">
    <w:name w:val="Margin Note"/>
    <w:basedOn w:val="BodyText"/>
    <w:rsid w:val="003A7C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7C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7C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A7C1F"/>
    <w:rPr>
      <w:sz w:val="32"/>
    </w:rPr>
  </w:style>
  <w:style w:type="paragraph" w:customStyle="1" w:styleId="HeadingProcedure">
    <w:name w:val="Heading Procedure"/>
    <w:basedOn w:val="HeadingBase"/>
    <w:next w:val="Normal"/>
    <w:rsid w:val="003A7C1F"/>
    <w:pPr>
      <w:tabs>
        <w:tab w:val="left" w:pos="0"/>
      </w:tabs>
      <w:spacing w:before="120" w:after="60"/>
    </w:pPr>
    <w:rPr>
      <w:i/>
      <w:color w:val="918585"/>
      <w:sz w:val="22"/>
    </w:rPr>
  </w:style>
  <w:style w:type="paragraph" w:customStyle="1" w:styleId="TableBodyText">
    <w:name w:val="Table Body Text"/>
    <w:basedOn w:val="BodyText"/>
    <w:rsid w:val="003A7C1F"/>
    <w:pPr>
      <w:spacing w:before="60" w:after="60"/>
    </w:pPr>
  </w:style>
  <w:style w:type="paragraph" w:styleId="ListContinue">
    <w:name w:val="List Continue"/>
    <w:basedOn w:val="List"/>
    <w:rsid w:val="003A7C1F"/>
    <w:pPr>
      <w:ind w:firstLine="0"/>
    </w:pPr>
  </w:style>
  <w:style w:type="paragraph" w:customStyle="1" w:styleId="ListNote">
    <w:name w:val="List Note"/>
    <w:basedOn w:val="List"/>
    <w:rsid w:val="003A7C1F"/>
    <w:pPr>
      <w:pBdr>
        <w:top w:val="single" w:sz="6" w:space="2" w:color="918585"/>
        <w:bottom w:val="single" w:sz="6" w:space="2" w:color="918585"/>
      </w:pBdr>
      <w:tabs>
        <w:tab w:val="left" w:pos="1021"/>
      </w:tabs>
      <w:ind w:firstLine="0"/>
    </w:pPr>
  </w:style>
  <w:style w:type="paragraph" w:customStyle="1" w:styleId="Warning">
    <w:name w:val="Warning"/>
    <w:basedOn w:val="BodyText"/>
    <w:rsid w:val="003A7C1F"/>
    <w:pPr>
      <w:shd w:val="clear" w:color="auto" w:fill="D9D9D9"/>
      <w:tabs>
        <w:tab w:val="left" w:pos="992"/>
      </w:tabs>
      <w:ind w:left="119" w:right="119"/>
    </w:pPr>
    <w:rPr>
      <w:sz w:val="20"/>
    </w:rPr>
  </w:style>
  <w:style w:type="paragraph" w:customStyle="1" w:styleId="MarginIcons">
    <w:name w:val="Margin Icons"/>
    <w:basedOn w:val="BodyText"/>
    <w:rsid w:val="003A7C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7C1F"/>
    <w:rPr>
      <w:rFonts w:ascii="Courier New" w:hAnsi="Courier New"/>
    </w:rPr>
  </w:style>
  <w:style w:type="paragraph" w:customStyle="1" w:styleId="NoteBullet">
    <w:name w:val="Note Bullet"/>
    <w:basedOn w:val="Note"/>
    <w:rsid w:val="003A7C1F"/>
    <w:pPr>
      <w:tabs>
        <w:tab w:val="clear" w:pos="680"/>
      </w:tabs>
      <w:spacing w:before="60" w:after="60"/>
    </w:pPr>
  </w:style>
  <w:style w:type="paragraph" w:customStyle="1" w:styleId="SubHeading2">
    <w:name w:val="SubHeading2"/>
    <w:basedOn w:val="HeadingBase"/>
    <w:rsid w:val="003A7C1F"/>
    <w:pPr>
      <w:spacing w:before="240" w:after="60"/>
    </w:pPr>
    <w:rPr>
      <w:sz w:val="20"/>
    </w:rPr>
  </w:style>
  <w:style w:type="paragraph" w:customStyle="1" w:styleId="SubHeading1">
    <w:name w:val="SubHeading1"/>
    <w:basedOn w:val="HeadingBase"/>
    <w:rsid w:val="003A7C1F"/>
    <w:pPr>
      <w:spacing w:before="240" w:after="60"/>
    </w:pPr>
    <w:rPr>
      <w:color w:val="918585"/>
      <w:sz w:val="22"/>
    </w:rPr>
  </w:style>
  <w:style w:type="paragraph" w:customStyle="1" w:styleId="SideHeading">
    <w:name w:val="Side Heading"/>
    <w:basedOn w:val="HeadingBase"/>
    <w:rsid w:val="003A7C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7C1F"/>
    <w:pPr>
      <w:numPr>
        <w:numId w:val="12"/>
      </w:numPr>
    </w:pPr>
  </w:style>
  <w:style w:type="paragraph" w:styleId="PlainText">
    <w:name w:val="Plain Text"/>
    <w:basedOn w:val="Normal"/>
    <w:link w:val="PlainTextChar"/>
    <w:rsid w:val="003A7C1F"/>
    <w:rPr>
      <w:sz w:val="20"/>
    </w:rPr>
  </w:style>
  <w:style w:type="character" w:customStyle="1" w:styleId="PlainTextChar">
    <w:name w:val="Plain Text Char"/>
    <w:basedOn w:val="DefaultParagraphFont"/>
    <w:link w:val="PlainText"/>
    <w:rsid w:val="003A7C1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A7C1F"/>
    <w:rPr>
      <w:b/>
      <w:smallCaps/>
    </w:rPr>
  </w:style>
  <w:style w:type="paragraph" w:customStyle="1" w:styleId="TableListNumber">
    <w:name w:val="Table List Number"/>
    <w:basedOn w:val="ListNumber"/>
    <w:rsid w:val="003A7C1F"/>
    <w:pPr>
      <w:numPr>
        <w:numId w:val="0"/>
      </w:numPr>
    </w:pPr>
  </w:style>
  <w:style w:type="paragraph" w:styleId="TOC4">
    <w:name w:val="toc 4"/>
    <w:basedOn w:val="TOCBase"/>
    <w:next w:val="Normal"/>
    <w:semiHidden/>
    <w:rsid w:val="003A7C1F"/>
    <w:pPr>
      <w:tabs>
        <w:tab w:val="right" w:leader="dot" w:pos="9071"/>
      </w:tabs>
      <w:ind w:left="1701"/>
    </w:pPr>
  </w:style>
  <w:style w:type="paragraph" w:customStyle="1" w:styleId="ListAlpha">
    <w:name w:val="List Alpha"/>
    <w:basedOn w:val="List"/>
    <w:rsid w:val="003A7C1F"/>
    <w:pPr>
      <w:numPr>
        <w:numId w:val="9"/>
      </w:numPr>
    </w:pPr>
  </w:style>
  <w:style w:type="paragraph" w:customStyle="1" w:styleId="ListAlpha2">
    <w:name w:val="List Alpha 2"/>
    <w:basedOn w:val="List2"/>
    <w:rsid w:val="003A7C1F"/>
    <w:pPr>
      <w:numPr>
        <w:numId w:val="8"/>
      </w:numPr>
    </w:pPr>
  </w:style>
  <w:style w:type="paragraph" w:styleId="List2">
    <w:name w:val="List 2"/>
    <w:basedOn w:val="BodyText"/>
    <w:rsid w:val="003A7C1F"/>
    <w:pPr>
      <w:tabs>
        <w:tab w:val="left" w:pos="680"/>
      </w:tabs>
      <w:spacing w:before="60" w:after="60"/>
      <w:ind w:left="680" w:hanging="340"/>
    </w:pPr>
  </w:style>
  <w:style w:type="paragraph" w:styleId="List3">
    <w:name w:val="List 3"/>
    <w:basedOn w:val="BodyText"/>
    <w:rsid w:val="003A7C1F"/>
    <w:pPr>
      <w:tabs>
        <w:tab w:val="left" w:pos="1021"/>
      </w:tabs>
      <w:spacing w:before="60" w:after="60"/>
      <w:ind w:left="1020" w:hanging="340"/>
    </w:pPr>
  </w:style>
  <w:style w:type="paragraph" w:styleId="List4">
    <w:name w:val="List 4"/>
    <w:basedOn w:val="BodyText"/>
    <w:rsid w:val="003A7C1F"/>
    <w:pPr>
      <w:tabs>
        <w:tab w:val="left" w:pos="1361"/>
      </w:tabs>
      <w:spacing w:before="60" w:after="60"/>
      <w:ind w:left="1361" w:hanging="340"/>
    </w:pPr>
  </w:style>
  <w:style w:type="paragraph" w:styleId="List5">
    <w:name w:val="List 5"/>
    <w:basedOn w:val="BodyText"/>
    <w:rsid w:val="003A7C1F"/>
    <w:pPr>
      <w:tabs>
        <w:tab w:val="left" w:pos="1701"/>
      </w:tabs>
      <w:spacing w:before="60" w:after="60"/>
      <w:ind w:left="1701" w:hanging="340"/>
    </w:pPr>
  </w:style>
  <w:style w:type="paragraph" w:styleId="ListBullet3">
    <w:name w:val="List Bullet 3"/>
    <w:basedOn w:val="List3"/>
    <w:rsid w:val="003A7C1F"/>
    <w:pPr>
      <w:numPr>
        <w:numId w:val="15"/>
      </w:numPr>
      <w:tabs>
        <w:tab w:val="clear" w:pos="1021"/>
      </w:tabs>
      <w:ind w:left="1037" w:hanging="357"/>
    </w:pPr>
  </w:style>
  <w:style w:type="paragraph" w:styleId="ListBullet4">
    <w:name w:val="List Bullet 4"/>
    <w:basedOn w:val="List4"/>
    <w:rsid w:val="003A7C1F"/>
    <w:pPr>
      <w:numPr>
        <w:numId w:val="3"/>
      </w:numPr>
    </w:pPr>
  </w:style>
  <w:style w:type="paragraph" w:styleId="ListBullet5">
    <w:name w:val="List Bullet 5"/>
    <w:basedOn w:val="List5"/>
    <w:rsid w:val="003A7C1F"/>
    <w:pPr>
      <w:numPr>
        <w:numId w:val="4"/>
      </w:numPr>
    </w:pPr>
  </w:style>
  <w:style w:type="paragraph" w:styleId="ListContinue2">
    <w:name w:val="List Continue 2"/>
    <w:basedOn w:val="List2"/>
    <w:rsid w:val="003A7C1F"/>
    <w:pPr>
      <w:ind w:firstLine="0"/>
    </w:pPr>
  </w:style>
  <w:style w:type="paragraph" w:styleId="ListContinue3">
    <w:name w:val="List Continue 3"/>
    <w:basedOn w:val="List3"/>
    <w:rsid w:val="003A7C1F"/>
    <w:pPr>
      <w:ind w:left="1021" w:firstLine="0"/>
    </w:pPr>
  </w:style>
  <w:style w:type="paragraph" w:styleId="ListContinue4">
    <w:name w:val="List Continue 4"/>
    <w:basedOn w:val="List4"/>
    <w:rsid w:val="003A7C1F"/>
    <w:pPr>
      <w:ind w:firstLine="0"/>
    </w:pPr>
  </w:style>
  <w:style w:type="paragraph" w:styleId="ListContinue5">
    <w:name w:val="List Continue 5"/>
    <w:basedOn w:val="List5"/>
    <w:rsid w:val="003A7C1F"/>
    <w:pPr>
      <w:ind w:firstLine="0"/>
    </w:pPr>
  </w:style>
  <w:style w:type="paragraph" w:styleId="ListNumber3">
    <w:name w:val="List Number 3"/>
    <w:basedOn w:val="List3"/>
    <w:rsid w:val="003A7C1F"/>
    <w:pPr>
      <w:numPr>
        <w:numId w:val="5"/>
      </w:numPr>
    </w:pPr>
  </w:style>
  <w:style w:type="paragraph" w:styleId="ListNumber4">
    <w:name w:val="List Number 4"/>
    <w:basedOn w:val="List4"/>
    <w:rsid w:val="003A7C1F"/>
    <w:pPr>
      <w:numPr>
        <w:numId w:val="6"/>
      </w:numPr>
    </w:pPr>
  </w:style>
  <w:style w:type="paragraph" w:styleId="ListNumber5">
    <w:name w:val="List Number 5"/>
    <w:basedOn w:val="List5"/>
    <w:rsid w:val="003A7C1F"/>
    <w:pPr>
      <w:numPr>
        <w:numId w:val="7"/>
      </w:numPr>
    </w:pPr>
  </w:style>
  <w:style w:type="paragraph" w:styleId="BlockText">
    <w:name w:val="Block Text"/>
    <w:basedOn w:val="Normal"/>
    <w:rsid w:val="003A7C1F"/>
    <w:pPr>
      <w:spacing w:after="120"/>
      <w:ind w:left="1440" w:right="1440"/>
    </w:pPr>
  </w:style>
  <w:style w:type="character" w:customStyle="1" w:styleId="Subscript">
    <w:name w:val="Subscript"/>
    <w:basedOn w:val="DefaultParagraphFont"/>
    <w:rsid w:val="003A7C1F"/>
    <w:rPr>
      <w:sz w:val="16"/>
      <w:vertAlign w:val="subscript"/>
    </w:rPr>
  </w:style>
  <w:style w:type="character" w:customStyle="1" w:styleId="Superscript">
    <w:name w:val="Superscript"/>
    <w:basedOn w:val="DefaultParagraphFont"/>
    <w:rsid w:val="003A7C1F"/>
    <w:rPr>
      <w:sz w:val="16"/>
      <w:vertAlign w:val="superscript"/>
    </w:rPr>
  </w:style>
  <w:style w:type="character" w:customStyle="1" w:styleId="Symbols">
    <w:name w:val="Symbols"/>
    <w:basedOn w:val="DefaultParagraphFont"/>
    <w:rsid w:val="003A7C1F"/>
    <w:rPr>
      <w:rFonts w:ascii="Symbol" w:hAnsi="Symbol"/>
    </w:rPr>
  </w:style>
  <w:style w:type="character" w:customStyle="1" w:styleId="MenuOptions">
    <w:name w:val="Menu Options"/>
    <w:basedOn w:val="DefaultParagraphFont"/>
    <w:rsid w:val="003A7C1F"/>
    <w:rPr>
      <w:rFonts w:ascii="Arial Narrow" w:hAnsi="Arial Narrow"/>
      <w:smallCaps/>
    </w:rPr>
  </w:style>
  <w:style w:type="character" w:customStyle="1" w:styleId="Buttons">
    <w:name w:val="Buttons"/>
    <w:basedOn w:val="DefaultParagraphFont"/>
    <w:rsid w:val="003A7C1F"/>
    <w:rPr>
      <w:b/>
    </w:rPr>
  </w:style>
  <w:style w:type="character" w:customStyle="1" w:styleId="Underlined">
    <w:name w:val="Underlined"/>
    <w:basedOn w:val="DefaultParagraphFont"/>
    <w:rsid w:val="003A7C1F"/>
    <w:rPr>
      <w:u w:val="single"/>
    </w:rPr>
  </w:style>
  <w:style w:type="paragraph" w:customStyle="1" w:styleId="TableBodyTextRight">
    <w:name w:val="Table Body Text Right"/>
    <w:basedOn w:val="TableBodyText"/>
    <w:rsid w:val="003A7C1F"/>
    <w:pPr>
      <w:widowControl w:val="0"/>
      <w:autoSpaceDE w:val="0"/>
      <w:autoSpaceDN w:val="0"/>
      <w:adjustRightInd w:val="0"/>
      <w:jc w:val="right"/>
    </w:pPr>
    <w:rPr>
      <w:rFonts w:cs="Arial"/>
      <w:szCs w:val="18"/>
    </w:rPr>
  </w:style>
  <w:style w:type="paragraph" w:customStyle="1" w:styleId="CopyrightText">
    <w:name w:val="Copyright Text"/>
    <w:basedOn w:val="BodyText"/>
    <w:rsid w:val="003A7C1F"/>
    <w:rPr>
      <w:sz w:val="18"/>
    </w:rPr>
  </w:style>
  <w:style w:type="paragraph" w:customStyle="1" w:styleId="BodySmallRight">
    <w:name w:val="Body Small Right"/>
    <w:basedOn w:val="BodyTextRight"/>
    <w:rsid w:val="003A7C1F"/>
    <w:rPr>
      <w:sz w:val="18"/>
      <w:szCs w:val="18"/>
    </w:rPr>
  </w:style>
  <w:style w:type="paragraph" w:customStyle="1" w:styleId="MarginEdition">
    <w:name w:val="Margin Edition"/>
    <w:basedOn w:val="MarginNote"/>
    <w:rsid w:val="003A7C1F"/>
    <w:pPr>
      <w:spacing w:before="0" w:after="0"/>
    </w:pPr>
    <w:rPr>
      <w:rFonts w:ascii="Times New Roman" w:hAnsi="Times New Roman"/>
      <w:color w:val="999999"/>
    </w:rPr>
  </w:style>
  <w:style w:type="paragraph" w:customStyle="1" w:styleId="Spacer">
    <w:name w:val="Spacer"/>
    <w:basedOn w:val="Normal"/>
    <w:rsid w:val="003A7C1F"/>
    <w:rPr>
      <w:sz w:val="2"/>
      <w:szCs w:val="2"/>
    </w:rPr>
  </w:style>
  <w:style w:type="character" w:customStyle="1" w:styleId="Small">
    <w:name w:val="Small"/>
    <w:basedOn w:val="DefaultParagraphFont"/>
    <w:rsid w:val="003A7C1F"/>
    <w:rPr>
      <w:sz w:val="16"/>
    </w:rPr>
  </w:style>
  <w:style w:type="paragraph" w:customStyle="1" w:styleId="WideTable">
    <w:name w:val="Wide Table"/>
    <w:basedOn w:val="Normal"/>
    <w:rsid w:val="003A7C1F"/>
    <w:pPr>
      <w:ind w:left="-1418"/>
    </w:pPr>
    <w:rPr>
      <w:sz w:val="2"/>
      <w:szCs w:val="2"/>
    </w:rPr>
  </w:style>
  <w:style w:type="character" w:styleId="PageNumber">
    <w:name w:val="page number"/>
    <w:basedOn w:val="DefaultParagraphFont"/>
    <w:rsid w:val="003A7C1F"/>
  </w:style>
  <w:style w:type="paragraph" w:styleId="Quote">
    <w:name w:val="Quote"/>
    <w:basedOn w:val="Heading1"/>
    <w:link w:val="QuoteChar"/>
    <w:qFormat/>
    <w:rsid w:val="003A7C1F"/>
    <w:rPr>
      <w:b w:val="0"/>
      <w:sz w:val="72"/>
      <w:szCs w:val="72"/>
      <w:lang w:val="en-NZ"/>
    </w:rPr>
  </w:style>
  <w:style w:type="character" w:customStyle="1" w:styleId="QuoteChar">
    <w:name w:val="Quote Char"/>
    <w:basedOn w:val="DefaultParagraphFont"/>
    <w:link w:val="Quote"/>
    <w:rsid w:val="003A7C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7C1F"/>
    <w:pPr>
      <w:pageBreakBefore/>
    </w:pPr>
  </w:style>
  <w:style w:type="paragraph" w:customStyle="1" w:styleId="Border">
    <w:name w:val="Border"/>
    <w:basedOn w:val="Normal"/>
    <w:qFormat/>
    <w:rsid w:val="003A7C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7C1F"/>
    <w:rPr>
      <w:b/>
      <w:bCs/>
      <w:i/>
      <w:iCs/>
      <w:color w:val="auto"/>
    </w:rPr>
  </w:style>
  <w:style w:type="paragraph" w:styleId="IntenseQuote">
    <w:name w:val="Intense Quote"/>
    <w:basedOn w:val="Normal"/>
    <w:next w:val="Normal"/>
    <w:link w:val="IntenseQuoteChar"/>
    <w:uiPriority w:val="30"/>
    <w:qFormat/>
    <w:rsid w:val="003A7C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7C1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A7C1F"/>
    <w:rPr>
      <w:smallCaps/>
      <w:color w:val="auto"/>
      <w:u w:val="single"/>
    </w:rPr>
  </w:style>
  <w:style w:type="character" w:styleId="IntenseReference">
    <w:name w:val="Intense Reference"/>
    <w:basedOn w:val="DefaultParagraphFont"/>
    <w:uiPriority w:val="32"/>
    <w:qFormat/>
    <w:rsid w:val="003A7C1F"/>
    <w:rPr>
      <w:b/>
      <w:bCs/>
      <w:smallCaps/>
      <w:color w:val="auto"/>
      <w:spacing w:val="5"/>
      <w:u w:val="single"/>
    </w:rPr>
  </w:style>
  <w:style w:type="paragraph" w:customStyle="1" w:styleId="2ColumnHeading">
    <w:name w:val="2Column Heading"/>
    <w:basedOn w:val="BodyText"/>
    <w:qFormat/>
    <w:rsid w:val="003A7C1F"/>
    <w:pPr>
      <w:spacing w:after="60"/>
      <w:ind w:left="-2268"/>
    </w:pPr>
    <w:rPr>
      <w:b/>
    </w:rPr>
  </w:style>
  <w:style w:type="paragraph" w:customStyle="1" w:styleId="Heading1TOC">
    <w:name w:val="Heading1 TOC"/>
    <w:basedOn w:val="Normal"/>
    <w:qFormat/>
    <w:rsid w:val="003A7C1F"/>
    <w:pPr>
      <w:spacing w:before="240" w:after="120"/>
    </w:pPr>
    <w:rPr>
      <w:rFonts w:ascii="Times New Roman" w:hAnsi="Times New Roman"/>
      <w:b/>
      <w:sz w:val="32"/>
    </w:rPr>
  </w:style>
  <w:style w:type="paragraph" w:customStyle="1" w:styleId="Heading2TOC">
    <w:name w:val="Heading2 TOC"/>
    <w:basedOn w:val="Normal"/>
    <w:qFormat/>
    <w:rsid w:val="003A7C1F"/>
    <w:pPr>
      <w:spacing w:before="240" w:after="60"/>
    </w:pPr>
    <w:rPr>
      <w:rFonts w:ascii="Times New Roman" w:hAnsi="Times New Roman"/>
      <w:b/>
      <w:sz w:val="28"/>
    </w:rPr>
  </w:style>
  <w:style w:type="character" w:customStyle="1" w:styleId="Underline">
    <w:name w:val="Underline"/>
    <w:basedOn w:val="DefaultParagraphFont"/>
    <w:qFormat/>
    <w:rsid w:val="003A7C1F"/>
    <w:rPr>
      <w:u w:val="single"/>
    </w:rPr>
  </w:style>
  <w:style w:type="paragraph" w:styleId="BalloonText">
    <w:name w:val="Balloon Text"/>
    <w:basedOn w:val="Normal"/>
    <w:link w:val="BalloonTextChar"/>
    <w:rsid w:val="003A7C1F"/>
    <w:rPr>
      <w:rFonts w:ascii="Tahoma" w:hAnsi="Tahoma" w:cs="Tahoma"/>
      <w:sz w:val="16"/>
      <w:szCs w:val="16"/>
    </w:rPr>
  </w:style>
  <w:style w:type="character" w:customStyle="1" w:styleId="BalloonTextChar">
    <w:name w:val="Balloon Text Char"/>
    <w:basedOn w:val="DefaultParagraphFont"/>
    <w:link w:val="BalloonText"/>
    <w:rsid w:val="003A7C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A7C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7C1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1593</Words>
  <Characters>10189</Characters>
  <Application>Microsoft Office Word</Application>
  <DocSecurity>0</DocSecurity>
  <Lines>292</Lines>
  <Paragraphs>162</Paragraphs>
  <ScaleCrop>false</ScaleCrop>
  <Company>Author-it Software Corporation Ltd.</Company>
  <LinksUpToDate>false</LinksUpToDate>
  <CharactersWithSpaces>11724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CPPACC5002A Inspect access compliance during the building process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2012-05-26T05:56:00Z</dcterms:created>
  <dcterms:modified xsi:type="dcterms:W3CDTF">2012-05-26T05:56:00Z</dcterms:modified>
</cp:coreProperties>
</file>