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3752" w:rsidP="00C83752">
      <w:pPr>
        <w:pStyle w:val="Title"/>
      </w:pPr>
      <w:bookmarkStart w:id="0" w:name="_GoBack"/>
      <w:bookmarkEnd w:id="0"/>
      <w:r>
        <w:fldChar w:fldCharType="begin"/>
      </w:r>
      <w:r>
        <w:instrText xml:space="preserve"> TITLE   \* MERGEFORMAT </w:instrText>
      </w:r>
      <w:r>
        <w:fldChar w:fldCharType="separate"/>
      </w:r>
      <w:r>
        <w:t>CPPACC4002A Apply building control legislation to assess small-scale buildings for access</w:t>
      </w:r>
      <w:r>
        <w:fldChar w:fldCharType="end"/>
      </w:r>
    </w:p>
    <w:p w:rsidR="00C83752" w:rsidP="00C83752">
      <w:pPr>
        <w:pStyle w:val="Version"/>
        <w:sectPr w:rsidSect="001C2D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2DD7" w:rsidP="001C2DD7">
      <w:pPr>
        <w:pStyle w:val="SuperHeading"/>
      </w:pPr>
      <w:r w:rsidRPr="001C2DD7">
        <w:t>CPPACC4002A Apply building control legislation to assess small-scale buildings for access</w:t>
      </w:r>
    </w:p>
    <w:p w:rsidR="00000000" w:rsidRPr="001C2DD7" w:rsidP="001C2DD7">
      <w:pPr>
        <w:pStyle w:val="Heading1"/>
      </w:pPr>
      <w:bookmarkStart w:id="1" w:name="O_269958"/>
      <w:bookmarkEnd w:id="1"/>
      <w:r w:rsidRPr="001C2DD7">
        <w:t>Modification History</w:t>
      </w:r>
    </w:p>
    <w:p w:rsidR="00000000" w:rsidRPr="001C2DD7" w:rsidP="001C2DD7">
      <w:pPr>
        <w:pStyle w:val="BodyText"/>
      </w:pPr>
      <w:r w:rsidRPr="001C2DD7">
        <w:t>Not Applicable</w:t>
      </w:r>
    </w:p>
    <w:p w:rsidR="00000000" w:rsidRPr="001C2DD7" w:rsidP="001C2DD7">
      <w:pPr>
        <w:pStyle w:val="AllowPageBreak"/>
      </w:pPr>
    </w:p>
    <w:p w:rsidR="00000000" w:rsidRPr="001C2DD7" w:rsidP="001C2DD7">
      <w:pPr>
        <w:pStyle w:val="Heading1"/>
      </w:pPr>
      <w:bookmarkStart w:id="2" w:name="O_200478"/>
      <w:bookmarkEnd w:id="2"/>
      <w:r w:rsidRPr="001C2DD7">
        <w:t>Unit De</w:t>
      </w:r>
      <w:r w:rsidRPr="001C2DD7">
        <w:t>scriptor</w:t>
      </w:r>
    </w:p>
    <w:p w:rsidR="00000000" w:rsidRPr="001C2DD7" w:rsidP="001C2DD7">
      <w:pPr>
        <w:pStyle w:val="BodyText"/>
      </w:pPr>
      <w:r w:rsidRPr="001C2DD7">
        <w:rPr>
          <w:rStyle w:val="SpecialBold"/>
        </w:rPr>
        <w:t>Unit descriptor</w:t>
      </w:r>
    </w:p>
    <w:p w:rsidR="00000000" w:rsidRPr="001C2DD7" w:rsidP="001C2DD7">
      <w:pPr>
        <w:pStyle w:val="BodyText"/>
      </w:pPr>
      <w:r w:rsidRPr="001C2DD7">
        <w:t xml:space="preserve">This unit specifies the competency required to identify, interpret and apply relevant building control legislation when assessing the accessibility of small-scale residential and commercial buildings. It includes understanding the </w:t>
      </w:r>
      <w:r w:rsidRPr="001C2DD7">
        <w:t>Australian common law system and the various sources of law applicable to the accessibility of small-scale building developments, and identifying and applying the relevant professional code of practice required for the assessment and inspection of building</w:t>
      </w:r>
      <w:r w:rsidRPr="001C2DD7">
        <w:t>s.</w:t>
      </w:r>
    </w:p>
    <w:p w:rsidR="00C83752" w:rsidP="001C2DD7">
      <w:pPr>
        <w:pStyle w:val="BodyText"/>
      </w:pPr>
      <w:r w:rsidRPr="001C2DD7">
        <w:t>The unit is based on BCGSV5008A Applying building control legislation to building surveying.</w:t>
      </w:r>
    </w:p>
    <w:p w:rsidR="00C83752" w:rsidP="001C2DD7">
      <w:pPr>
        <w:pStyle w:val="BodyText"/>
      </w:pPr>
    </w:p>
    <w:p w:rsidR="00000000" w:rsidRPr="001C2DD7" w:rsidP="001C2DD7">
      <w:pPr>
        <w:pStyle w:val="Heading1"/>
      </w:pPr>
      <w:bookmarkStart w:id="3" w:name="O_200480"/>
      <w:bookmarkEnd w:id="3"/>
      <w:r w:rsidRPr="001C2DD7">
        <w:t>Application of the Unit</w:t>
      </w:r>
    </w:p>
    <w:p w:rsidR="00000000" w:rsidRPr="001C2DD7" w:rsidP="001C2DD7">
      <w:pPr>
        <w:pStyle w:val="BodyText"/>
      </w:pPr>
      <w:r w:rsidRPr="001C2DD7">
        <w:rPr>
          <w:rStyle w:val="SpecialBold"/>
        </w:rPr>
        <w:t>Application of the unit</w:t>
      </w:r>
    </w:p>
    <w:p w:rsidR="00C83752" w:rsidP="001C2DD7">
      <w:pPr>
        <w:pStyle w:val="BodyText"/>
      </w:pPr>
      <w:r w:rsidRPr="001C2DD7">
        <w:t>This unit of competency supports a number of access consulting services, including conducting</w:t>
      </w:r>
      <w:r w:rsidRPr="001C2DD7">
        <w:t xml:space="preserve"> a range of access audits, assessing building plans for access, working with development teams and providing advice on building renovations.</w:t>
      </w:r>
    </w:p>
    <w:p w:rsidR="00C83752" w:rsidP="001C2DD7">
      <w:pPr>
        <w:pStyle w:val="BodyText"/>
      </w:pPr>
    </w:p>
    <w:p w:rsidR="00000000" w:rsidRPr="001C2DD7" w:rsidP="001C2DD7">
      <w:pPr>
        <w:pStyle w:val="Heading1"/>
      </w:pPr>
      <w:bookmarkStart w:id="4" w:name="O_278218"/>
      <w:bookmarkEnd w:id="4"/>
      <w:r w:rsidRPr="001C2DD7">
        <w:t>Licensing/Regulatory Information</w:t>
      </w:r>
    </w:p>
    <w:p w:rsidR="00000000" w:rsidRPr="001C2DD7" w:rsidP="001C2DD7">
      <w:pPr>
        <w:pStyle w:val="BodyText"/>
      </w:pPr>
      <w:r w:rsidRPr="001C2DD7">
        <w:t>Not Applicable</w:t>
      </w:r>
    </w:p>
    <w:p w:rsidR="00000000" w:rsidRPr="001C2DD7" w:rsidP="001C2DD7">
      <w:pPr>
        <w:pStyle w:val="AllowPageBreak"/>
      </w:pPr>
    </w:p>
    <w:p w:rsidR="00000000" w:rsidRPr="001C2DD7" w:rsidP="001C2DD7">
      <w:pPr>
        <w:pStyle w:val="Heading1"/>
      </w:pPr>
      <w:bookmarkStart w:id="5" w:name="O_283492"/>
      <w:bookmarkEnd w:id="5"/>
      <w:r w:rsidRPr="001C2DD7">
        <w:t>Pre-Requisites</w:t>
      </w:r>
    </w:p>
    <w:p w:rsidR="00000000" w:rsidRPr="001C2DD7" w:rsidP="001C2DD7">
      <w:pPr>
        <w:pStyle w:val="BodyText"/>
      </w:pPr>
      <w:r w:rsidRPr="001C2DD7">
        <w:t>Not Applicable</w:t>
      </w:r>
    </w:p>
    <w:p w:rsidR="00000000" w:rsidRPr="001C2DD7" w:rsidP="001C2DD7">
      <w:pPr>
        <w:pStyle w:val="AllowPageBreak"/>
      </w:pPr>
    </w:p>
    <w:p w:rsidR="00000000" w:rsidRPr="001C2DD7" w:rsidP="001C2DD7">
      <w:pPr>
        <w:pStyle w:val="Heading1"/>
      </w:pPr>
      <w:bookmarkStart w:id="6" w:name="O_200479"/>
      <w:bookmarkEnd w:id="6"/>
      <w:r w:rsidRPr="001C2DD7">
        <w:t>Employability Skills Information</w:t>
      </w:r>
    </w:p>
    <w:p w:rsidR="00000000" w:rsidRPr="001C2DD7" w:rsidP="001C2DD7">
      <w:pPr>
        <w:pStyle w:val="BodyText"/>
      </w:pPr>
      <w:r w:rsidRPr="001C2DD7">
        <w:rPr>
          <w:rStyle w:val="SpecialBold"/>
        </w:rPr>
        <w:t>Employability skills</w:t>
      </w:r>
    </w:p>
    <w:p w:rsidR="00C83752" w:rsidP="001C2DD7">
      <w:pPr>
        <w:pStyle w:val="BodyText"/>
      </w:pPr>
      <w:r w:rsidRPr="001C2DD7">
        <w:t>This unit contains employability skills.</w:t>
      </w:r>
    </w:p>
    <w:p w:rsidR="00C83752" w:rsidP="001C2DD7">
      <w:pPr>
        <w:pStyle w:val="BodyText"/>
      </w:pPr>
    </w:p>
    <w:p w:rsidR="00000000" w:rsidRPr="001C2DD7" w:rsidP="001C2DD7">
      <w:pPr>
        <w:pStyle w:val="Heading1"/>
      </w:pPr>
      <w:bookmarkStart w:id="7" w:name="O_288004"/>
      <w:bookmarkEnd w:id="7"/>
      <w:r w:rsidRPr="001C2DD7">
        <w:t>Elements and Performance Criteria Pre-Content</w:t>
      </w:r>
    </w:p>
    <w:tbl>
      <w:tblPr>
        <w:tblW w:w="0" w:type="auto"/>
        <w:tblLayout w:type="fixed"/>
        <w:tblCellMar>
          <w:left w:w="62" w:type="dxa"/>
          <w:right w:w="62" w:type="dxa"/>
        </w:tblCellMar>
        <w:tblLook w:val="0000"/>
      </w:tblPr>
      <w:tblGrid>
        <w:gridCol w:w="3153"/>
        <w:gridCol w:w="5345"/>
      </w:tblGrid>
      <w:tr w:rsidTr="00C83752">
        <w:tblPrEx>
          <w:tblW w:w="0" w:type="auto"/>
          <w:tblLayout w:type="fixed"/>
          <w:tblCellMar>
            <w:left w:w="62" w:type="dxa"/>
            <w:right w:w="62" w:type="dxa"/>
          </w:tblCellMar>
          <w:tblLook w:val="0000"/>
        </w:tblPrEx>
        <w:tc>
          <w:tcPr>
            <w:tcW w:w="3153" w:type="dxa"/>
            <w:tcBorders>
              <w:top w:val="nil"/>
              <w:left w:val="nil"/>
              <w:bottom w:val="nil"/>
              <w:right w:val="nil"/>
            </w:tcBorders>
            <w:tcMar>
              <w:top w:w="0" w:type="dxa"/>
              <w:left w:w="62" w:type="dxa"/>
              <w:bottom w:w="0" w:type="dxa"/>
              <w:right w:w="62" w:type="dxa"/>
            </w:tcMar>
          </w:tcPr>
          <w:p w:rsidR="00000000" w:rsidP="001C2DD7">
            <w:pPr>
              <w:pStyle w:val="BodyText"/>
              <w:rPr>
                <w:lang w:val="en-NZ"/>
              </w:rPr>
            </w:pPr>
            <w:r w:rsidRPr="001C2DD7">
              <w:t>Elements describe the essential outcomes of a unit of competency.</w:t>
            </w:r>
          </w:p>
        </w:tc>
        <w:tc>
          <w:tcPr>
            <w:tcW w:w="5345" w:type="dxa"/>
            <w:tcBorders>
              <w:top w:val="nil"/>
              <w:left w:val="nil"/>
              <w:bottom w:val="nil"/>
              <w:right w:val="nil"/>
            </w:tcBorders>
            <w:tcMar>
              <w:top w:w="0" w:type="dxa"/>
              <w:left w:w="62" w:type="dxa"/>
              <w:bottom w:w="0" w:type="dxa"/>
              <w:right w:w="62" w:type="dxa"/>
            </w:tcMar>
          </w:tcPr>
          <w:p w:rsidR="00000000" w:rsidRPr="001C2DD7" w:rsidP="001C2DD7">
            <w:pPr>
              <w:pStyle w:val="BodyText"/>
            </w:pPr>
            <w:r w:rsidRPr="001C2DD7">
              <w:t>Performance cr</w:t>
            </w:r>
            <w:r w:rsidRPr="001C2DD7">
              <w:t xml:space="preserve">iteria describe the required performance needed to demonstrate achievement of the element. Where bold italicised text is used, further information is detailed in the required skills and knowledge and/or the range statement. Assessment of performance is to </w:t>
            </w:r>
            <w:r w:rsidRPr="001C2DD7">
              <w:t>be consistent with the evidence guide.</w:t>
            </w:r>
          </w:p>
        </w:tc>
      </w:tr>
    </w:tbl>
    <w:p w:rsidR="00000000" w:rsidRPr="001C2DD7" w:rsidP="001C2DD7">
      <w:pPr>
        <w:pStyle w:val="BodyText"/>
      </w:pPr>
    </w:p>
    <w:p w:rsidR="00000000" w:rsidRPr="001C2DD7" w:rsidP="001C2DD7">
      <w:pPr>
        <w:pStyle w:val="AllowPageBreak"/>
      </w:pPr>
    </w:p>
    <w:p w:rsidR="00000000" w:rsidRPr="001C2DD7" w:rsidP="001C2DD7">
      <w:pPr>
        <w:pStyle w:val="Heading1"/>
      </w:pPr>
      <w:bookmarkStart w:id="8" w:name="O_234671"/>
      <w:bookmarkEnd w:id="8"/>
      <w:r w:rsidRPr="001C2DD7">
        <w:t>Elements and Performance Criteria</w:t>
      </w:r>
    </w:p>
    <w:tbl>
      <w:tblPr>
        <w:tblW w:w="0" w:type="auto"/>
        <w:tblLayout w:type="fixed"/>
        <w:tblCellMar>
          <w:left w:w="62" w:type="dxa"/>
          <w:right w:w="62" w:type="dxa"/>
        </w:tblCellMar>
        <w:tblLook w:val="0000"/>
      </w:tblPr>
      <w:tblGrid>
        <w:gridCol w:w="3153"/>
        <w:gridCol w:w="17"/>
        <w:gridCol w:w="5328"/>
        <w:gridCol w:w="24"/>
      </w:tblGrid>
      <w:tr w:rsidTr="00C83752">
        <w:tblPrEx>
          <w:tblW w:w="0" w:type="auto"/>
          <w:tblLayout w:type="fixed"/>
          <w:tblCellMar>
            <w:left w:w="62" w:type="dxa"/>
            <w:right w:w="62" w:type="dxa"/>
          </w:tblCellMar>
          <w:tblLook w:val="0000"/>
        </w:tblPrEx>
        <w:trPr>
          <w:tblHeader/>
        </w:trPr>
        <w:tc>
          <w:tcPr>
            <w:tcW w:w="3170" w:type="dxa"/>
            <w:gridSpan w:val="2"/>
            <w:tcBorders>
              <w:top w:val="nil"/>
              <w:left w:val="nil"/>
              <w:bottom w:val="nil"/>
              <w:right w:val="nil"/>
            </w:tcBorders>
            <w:tcMar>
              <w:top w:w="0" w:type="dxa"/>
              <w:left w:w="62" w:type="dxa"/>
              <w:bottom w:w="0" w:type="dxa"/>
              <w:right w:w="62" w:type="dxa"/>
            </w:tcMar>
          </w:tcPr>
          <w:p w:rsidR="00000000" w:rsidRPr="001C2DD7" w:rsidP="001C2DD7">
            <w:pPr>
              <w:pStyle w:val="List"/>
            </w:pPr>
            <w:r w:rsidRPr="001C2DD7">
              <w:rPr>
                <w:rStyle w:val="SpecialBold"/>
              </w:rPr>
              <w:t>ELEMENT</w:t>
            </w:r>
          </w:p>
        </w:tc>
        <w:tc>
          <w:tcPr>
            <w:tcW w:w="5352" w:type="dxa"/>
            <w:gridSpan w:val="2"/>
            <w:tcBorders>
              <w:top w:val="nil"/>
              <w:left w:val="nil"/>
              <w:bottom w:val="nil"/>
              <w:right w:val="nil"/>
            </w:tcBorders>
            <w:tcMar>
              <w:top w:w="0" w:type="dxa"/>
              <w:left w:w="62" w:type="dxa"/>
              <w:bottom w:w="0" w:type="dxa"/>
              <w:right w:w="62" w:type="dxa"/>
            </w:tcMar>
          </w:tcPr>
          <w:p w:rsidR="00000000" w:rsidP="001C2DD7">
            <w:pPr>
              <w:pStyle w:val="List"/>
              <w:rPr>
                <w:lang w:val="en-NZ"/>
              </w:rPr>
            </w:pPr>
            <w:r w:rsidRPr="001C2DD7">
              <w:rPr>
                <w:rStyle w:val="SpecialBold"/>
              </w:rPr>
              <w:t>PERFORMANCE CRITERIA</w:t>
            </w:r>
          </w:p>
        </w:tc>
      </w:tr>
      <w:tr w:rsidTr="00C83752">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1C2DD7">
            <w:pPr>
              <w:pStyle w:val="List"/>
              <w:rPr>
                <w:lang w:val="en-NZ"/>
              </w:rPr>
            </w:pPr>
            <w:r w:rsidRPr="001C2DD7">
              <w:rPr>
                <w:rStyle w:val="SpecialBold"/>
              </w:rPr>
              <w:t>1</w:t>
            </w:r>
            <w:r w:rsidRPr="001C2DD7">
              <w:tab/>
            </w:r>
            <w:r w:rsidRPr="001C2DD7">
              <w:rPr>
                <w:rStyle w:val="SpecialBold"/>
              </w:rPr>
              <w:t>Analyse the Australian administrative legal system</w:t>
            </w:r>
            <w:r w:rsidRPr="001C2DD7">
              <w:t>.</w:t>
            </w:r>
          </w:p>
        </w:tc>
        <w:tc>
          <w:tcPr>
            <w:tcW w:w="5345" w:type="dxa"/>
            <w:gridSpan w:val="2"/>
            <w:tcBorders>
              <w:top w:val="nil"/>
              <w:left w:val="nil"/>
              <w:bottom w:val="nil"/>
              <w:right w:val="nil"/>
            </w:tcBorders>
            <w:tcMar>
              <w:top w:w="0" w:type="dxa"/>
              <w:left w:w="62" w:type="dxa"/>
              <w:bottom w:w="0" w:type="dxa"/>
              <w:right w:w="62" w:type="dxa"/>
            </w:tcMar>
          </w:tcPr>
          <w:p w:rsidR="00000000" w:rsidRPr="001C2DD7" w:rsidP="001C2DD7">
            <w:pPr>
              <w:pStyle w:val="List"/>
            </w:pPr>
            <w:r w:rsidRPr="001C2DD7">
              <w:t>1.1</w:t>
            </w:r>
            <w:r w:rsidRPr="001C2DD7">
              <w:tab/>
            </w:r>
            <w:r w:rsidRPr="001C2DD7">
              <w:t>Differences between common law, statute law, delegated legislation and local government law are analysed and documented.</w:t>
            </w:r>
          </w:p>
          <w:p w:rsidR="00000000" w:rsidRPr="001C2DD7" w:rsidP="001C2DD7">
            <w:pPr>
              <w:pStyle w:val="List"/>
            </w:pPr>
            <w:r w:rsidRPr="001C2DD7">
              <w:t>1.2</w:t>
            </w:r>
            <w:r w:rsidRPr="001C2DD7">
              <w:tab/>
              <w:t>Civil law and examples of civil action relevant to building accessibility of small-scale buildings are identified and interpreted.</w:t>
            </w:r>
          </w:p>
          <w:p w:rsidR="00000000" w:rsidRPr="001C2DD7" w:rsidP="001C2DD7">
            <w:pPr>
              <w:pStyle w:val="List"/>
            </w:pPr>
            <w:r w:rsidRPr="001C2DD7">
              <w:t>1.3</w:t>
            </w:r>
            <w:r w:rsidRPr="001C2DD7">
              <w:tab/>
              <w:t>Administrative law relevant to building accessibility is identified and interpreted.</w:t>
            </w:r>
          </w:p>
          <w:p w:rsidR="00000000" w:rsidP="001C2DD7">
            <w:pPr>
              <w:pStyle w:val="List"/>
              <w:rPr>
                <w:lang w:val="en-NZ"/>
              </w:rPr>
            </w:pPr>
            <w:r w:rsidRPr="001C2DD7">
              <w:t>1.4</w:t>
            </w:r>
            <w:r w:rsidRPr="001C2DD7">
              <w:tab/>
              <w:t>Individual elements of judicial review legislation are identified, interpreted and documented.</w:t>
            </w:r>
          </w:p>
        </w:tc>
      </w:tr>
      <w:tr w:rsidTr="00C83752">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1C2DD7">
            <w:pPr>
              <w:pStyle w:val="List"/>
              <w:rPr>
                <w:lang w:val="en-NZ"/>
              </w:rPr>
            </w:pPr>
            <w:r w:rsidRPr="001C2DD7">
              <w:rPr>
                <w:rStyle w:val="SpecialBold"/>
              </w:rPr>
              <w:t>2</w:t>
            </w:r>
            <w:r w:rsidRPr="001C2DD7">
              <w:tab/>
            </w:r>
            <w:r w:rsidRPr="001C2DD7">
              <w:rPr>
                <w:rStyle w:val="SpecialBold"/>
              </w:rPr>
              <w:t>Describe the procedures and benefits of enforcing the law</w:t>
            </w:r>
            <w:r w:rsidRPr="001C2DD7">
              <w:t>.</w:t>
            </w:r>
          </w:p>
        </w:tc>
        <w:tc>
          <w:tcPr>
            <w:tcW w:w="5345" w:type="dxa"/>
            <w:gridSpan w:val="2"/>
            <w:tcBorders>
              <w:top w:val="nil"/>
              <w:left w:val="nil"/>
              <w:bottom w:val="nil"/>
              <w:right w:val="nil"/>
            </w:tcBorders>
            <w:tcMar>
              <w:top w:w="0" w:type="dxa"/>
              <w:left w:w="62" w:type="dxa"/>
              <w:bottom w:w="0" w:type="dxa"/>
              <w:right w:w="62" w:type="dxa"/>
            </w:tcMar>
          </w:tcPr>
          <w:p w:rsidR="00000000" w:rsidRPr="001C2DD7" w:rsidP="001C2DD7">
            <w:pPr>
              <w:pStyle w:val="List"/>
            </w:pPr>
            <w:r w:rsidRPr="001C2DD7">
              <w:t>2.1</w:t>
            </w:r>
            <w:r w:rsidRPr="001C2DD7">
              <w:tab/>
            </w:r>
            <w:r w:rsidRPr="001C2DD7">
              <w:rPr>
                <w:rStyle w:val="BoldandItalics"/>
              </w:rPr>
              <w:t>Re</w:t>
            </w:r>
            <w:r w:rsidRPr="001C2DD7">
              <w:rPr>
                <w:rStyle w:val="BoldandItalics"/>
              </w:rPr>
              <w:t>levant building control legislation</w:t>
            </w:r>
            <w:r w:rsidRPr="001C2DD7">
              <w:t xml:space="preserve"> is identified and understood in accordance with </w:t>
            </w:r>
            <w:r w:rsidRPr="001C2DD7">
              <w:rPr>
                <w:rStyle w:val="BoldandItalics"/>
              </w:rPr>
              <w:t>organisational requirements</w:t>
            </w:r>
            <w:r w:rsidRPr="001C2DD7">
              <w:t>.</w:t>
            </w:r>
          </w:p>
          <w:p w:rsidR="00000000" w:rsidRPr="001C2DD7" w:rsidP="001C2DD7">
            <w:pPr>
              <w:pStyle w:val="List"/>
            </w:pPr>
            <w:r w:rsidRPr="001C2DD7">
              <w:t>2.2</w:t>
            </w:r>
            <w:r w:rsidRPr="001C2DD7">
              <w:tab/>
              <w:t>Legislative benefits and examples of building accessibility enforcement are identified, reviewed and documented.</w:t>
            </w:r>
          </w:p>
          <w:p w:rsidR="00000000" w:rsidRPr="001C2DD7" w:rsidP="001C2DD7">
            <w:pPr>
              <w:pStyle w:val="List"/>
            </w:pPr>
            <w:r w:rsidRPr="001C2DD7">
              <w:t>2.3</w:t>
            </w:r>
            <w:r w:rsidRPr="001C2DD7">
              <w:tab/>
              <w:t>Major regulatory enfor</w:t>
            </w:r>
            <w:r w:rsidRPr="001C2DD7">
              <w:t>cement strategies are identified, reviewed and documented.</w:t>
            </w:r>
          </w:p>
          <w:p w:rsidR="00000000" w:rsidP="001C2DD7">
            <w:pPr>
              <w:pStyle w:val="List"/>
              <w:rPr>
                <w:lang w:val="en-NZ"/>
              </w:rPr>
            </w:pPr>
            <w:r w:rsidRPr="001C2DD7">
              <w:t>2.4</w:t>
            </w:r>
            <w:r w:rsidRPr="001C2DD7">
              <w:tab/>
              <w:t>Processes for addressing non-compliance issues are identified and appropriate documentation is prepared in a format suitable for review by a building certifier.</w:t>
            </w:r>
          </w:p>
        </w:tc>
      </w:tr>
      <w:tr w:rsidTr="00C83752">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1C2DD7">
            <w:pPr>
              <w:pStyle w:val="List"/>
              <w:rPr>
                <w:lang w:val="en-NZ"/>
              </w:rPr>
            </w:pPr>
            <w:r w:rsidRPr="001C2DD7">
              <w:rPr>
                <w:rStyle w:val="SpecialBold"/>
              </w:rPr>
              <w:t>3</w:t>
            </w:r>
            <w:r w:rsidRPr="001C2DD7">
              <w:tab/>
            </w:r>
            <w:r w:rsidRPr="001C2DD7">
              <w:rPr>
                <w:rStyle w:val="SpecialBold"/>
              </w:rPr>
              <w:t>Identify and implement the professional code of practice applicable to the assessment of access in small-scale buildings</w:t>
            </w:r>
            <w:r w:rsidRPr="001C2DD7">
              <w:t>.</w:t>
            </w:r>
          </w:p>
        </w:tc>
        <w:tc>
          <w:tcPr>
            <w:tcW w:w="5345" w:type="dxa"/>
            <w:gridSpan w:val="2"/>
            <w:tcBorders>
              <w:top w:val="nil"/>
              <w:left w:val="nil"/>
              <w:bottom w:val="nil"/>
              <w:right w:val="nil"/>
            </w:tcBorders>
            <w:tcMar>
              <w:top w:w="0" w:type="dxa"/>
              <w:left w:w="62" w:type="dxa"/>
              <w:bottom w:w="0" w:type="dxa"/>
              <w:right w:w="62" w:type="dxa"/>
            </w:tcMar>
          </w:tcPr>
          <w:p w:rsidR="00000000" w:rsidRPr="001C2DD7" w:rsidP="001C2DD7">
            <w:pPr>
              <w:pStyle w:val="List"/>
            </w:pPr>
            <w:r w:rsidRPr="001C2DD7">
              <w:t>3.1</w:t>
            </w:r>
            <w:r w:rsidRPr="001C2DD7">
              <w:tab/>
              <w:t xml:space="preserve">The </w:t>
            </w:r>
            <w:r w:rsidRPr="001C2DD7">
              <w:rPr>
                <w:rStyle w:val="BoldandItalics"/>
              </w:rPr>
              <w:t>code of practice</w:t>
            </w:r>
            <w:r w:rsidRPr="001C2DD7">
              <w:t xml:space="preserve"> required by the building industry regulator is identified and interpreted in accordance with organisational r</w:t>
            </w:r>
            <w:r w:rsidRPr="001C2DD7">
              <w:t>equirements.</w:t>
            </w:r>
          </w:p>
          <w:p w:rsidR="00000000" w:rsidRPr="001C2DD7" w:rsidP="001C2DD7">
            <w:pPr>
              <w:pStyle w:val="List"/>
            </w:pPr>
            <w:r w:rsidRPr="001C2DD7">
              <w:t>3.2</w:t>
            </w:r>
            <w:r w:rsidRPr="001C2DD7">
              <w:tab/>
              <w:t>Concepts regarding duty of care as it relates to common law are identified and documented.</w:t>
            </w:r>
          </w:p>
          <w:p w:rsidR="00000000" w:rsidP="001C2DD7">
            <w:pPr>
              <w:pStyle w:val="List"/>
              <w:rPr>
                <w:lang w:val="en-NZ"/>
              </w:rPr>
            </w:pPr>
            <w:r w:rsidRPr="001C2DD7">
              <w:t>3.3</w:t>
            </w:r>
            <w:r w:rsidRPr="001C2DD7">
              <w:tab/>
              <w:t xml:space="preserve">Concepts regarding conflict of interest as specified by relevant legislation are identified, acknowledged and guidance is sought from </w:t>
            </w:r>
            <w:r w:rsidRPr="001C2DD7">
              <w:rPr>
                <w:rStyle w:val="BoldandItalics"/>
              </w:rPr>
              <w:t>relevant p</w:t>
            </w:r>
            <w:r w:rsidRPr="001C2DD7">
              <w:rPr>
                <w:rStyle w:val="BoldandItalics"/>
              </w:rPr>
              <w:t>ersons</w:t>
            </w:r>
            <w:r w:rsidRPr="001C2DD7">
              <w:t>.</w:t>
            </w:r>
          </w:p>
        </w:tc>
      </w:tr>
      <w:tr w:rsidTr="00C83752">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1C2DD7">
            <w:pPr>
              <w:pStyle w:val="List"/>
              <w:rPr>
                <w:lang w:val="en-NZ"/>
              </w:rPr>
            </w:pPr>
            <w:r w:rsidRPr="001C2DD7">
              <w:rPr>
                <w:rStyle w:val="SpecialBold"/>
              </w:rPr>
              <w:t>4</w:t>
            </w:r>
            <w:r w:rsidRPr="001C2DD7">
              <w:tab/>
            </w:r>
            <w:r w:rsidRPr="001C2DD7">
              <w:rPr>
                <w:rStyle w:val="SpecialBold"/>
              </w:rPr>
              <w:t>Identify the responsibilities and liabilities of access consultants and building certifiers and maintain effective working relationships</w:t>
            </w:r>
            <w:r w:rsidRPr="001C2DD7">
              <w:t>.</w:t>
            </w:r>
          </w:p>
        </w:tc>
        <w:tc>
          <w:tcPr>
            <w:tcW w:w="5345" w:type="dxa"/>
            <w:gridSpan w:val="2"/>
            <w:tcBorders>
              <w:top w:val="nil"/>
              <w:left w:val="nil"/>
              <w:bottom w:val="nil"/>
              <w:right w:val="nil"/>
            </w:tcBorders>
            <w:tcMar>
              <w:top w:w="0" w:type="dxa"/>
              <w:left w:w="62" w:type="dxa"/>
              <w:bottom w:w="0" w:type="dxa"/>
              <w:right w:w="62" w:type="dxa"/>
            </w:tcMar>
          </w:tcPr>
          <w:p w:rsidR="00000000" w:rsidRPr="001C2DD7" w:rsidP="001C2DD7">
            <w:pPr>
              <w:pStyle w:val="List"/>
            </w:pPr>
            <w:r w:rsidRPr="001C2DD7">
              <w:t>4.1</w:t>
            </w:r>
            <w:r w:rsidRPr="001C2DD7">
              <w:tab/>
            </w:r>
            <w:r w:rsidRPr="001C2DD7">
              <w:rPr>
                <w:rStyle w:val="BoldandItalics"/>
              </w:rPr>
              <w:t>Responsibilities</w:t>
            </w:r>
            <w:r w:rsidRPr="001C2DD7">
              <w:t xml:space="preserve"> and liabilities of access consultants are identified and documented.</w:t>
            </w:r>
          </w:p>
          <w:p w:rsidR="00000000" w:rsidRPr="001C2DD7" w:rsidP="001C2DD7">
            <w:pPr>
              <w:pStyle w:val="List"/>
            </w:pPr>
            <w:r w:rsidRPr="001C2DD7">
              <w:t>4.2</w:t>
            </w:r>
            <w:r w:rsidRPr="001C2DD7">
              <w:tab/>
              <w:t>Responsibilit</w:t>
            </w:r>
            <w:r w:rsidRPr="001C2DD7">
              <w:t>ies and statutory duties of building certifiers as specified by relevant legislation are identified and documented.</w:t>
            </w:r>
          </w:p>
          <w:p w:rsidR="00000000" w:rsidP="001C2DD7">
            <w:pPr>
              <w:pStyle w:val="List"/>
              <w:rPr>
                <w:lang w:val="en-NZ"/>
              </w:rPr>
            </w:pPr>
            <w:r w:rsidRPr="001C2DD7">
              <w:t>4.3</w:t>
            </w:r>
            <w:r w:rsidRPr="001C2DD7">
              <w:tab/>
              <w:t>Strategies for developing and maintaining effective working relationships between access consultants and building certifiers are impleme</w:t>
            </w:r>
            <w:r w:rsidRPr="001C2DD7">
              <w:t>nted.</w:t>
            </w:r>
          </w:p>
        </w:tc>
      </w:tr>
      <w:tr w:rsidTr="00C83752">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5" w:type="dxa"/>
            <w:gridSpan w:val="2"/>
            <w:tcBorders>
              <w:top w:val="nil"/>
              <w:left w:val="nil"/>
              <w:bottom w:val="nil"/>
              <w:right w:val="nil"/>
            </w:tcBorders>
            <w:tcMar>
              <w:top w:w="0" w:type="dxa"/>
              <w:left w:w="62" w:type="dxa"/>
              <w:bottom w:w="0" w:type="dxa"/>
              <w:right w:w="62" w:type="dxa"/>
            </w:tcMar>
          </w:tcPr>
          <w:p w:rsidR="00000000" w:rsidRPr="001C2DD7" w:rsidP="001C2DD7">
            <w:pPr>
              <w:pStyle w:val="BodyText"/>
            </w:pPr>
          </w:p>
        </w:tc>
      </w:tr>
    </w:tbl>
    <w:p w:rsidR="00C83752" w:rsidP="001C2DD7">
      <w:pPr>
        <w:pStyle w:val="BodyText"/>
      </w:pPr>
    </w:p>
    <w:p w:rsidR="00C83752" w:rsidP="001C2DD7">
      <w:pPr>
        <w:pStyle w:val="BodyText"/>
      </w:pPr>
    </w:p>
    <w:p w:rsidR="00000000" w:rsidRPr="001C2DD7" w:rsidP="001C2DD7">
      <w:pPr>
        <w:pStyle w:val="Heading1"/>
      </w:pPr>
      <w:bookmarkStart w:id="9" w:name="O_258621"/>
      <w:bookmarkEnd w:id="9"/>
      <w:r w:rsidRPr="001C2DD7">
        <w:t>Required Skills and Knowledge</w:t>
      </w:r>
    </w:p>
    <w:p w:rsidR="00000000" w:rsidRPr="001C2DD7" w:rsidP="001C2DD7">
      <w:pPr>
        <w:pStyle w:val="BodyText"/>
      </w:pPr>
      <w:r w:rsidRPr="001C2DD7">
        <w:rPr>
          <w:rStyle w:val="SpecialBold"/>
        </w:rPr>
        <w:t>REQUIRED SKILLS AND KNOWLEDGE</w:t>
      </w:r>
    </w:p>
    <w:p w:rsidR="00000000" w:rsidRPr="001C2DD7" w:rsidP="001C2DD7">
      <w:pPr>
        <w:pStyle w:val="BodyText"/>
      </w:pPr>
      <w:r w:rsidRPr="001C2DD7">
        <w:t>This section describes the essential skills and knowledge and their level, required for this unit.</w:t>
      </w:r>
    </w:p>
    <w:p w:rsidR="00000000" w:rsidRPr="001C2DD7" w:rsidP="001C2DD7">
      <w:pPr>
        <w:pStyle w:val="BodyText"/>
      </w:pPr>
      <w:r w:rsidRPr="001C2DD7">
        <w:rPr>
          <w:rStyle w:val="SpecialBold"/>
        </w:rPr>
        <w:t>Required knowledge and understanding include</w:t>
      </w:r>
      <w:r w:rsidRPr="001C2DD7">
        <w:t>:</w:t>
      </w:r>
    </w:p>
    <w:p w:rsidR="00000000" w:rsidRPr="001C2DD7" w:rsidP="001C2DD7">
      <w:pPr>
        <w:pStyle w:val="ListBullet"/>
      </w:pPr>
      <w:r w:rsidRPr="001C2DD7">
        <w:t>Australian legal system</w:t>
      </w:r>
    </w:p>
    <w:p w:rsidR="00000000" w:rsidRPr="001C2DD7" w:rsidP="001C2DD7">
      <w:pPr>
        <w:pStyle w:val="ListBullet"/>
      </w:pPr>
      <w:r w:rsidRPr="001C2DD7">
        <w:t>building and construction terminology and definitions</w:t>
      </w:r>
    </w:p>
    <w:p w:rsidR="00000000" w:rsidRPr="001C2DD7" w:rsidP="001C2DD7">
      <w:pPr>
        <w:pStyle w:val="ListBullet"/>
      </w:pPr>
      <w:r w:rsidRPr="001C2DD7">
        <w:t>commonwealth, state and territory anti-discrimination legislation and regulations</w:t>
      </w:r>
    </w:p>
    <w:p w:rsidR="00000000" w:rsidRPr="001C2DD7" w:rsidP="001C2DD7">
      <w:pPr>
        <w:pStyle w:val="ListBullet"/>
      </w:pPr>
      <w:r w:rsidRPr="001C2DD7">
        <w:t>disability awareness</w:t>
      </w:r>
    </w:p>
    <w:p w:rsidR="00000000" w:rsidRPr="001C2DD7" w:rsidP="001C2DD7">
      <w:pPr>
        <w:pStyle w:val="ListBullet"/>
      </w:pPr>
      <w:r w:rsidRPr="001C2DD7">
        <w:t>effective working relationships</w:t>
      </w:r>
    </w:p>
    <w:p w:rsidR="00000000" w:rsidRPr="001C2DD7" w:rsidP="001C2DD7">
      <w:pPr>
        <w:pStyle w:val="ListBullet"/>
      </w:pPr>
      <w:r w:rsidRPr="001C2DD7">
        <w:t>industry codes of practice and ethics</w:t>
      </w:r>
    </w:p>
    <w:p w:rsidR="00000000" w:rsidRPr="001C2DD7" w:rsidP="001C2DD7">
      <w:pPr>
        <w:pStyle w:val="ListBullet"/>
      </w:pPr>
      <w:r w:rsidRPr="001C2DD7">
        <w:t>legal</w:t>
      </w:r>
      <w:r w:rsidRPr="001C2DD7">
        <w:t xml:space="preserve"> terminology, definitions, processes and procedures used in standard court operations</w:t>
      </w:r>
    </w:p>
    <w:p w:rsidR="00000000" w:rsidRPr="001C2DD7" w:rsidP="001C2DD7">
      <w:pPr>
        <w:pStyle w:val="ListBullet"/>
      </w:pPr>
      <w:r w:rsidRPr="001C2DD7">
        <w:t>limitations of work role, responsibility and professional abilities</w:t>
      </w:r>
    </w:p>
    <w:p w:rsidR="00000000" w:rsidRPr="001C2DD7" w:rsidP="001C2DD7">
      <w:pPr>
        <w:pStyle w:val="ListBullet"/>
      </w:pPr>
      <w:r w:rsidRPr="001C2DD7">
        <w:t>organisational and professional procedures and business standards</w:t>
      </w:r>
    </w:p>
    <w:p w:rsidR="00000000" w:rsidRPr="001C2DD7" w:rsidP="001C2DD7">
      <w:pPr>
        <w:pStyle w:val="ListBullet"/>
      </w:pPr>
      <w:r w:rsidRPr="001C2DD7">
        <w:t>privacy legislation and confidential</w:t>
      </w:r>
      <w:r w:rsidRPr="001C2DD7">
        <w:t>ity requirements</w:t>
      </w:r>
    </w:p>
    <w:p w:rsidR="00000000" w:rsidRPr="001C2DD7" w:rsidP="001C2DD7">
      <w:pPr>
        <w:pStyle w:val="ListBullet"/>
      </w:pPr>
      <w:r w:rsidRPr="001C2DD7">
        <w:t>processes for recording data and administering records</w:t>
      </w:r>
    </w:p>
    <w:p w:rsidR="00000000" w:rsidRPr="001C2DD7" w:rsidP="001C2DD7">
      <w:pPr>
        <w:pStyle w:val="ListBullet"/>
      </w:pPr>
      <w:r w:rsidRPr="001C2DD7">
        <w:t>processes for preparing and administering documentation</w:t>
      </w:r>
    </w:p>
    <w:p w:rsidR="00000000" w:rsidRPr="001C2DD7" w:rsidP="001C2DD7">
      <w:pPr>
        <w:pStyle w:val="ListBullet"/>
      </w:pPr>
      <w:r w:rsidRPr="001C2DD7">
        <w:t>relevant commonwealth, state and territory building legislation, local government regulations and Australian standards</w:t>
      </w:r>
    </w:p>
    <w:p w:rsidR="00000000" w:rsidRPr="001C2DD7" w:rsidP="001C2DD7">
      <w:pPr>
        <w:pStyle w:val="ListBullet"/>
      </w:pPr>
      <w:r w:rsidRPr="001C2DD7">
        <w:t>report wr</w:t>
      </w:r>
      <w:r w:rsidRPr="001C2DD7">
        <w:t>iting</w:t>
      </w:r>
    </w:p>
    <w:p w:rsidR="00000000" w:rsidRPr="001C2DD7" w:rsidP="001C2DD7">
      <w:pPr>
        <w:pStyle w:val="ListBullet"/>
      </w:pPr>
      <w:r w:rsidRPr="001C2DD7">
        <w:t>research methods</w:t>
      </w:r>
    </w:p>
    <w:p w:rsidR="00000000" w:rsidRPr="001C2DD7" w:rsidP="001C2DD7">
      <w:pPr>
        <w:pStyle w:val="ListBullet"/>
      </w:pPr>
      <w:r w:rsidRPr="001C2DD7">
        <w:t>role and responsibilities of building certifiers.</w:t>
      </w:r>
    </w:p>
    <w:p w:rsidR="00000000" w:rsidRPr="001C2DD7" w:rsidP="001C2DD7">
      <w:pPr>
        <w:pStyle w:val="BodyText"/>
      </w:pPr>
      <w:r w:rsidRPr="001C2DD7">
        <w:rPr>
          <w:rStyle w:val="SpecialBold"/>
        </w:rPr>
        <w:t>Required skills and attributes include</w:t>
      </w:r>
      <w:r w:rsidRPr="001C2DD7">
        <w:t>:</w:t>
      </w:r>
    </w:p>
    <w:tbl>
      <w:tblPr>
        <w:tblW w:w="0" w:type="auto"/>
        <w:tblLayout w:type="fixed"/>
        <w:tblCellMar>
          <w:left w:w="62" w:type="dxa"/>
          <w:right w:w="62" w:type="dxa"/>
        </w:tblCellMar>
        <w:tblLook w:val="0000"/>
      </w:tblPr>
      <w:tblGrid>
        <w:gridCol w:w="8522"/>
      </w:tblGrid>
      <w:tr w:rsidTr="00C837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2DD7" w:rsidP="001C2DD7">
            <w:pPr>
              <w:pStyle w:val="ListBullet"/>
            </w:pPr>
            <w:r w:rsidRPr="001C2DD7">
              <w:t>analytical skills to:</w:t>
            </w:r>
          </w:p>
          <w:p w:rsidR="00000000" w:rsidRPr="001C2DD7" w:rsidP="001C2DD7">
            <w:pPr>
              <w:pStyle w:val="ListBullet2"/>
            </w:pPr>
            <w:r w:rsidRPr="001C2DD7">
              <w:t>interpret and apply legislative requirements pertaining to disability access</w:t>
            </w:r>
          </w:p>
          <w:p w:rsidR="00000000" w:rsidRPr="001C2DD7" w:rsidP="001C2DD7">
            <w:pPr>
              <w:pStyle w:val="ListBullet2"/>
            </w:pPr>
            <w:r w:rsidRPr="001C2DD7">
              <w:t>interpret the impacts of the full range of disabilities and the limitations that each disability places on the individual's ability to access the environment</w:t>
            </w:r>
          </w:p>
          <w:p w:rsidR="00000000" w:rsidRPr="001C2DD7" w:rsidP="001C2DD7">
            <w:pPr>
              <w:pStyle w:val="ListBullet2"/>
            </w:pPr>
            <w:r w:rsidRPr="001C2DD7">
              <w:t>interpret how the full range of environmental barriers impacts on people with disabilities (who ma</w:t>
            </w:r>
            <w:r w:rsidRPr="001C2DD7">
              <w:t>y have any of many impairments)</w:t>
            </w:r>
          </w:p>
          <w:p w:rsidR="00000000" w:rsidRPr="001C2DD7" w:rsidP="001C2DD7">
            <w:pPr>
              <w:pStyle w:val="ListBullet2"/>
            </w:pPr>
            <w:r w:rsidRPr="001C2DD7">
              <w:t>analyse the main features of the Australian legal system</w:t>
            </w:r>
          </w:p>
          <w:p w:rsidR="00000000" w:rsidRPr="001C2DD7" w:rsidP="001C2DD7">
            <w:pPr>
              <w:pStyle w:val="ListBullet2"/>
            </w:pPr>
            <w:r w:rsidRPr="001C2DD7">
              <w:t>interpret industry codes of practice and ethics</w:t>
            </w:r>
          </w:p>
          <w:p w:rsidR="00000000" w:rsidRPr="001C2DD7" w:rsidP="001C2DD7">
            <w:pPr>
              <w:pStyle w:val="ListBullet2"/>
            </w:pPr>
            <w:r w:rsidRPr="001C2DD7">
              <w:t>interpret and evaluate examples of civil action relevant to the provision of access</w:t>
            </w:r>
          </w:p>
          <w:p w:rsidR="00000000" w:rsidRPr="001C2DD7" w:rsidP="001C2DD7">
            <w:pPr>
              <w:pStyle w:val="ListBullet2"/>
            </w:pPr>
            <w:r w:rsidRPr="001C2DD7">
              <w:t>interpret the responsibilities of b</w:t>
            </w:r>
            <w:r w:rsidRPr="001C2DD7">
              <w:t>uilding certifiers as specified by legislation</w:t>
            </w:r>
          </w:p>
          <w:p w:rsidR="00000000" w:rsidRPr="001C2DD7" w:rsidP="001C2DD7">
            <w:pPr>
              <w:pStyle w:val="ListBullet2"/>
            </w:pPr>
            <w:r w:rsidRPr="001C2DD7">
              <w:t>interpret and analyse routine and non-routine situations to establish suitable methods of reporting</w:t>
            </w:r>
          </w:p>
          <w:p w:rsidR="00000000" w:rsidRPr="001C2DD7" w:rsidP="001C2DD7">
            <w:pPr>
              <w:pStyle w:val="ListBullet"/>
            </w:pPr>
            <w:r w:rsidRPr="001C2DD7">
              <w:t>application skills to:</w:t>
            </w:r>
          </w:p>
          <w:p w:rsidR="00000000" w:rsidRPr="001C2DD7" w:rsidP="001C2DD7">
            <w:pPr>
              <w:pStyle w:val="ListBullet2"/>
            </w:pPr>
            <w:r w:rsidRPr="001C2DD7">
              <w:t>apply relevant codes of practice and other legislative requirements to work processes</w:t>
            </w:r>
          </w:p>
          <w:p w:rsidR="00000000" w:rsidRPr="001C2DD7" w:rsidP="001C2DD7">
            <w:pPr>
              <w:pStyle w:val="ListBullet2"/>
            </w:pPr>
            <w:r w:rsidRPr="001C2DD7">
              <w:t>apply disability awareness to work processes</w:t>
            </w:r>
          </w:p>
          <w:p w:rsidR="00000000" w:rsidRPr="001C2DD7" w:rsidP="001C2DD7">
            <w:pPr>
              <w:pStyle w:val="ListBullet2"/>
            </w:pPr>
            <w:r w:rsidRPr="001C2DD7">
              <w:t>maintain knowledge of current codes, standards, regulations, practices and industry updates</w:t>
            </w:r>
          </w:p>
          <w:p w:rsidR="00000000" w:rsidRPr="001C2DD7" w:rsidP="001C2DD7">
            <w:pPr>
              <w:pStyle w:val="ListBullet"/>
            </w:pPr>
            <w:r w:rsidRPr="001C2DD7">
              <w:t>communication skills to:</w:t>
            </w:r>
          </w:p>
          <w:p w:rsidR="00000000" w:rsidRPr="001C2DD7" w:rsidP="001C2DD7">
            <w:pPr>
              <w:pStyle w:val="ListBullet2"/>
            </w:pPr>
            <w:r w:rsidRPr="001C2DD7">
              <w:t>explain clearly information on issues relating to the provision of access</w:t>
            </w:r>
          </w:p>
          <w:p w:rsidR="00000000" w:rsidRPr="001C2DD7" w:rsidP="001C2DD7">
            <w:pPr>
              <w:pStyle w:val="ListBullet2"/>
            </w:pPr>
            <w:r w:rsidRPr="001C2DD7">
              <w:t>impart knowledge a</w:t>
            </w:r>
            <w:r w:rsidRPr="001C2DD7">
              <w:t>nd ideas through oral, written and visual means</w:t>
            </w:r>
          </w:p>
          <w:p w:rsidR="00000000" w:rsidRPr="001C2DD7" w:rsidP="001C2DD7">
            <w:pPr>
              <w:pStyle w:val="ListBullet2"/>
            </w:pPr>
            <w:r w:rsidRPr="001C2DD7">
              <w:t>maintain professional relationships and networks</w:t>
            </w:r>
          </w:p>
          <w:p w:rsidR="00000000" w:rsidRPr="001C2DD7" w:rsidP="001C2DD7">
            <w:pPr>
              <w:pStyle w:val="ListBullet"/>
            </w:pPr>
            <w:r w:rsidRPr="001C2DD7">
              <w:t>interpersonal skills to:</w:t>
            </w:r>
          </w:p>
          <w:p w:rsidR="00000000" w:rsidRPr="001C2DD7" w:rsidP="001C2DD7">
            <w:pPr>
              <w:pStyle w:val="ListBullet2"/>
            </w:pPr>
            <w:r w:rsidRPr="001C2DD7">
              <w:t>adapt to new workplace situations</w:t>
            </w:r>
          </w:p>
          <w:p w:rsidR="00000000" w:rsidRPr="001C2DD7" w:rsidP="001C2DD7">
            <w:pPr>
              <w:pStyle w:val="ListBullet2"/>
            </w:pPr>
            <w:r w:rsidRPr="001C2DD7">
              <w:t>analyse own work practices and process outcomes critically</w:t>
            </w:r>
          </w:p>
          <w:p w:rsidR="00000000" w:rsidRPr="001C2DD7" w:rsidP="001C2DD7">
            <w:pPr>
              <w:pStyle w:val="ListBullet2"/>
            </w:pPr>
            <w:r w:rsidRPr="001C2DD7">
              <w:t>engage colleagues and share disability access knowledge</w:t>
            </w:r>
          </w:p>
          <w:p w:rsidR="00000000" w:rsidRPr="001C2DD7" w:rsidP="001C2DD7">
            <w:pPr>
              <w:pStyle w:val="ListBullet2"/>
            </w:pPr>
            <w:r w:rsidRPr="001C2DD7">
              <w:t>facilitate change for greater awareness of disability access</w:t>
            </w:r>
          </w:p>
          <w:p w:rsidR="00000000" w:rsidRPr="001C2DD7" w:rsidP="001C2DD7">
            <w:pPr>
              <w:pStyle w:val="ListBullet2"/>
            </w:pPr>
            <w:r w:rsidRPr="001C2DD7">
              <w:t>provide advice in a sensitive and appropriate manner</w:t>
            </w:r>
          </w:p>
          <w:p w:rsidR="00000000" w:rsidRPr="001C2DD7" w:rsidP="001C2DD7">
            <w:pPr>
              <w:pStyle w:val="ListBullet2"/>
            </w:pPr>
            <w:r w:rsidRPr="001C2DD7">
              <w:t>relate to people from a range of social, cultural and ethnic backgrounds and with a ra</w:t>
            </w:r>
            <w:r w:rsidRPr="001C2DD7">
              <w:t>nge of physical and mental abilities</w:t>
            </w:r>
          </w:p>
          <w:p w:rsidR="00000000" w:rsidRPr="001C2DD7" w:rsidP="001C2DD7">
            <w:pPr>
              <w:pStyle w:val="ListBullet"/>
            </w:pPr>
            <w:r w:rsidRPr="001C2DD7">
              <w:t>literacy skills to:</w:t>
            </w:r>
          </w:p>
          <w:p w:rsidR="00000000" w:rsidRPr="001C2DD7" w:rsidP="001C2DD7">
            <w:pPr>
              <w:pStyle w:val="ListBullet2"/>
            </w:pPr>
            <w:r w:rsidRPr="001C2DD7">
              <w:t>assess and use workplace information</w:t>
            </w:r>
          </w:p>
          <w:p w:rsidR="00000000" w:rsidRPr="001C2DD7" w:rsidP="001C2DD7">
            <w:pPr>
              <w:pStyle w:val="ListBullet2"/>
            </w:pPr>
            <w:r w:rsidRPr="001C2DD7">
              <w:t>interpret building industry terminology and jargon</w:t>
            </w:r>
          </w:p>
          <w:p w:rsidR="00000000" w:rsidRPr="001C2DD7" w:rsidP="001C2DD7">
            <w:pPr>
              <w:pStyle w:val="ListBullet2"/>
            </w:pPr>
            <w:r w:rsidRPr="001C2DD7">
              <w:t>read and interpret legal terminology, definitions, processes and procedures used in standard court operations</w:t>
            </w:r>
          </w:p>
          <w:p w:rsidR="00000000" w:rsidRPr="001C2DD7" w:rsidP="001C2DD7">
            <w:pPr>
              <w:pStyle w:val="ListBullet2"/>
            </w:pPr>
            <w:r w:rsidRPr="001C2DD7">
              <w:t>read and record data</w:t>
            </w:r>
          </w:p>
          <w:p w:rsidR="00000000" w:rsidRPr="001C2DD7" w:rsidP="001C2DD7">
            <w:pPr>
              <w:pStyle w:val="ListBullet"/>
            </w:pPr>
            <w:r w:rsidRPr="001C2DD7">
              <w:t>organisational skills to:</w:t>
            </w:r>
          </w:p>
          <w:p w:rsidR="00000000" w:rsidRPr="001C2DD7" w:rsidP="001C2DD7">
            <w:pPr>
              <w:pStyle w:val="ListBullet2"/>
            </w:pPr>
            <w:r w:rsidRPr="001C2DD7">
              <w:t>prepare and administer documentation</w:t>
            </w:r>
          </w:p>
          <w:p w:rsidR="00000000" w:rsidRPr="001C2DD7" w:rsidP="001C2DD7">
            <w:pPr>
              <w:pStyle w:val="ListBullet2"/>
            </w:pPr>
            <w:r w:rsidRPr="001C2DD7">
              <w:t>implement organisational policies and procedures</w:t>
            </w:r>
          </w:p>
          <w:p w:rsidR="00000000" w:rsidRPr="001C2DD7" w:rsidP="001C2DD7">
            <w:pPr>
              <w:pStyle w:val="ListBullet"/>
            </w:pPr>
            <w:r w:rsidRPr="001C2DD7">
              <w:t>research skills to:</w:t>
            </w:r>
          </w:p>
          <w:p w:rsidR="00000000" w:rsidRPr="001C2DD7" w:rsidP="001C2DD7">
            <w:pPr>
              <w:pStyle w:val="ListBullet2"/>
            </w:pPr>
            <w:r w:rsidRPr="001C2DD7">
              <w:t>source information to assist in interpreting legislation regarding the provision of access</w:t>
            </w:r>
          </w:p>
          <w:p w:rsidR="00000000" w:rsidRPr="001C2DD7" w:rsidP="001C2DD7">
            <w:pPr>
              <w:pStyle w:val="ListBullet2"/>
            </w:pPr>
            <w:r w:rsidRPr="001C2DD7">
              <w:t>source and</w:t>
            </w:r>
            <w:r w:rsidRPr="001C2DD7">
              <w:t xml:space="preserve"> interpret building legislative requirements</w:t>
            </w:r>
          </w:p>
          <w:p w:rsidR="00000000" w:rsidRPr="001C2DD7" w:rsidP="001C2DD7">
            <w:pPr>
              <w:pStyle w:val="ListBullet2"/>
            </w:pPr>
            <w:r w:rsidRPr="001C2DD7">
              <w:t>source and interpret case law on the provision of access</w:t>
            </w:r>
          </w:p>
          <w:p w:rsidR="00000000" w:rsidRPr="001C2DD7" w:rsidP="001C2DD7">
            <w:pPr>
              <w:pStyle w:val="ListBullet"/>
            </w:pPr>
            <w:r w:rsidRPr="001C2DD7">
              <w:t>technology skills to:</w:t>
            </w:r>
          </w:p>
          <w:p w:rsidR="00000000" w:rsidRPr="001C2DD7" w:rsidP="001C2DD7">
            <w:pPr>
              <w:pStyle w:val="ListBullet2"/>
            </w:pPr>
            <w:r w:rsidRPr="001C2DD7">
              <w:t>apply information technology and computer skills to prepare working documentation and reports.</w:t>
            </w:r>
          </w:p>
        </w:tc>
      </w:tr>
    </w:tbl>
    <w:p w:rsidR="00C83752" w:rsidP="001C2DD7">
      <w:pPr>
        <w:pStyle w:val="BodyText"/>
      </w:pPr>
    </w:p>
    <w:p w:rsidR="00C83752" w:rsidP="001C2DD7">
      <w:pPr>
        <w:pStyle w:val="BodyText"/>
      </w:pPr>
    </w:p>
    <w:p w:rsidR="00000000" w:rsidRPr="001C2DD7" w:rsidP="001C2DD7">
      <w:pPr>
        <w:pStyle w:val="Heading1"/>
      </w:pPr>
      <w:bookmarkStart w:id="10" w:name="O_242655"/>
      <w:bookmarkEnd w:id="10"/>
      <w:r w:rsidRPr="001C2DD7">
        <w:t>Evidence Guide</w:t>
      </w:r>
    </w:p>
    <w:p w:rsidR="00000000" w:rsidRPr="001C2DD7" w:rsidP="001C2DD7">
      <w:pPr>
        <w:pStyle w:val="BodyText"/>
      </w:pPr>
      <w:r w:rsidRPr="001C2DD7">
        <w:rPr>
          <w:rStyle w:val="SpecialBold"/>
        </w:rPr>
        <w:t>EVIDENCE GUIDE</w:t>
      </w:r>
    </w:p>
    <w:p w:rsidR="00000000" w:rsidRPr="001C2DD7" w:rsidP="001C2DD7">
      <w:pPr>
        <w:pStyle w:val="BodyText"/>
      </w:pPr>
      <w:r w:rsidRPr="001C2DD7">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12"/>
        <w:gridCol w:w="5808"/>
      </w:tblGrid>
      <w:tr w:rsidTr="00C83752">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1C2DD7">
            <w:pPr>
              <w:pStyle w:val="BodyText"/>
              <w:rPr>
                <w:lang w:val="en-NZ"/>
              </w:rPr>
            </w:pPr>
            <w:r w:rsidRPr="001C2DD7">
              <w:rPr>
                <w:rStyle w:val="SpecialBold"/>
              </w:rPr>
              <w:t>Overview of assessmen</w:t>
            </w:r>
            <w:r w:rsidRPr="001C2DD7">
              <w:rPr>
                <w:rStyle w:val="SpecialBold"/>
              </w:rPr>
              <w:t>t</w:t>
            </w:r>
          </w:p>
        </w:tc>
        <w:tc>
          <w:tcPr>
            <w:tcW w:w="5808" w:type="dxa"/>
            <w:tcBorders>
              <w:top w:val="nil"/>
              <w:left w:val="nil"/>
              <w:bottom w:val="nil"/>
              <w:right w:val="nil"/>
            </w:tcBorders>
            <w:tcMar>
              <w:top w:w="0" w:type="dxa"/>
              <w:left w:w="62" w:type="dxa"/>
              <w:bottom w:w="0" w:type="dxa"/>
              <w:right w:w="62" w:type="dxa"/>
            </w:tcMar>
          </w:tcPr>
          <w:p w:rsidR="00000000" w:rsidP="001C2DD7">
            <w:pPr>
              <w:pStyle w:val="ListBullet"/>
              <w:rPr>
                <w:lang w:val="en-NZ"/>
              </w:rPr>
            </w:pPr>
            <w:r w:rsidRPr="001C2DD7">
              <w:t>This unit of competency could be assessed on its own or as part of an integrated assessment activity involving other competencies relevant to the job function.</w:t>
            </w:r>
          </w:p>
        </w:tc>
      </w:tr>
      <w:tr w:rsidTr="00C83752">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1C2DD7">
            <w:pPr>
              <w:pStyle w:val="BodyText"/>
              <w:rPr>
                <w:lang w:val="en-NZ"/>
              </w:rPr>
            </w:pPr>
            <w:r w:rsidRPr="001C2DD7">
              <w:rPr>
                <w:rStyle w:val="SpecialBold"/>
              </w:rPr>
              <w:t>Critical aspects for assessment and evidence required to demonstrate competency in this unit</w:t>
            </w:r>
          </w:p>
        </w:tc>
        <w:tc>
          <w:tcPr>
            <w:tcW w:w="5808" w:type="dxa"/>
            <w:tcBorders>
              <w:top w:val="nil"/>
              <w:left w:val="nil"/>
              <w:bottom w:val="nil"/>
              <w:right w:val="nil"/>
            </w:tcBorders>
            <w:tcMar>
              <w:top w:w="0" w:type="dxa"/>
              <w:left w:w="62" w:type="dxa"/>
              <w:bottom w:w="0" w:type="dxa"/>
              <w:right w:w="62" w:type="dxa"/>
            </w:tcMar>
          </w:tcPr>
          <w:p w:rsidR="00000000" w:rsidRPr="001C2DD7" w:rsidP="001C2DD7">
            <w:pPr>
              <w:pStyle w:val="ListBullet"/>
            </w:pPr>
            <w:r w:rsidRPr="001C2DD7">
              <w:t>A person who demonstrates competency in this unit must be able to provide evidence of:</w:t>
            </w:r>
          </w:p>
          <w:p w:rsidR="00000000" w:rsidRPr="001C2DD7" w:rsidP="001C2DD7">
            <w:pPr>
              <w:pStyle w:val="ListBullet2"/>
            </w:pPr>
            <w:r w:rsidRPr="001C2DD7">
              <w:t>recognising the needs and desires of people with disabilities to engage fully in all aspects of society, and their right to do so</w:t>
            </w:r>
          </w:p>
          <w:p w:rsidR="00000000" w:rsidRPr="001C2DD7" w:rsidP="001C2DD7">
            <w:pPr>
              <w:pStyle w:val="ListBullet2"/>
            </w:pPr>
            <w:r w:rsidRPr="001C2DD7">
              <w:t>interpreting accurately the impacts of</w:t>
            </w:r>
            <w:r w:rsidRPr="001C2DD7">
              <w:t xml:space="preserve"> the full range of disabilities and the limitations that each disability places on the individual's ability to access the environment</w:t>
            </w:r>
          </w:p>
          <w:p w:rsidR="00000000" w:rsidRPr="001C2DD7" w:rsidP="001C2DD7">
            <w:pPr>
              <w:pStyle w:val="ListBullet2"/>
            </w:pPr>
            <w:r w:rsidRPr="001C2DD7">
              <w:t>interpreting accurately how the full range of environmental barriers impacts on any of the impairments that people with di</w:t>
            </w:r>
            <w:r w:rsidRPr="001C2DD7">
              <w:t>sabilities might have</w:t>
            </w:r>
          </w:p>
          <w:p w:rsidR="00000000" w:rsidRPr="001C2DD7" w:rsidP="001C2DD7">
            <w:pPr>
              <w:pStyle w:val="ListBullet2"/>
            </w:pPr>
            <w:r w:rsidRPr="001C2DD7">
              <w:t>identifying and interpreting building and anti-discrimination legislation for the provision of access to small-scale buildings</w:t>
            </w:r>
          </w:p>
          <w:p w:rsidR="00000000" w:rsidRPr="001C2DD7" w:rsidP="001C2DD7">
            <w:pPr>
              <w:pStyle w:val="ListBullet2"/>
            </w:pPr>
            <w:r w:rsidRPr="001C2DD7">
              <w:t>interpreting relevant industry codes of practice and applying it to the personal work situation</w:t>
            </w:r>
          </w:p>
          <w:p w:rsidR="00000000" w:rsidRPr="001C2DD7" w:rsidP="001C2DD7">
            <w:pPr>
              <w:pStyle w:val="ListBullet2"/>
            </w:pPr>
            <w:r w:rsidRPr="001C2DD7">
              <w:t>identifying</w:t>
            </w:r>
            <w:r w:rsidRPr="001C2DD7">
              <w:t xml:space="preserve"> the processes for addressing issues of non-compliance with the relevant building control legislation</w:t>
            </w:r>
          </w:p>
          <w:p w:rsidR="00000000" w:rsidRPr="001C2DD7" w:rsidP="001C2DD7">
            <w:pPr>
              <w:pStyle w:val="ListBullet2"/>
            </w:pPr>
            <w:r w:rsidRPr="001C2DD7">
              <w:t>interpreting the responsibilities of building certifiers to ensure the provision of access to small-scale buildings</w:t>
            </w:r>
          </w:p>
          <w:p w:rsidR="00000000" w:rsidP="001C2DD7">
            <w:pPr>
              <w:pStyle w:val="ListBullet2"/>
              <w:rPr>
                <w:lang w:val="en-NZ"/>
              </w:rPr>
            </w:pPr>
            <w:r w:rsidRPr="001C2DD7">
              <w:t>applying organisational management pol</w:t>
            </w:r>
            <w:r w:rsidRPr="001C2DD7">
              <w:t>icies and procedures, including quality assurance requirements.</w:t>
            </w:r>
          </w:p>
        </w:tc>
      </w:tr>
      <w:tr w:rsidTr="00C83752">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1C2DD7">
            <w:pPr>
              <w:pStyle w:val="BodyText"/>
              <w:rPr>
                <w:lang w:val="en-NZ"/>
              </w:rPr>
            </w:pPr>
            <w:r w:rsidRPr="001C2DD7">
              <w:rPr>
                <w:rStyle w:val="SpecialBold"/>
              </w:rPr>
              <w:t>Context of and specific resources for assessment</w:t>
            </w:r>
          </w:p>
        </w:tc>
        <w:tc>
          <w:tcPr>
            <w:tcW w:w="5808" w:type="dxa"/>
            <w:tcBorders>
              <w:top w:val="nil"/>
              <w:left w:val="nil"/>
              <w:bottom w:val="nil"/>
              <w:right w:val="nil"/>
            </w:tcBorders>
            <w:tcMar>
              <w:top w:w="0" w:type="dxa"/>
              <w:left w:w="62" w:type="dxa"/>
              <w:bottom w:w="0" w:type="dxa"/>
              <w:right w:w="62" w:type="dxa"/>
            </w:tcMar>
          </w:tcPr>
          <w:p w:rsidR="00000000" w:rsidRPr="001C2DD7" w:rsidP="001C2DD7">
            <w:pPr>
              <w:pStyle w:val="ListBullet"/>
            </w:pPr>
            <w:r w:rsidRPr="001C2DD7">
              <w:t>Resource implications for assessment include:</w:t>
            </w:r>
          </w:p>
          <w:p w:rsidR="00000000" w:rsidRPr="001C2DD7" w:rsidP="001C2DD7">
            <w:pPr>
              <w:pStyle w:val="ListBullet2"/>
            </w:pPr>
            <w:r w:rsidRPr="001C2DD7">
              <w:t>a registered provider of assessment services</w:t>
            </w:r>
          </w:p>
          <w:p w:rsidR="00000000" w:rsidRPr="001C2DD7" w:rsidP="001C2DD7">
            <w:pPr>
              <w:pStyle w:val="ListBullet2"/>
            </w:pPr>
            <w:r w:rsidRPr="001C2DD7">
              <w:t>competency standards</w:t>
            </w:r>
          </w:p>
          <w:p w:rsidR="00000000" w:rsidRPr="001C2DD7" w:rsidP="001C2DD7">
            <w:pPr>
              <w:pStyle w:val="ListBullet2"/>
            </w:pPr>
            <w:r w:rsidRPr="001C2DD7">
              <w:t>assessment materials and tools</w:t>
            </w:r>
          </w:p>
          <w:p w:rsidR="00000000" w:rsidRPr="001C2DD7" w:rsidP="001C2DD7">
            <w:pPr>
              <w:pStyle w:val="ListBullet2"/>
            </w:pPr>
            <w:r w:rsidRPr="001C2DD7">
              <w:t>suitable assessment venue/equipment</w:t>
            </w:r>
          </w:p>
          <w:p w:rsidR="00000000" w:rsidRPr="001C2DD7" w:rsidP="001C2DD7">
            <w:pPr>
              <w:pStyle w:val="ListBullet2"/>
            </w:pPr>
            <w:r w:rsidRPr="001C2DD7">
              <w:t>workplace documentation</w:t>
            </w:r>
          </w:p>
          <w:p w:rsidR="00000000" w:rsidRPr="001C2DD7" w:rsidP="001C2DD7">
            <w:pPr>
              <w:pStyle w:val="ListBullet2"/>
            </w:pPr>
            <w:r w:rsidRPr="001C2DD7">
              <w:t>candidate special requirements</w:t>
            </w:r>
          </w:p>
          <w:p w:rsidR="00000000" w:rsidRPr="001C2DD7" w:rsidP="001C2DD7">
            <w:pPr>
              <w:pStyle w:val="ListBullet2"/>
            </w:pPr>
            <w:r w:rsidRPr="001C2DD7">
              <w:t>cost and time considerations.</w:t>
            </w:r>
          </w:p>
          <w:p w:rsidR="00000000" w:rsidRPr="001C2DD7" w:rsidP="001C2DD7">
            <w:pPr>
              <w:pStyle w:val="ListBullet"/>
            </w:pPr>
            <w:r w:rsidRPr="001C2DD7">
              <w:t>Validity and sufficiency of evidence requires that:</w:t>
            </w:r>
          </w:p>
          <w:p w:rsidR="00000000" w:rsidRPr="001C2DD7" w:rsidP="001C2DD7">
            <w:pPr>
              <w:pStyle w:val="ListBullet2"/>
            </w:pPr>
            <w:r w:rsidRPr="001C2DD7">
              <w:t>competency will need to be demonstrated over a peri</w:t>
            </w:r>
            <w:r w:rsidRPr="001C2DD7">
              <w:t>od of time reflecting the scope of the role</w:t>
            </w:r>
          </w:p>
          <w:p w:rsidR="00000000" w:rsidRPr="001C2DD7" w:rsidP="001C2DD7">
            <w:pPr>
              <w:pStyle w:val="ListBullet2"/>
            </w:pPr>
            <w:r w:rsidRPr="001C2DD7">
              <w:t>where the assessment is part of a structured learning experience the evidence collected m</w:t>
            </w:r>
            <w:r w:rsidRPr="001C2DD7">
              <w:t>ust relate to a number of performances assessed at different points in time and separated by further learning and practice with a decision of competence only taken at the point when the assessor has complete confidence in the person's competence</w:t>
            </w:r>
          </w:p>
          <w:p w:rsidR="00000000" w:rsidRPr="001C2DD7" w:rsidP="001C2DD7">
            <w:pPr>
              <w:pStyle w:val="ListBullet2"/>
            </w:pPr>
            <w:r w:rsidRPr="001C2DD7">
              <w:t>all assess</w:t>
            </w:r>
            <w:r w:rsidRPr="001C2DD7">
              <w:t>ment that is part of a structured learning experience must include a combination of direct, indirect and supplementary evidence</w:t>
            </w:r>
          </w:p>
          <w:p w:rsidR="00000000" w:rsidRPr="001C2DD7" w:rsidP="001C2DD7">
            <w:pPr>
              <w:pStyle w:val="ListBullet2"/>
            </w:pPr>
            <w:r w:rsidRPr="001C2DD7">
              <w:t>where assessment is for the purpose of recognition (RCC/RPL), the evidence provided will need to be current and show that it rep</w:t>
            </w:r>
            <w:r w:rsidRPr="001C2DD7">
              <w:t>resents competency demonstrated over a period of time</w:t>
            </w:r>
          </w:p>
          <w:p w:rsidR="00000000" w:rsidRPr="001C2DD7" w:rsidP="001C2DD7">
            <w:pPr>
              <w:pStyle w:val="ListBullet2"/>
            </w:pPr>
            <w:r w:rsidRPr="001C2DD7">
              <w:t>assessment can be through simulated project-based activity and must include evidence relating to each of the elements in this unit.</w:t>
            </w:r>
          </w:p>
        </w:tc>
      </w:tr>
    </w:tbl>
    <w:p w:rsidR="00C83752" w:rsidP="001C2DD7">
      <w:pPr>
        <w:pStyle w:val="BodyText"/>
      </w:pPr>
    </w:p>
    <w:p w:rsidR="00C83752" w:rsidP="001C2DD7">
      <w:pPr>
        <w:pStyle w:val="BodyText"/>
      </w:pPr>
    </w:p>
    <w:p w:rsidR="00000000" w:rsidRPr="001C2DD7" w:rsidP="001C2DD7">
      <w:pPr>
        <w:pStyle w:val="Heading1"/>
      </w:pPr>
      <w:bookmarkStart w:id="11" w:name="O_250638"/>
      <w:bookmarkEnd w:id="11"/>
      <w:r w:rsidRPr="001C2DD7">
        <w:t>Range Statement</w:t>
      </w:r>
    </w:p>
    <w:p w:rsidR="00000000" w:rsidRPr="001C2DD7" w:rsidP="001C2DD7">
      <w:pPr>
        <w:pStyle w:val="BodyText"/>
      </w:pPr>
      <w:r w:rsidRPr="001C2DD7">
        <w:rPr>
          <w:rStyle w:val="SpecialBold"/>
        </w:rPr>
        <w:t>RANGE STATEMENT</w:t>
      </w:r>
    </w:p>
    <w:p w:rsidR="00000000" w:rsidRPr="001C2DD7" w:rsidP="001C2DD7">
      <w:pPr>
        <w:pStyle w:val="BodyText"/>
      </w:pPr>
      <w:r w:rsidRPr="001C2DD7">
        <w:t>The range statem</w:t>
      </w:r>
      <w:r w:rsidRPr="001C2DD7">
        <w:t>ent relates to the unit of competency as a whole. It allows for different work environments and situations that may affect performance. Bold italicised wording in the performance criteria is detailed below. Add any essential operating conditions that may b</w:t>
      </w:r>
      <w:r w:rsidRPr="001C2DD7">
        <w:t>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46"/>
        <w:gridCol w:w="5676"/>
      </w:tblGrid>
      <w:tr w:rsidTr="00C83752">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C2DD7">
            <w:pPr>
              <w:pStyle w:val="BodyText"/>
              <w:rPr>
                <w:lang w:val="en-NZ"/>
              </w:rPr>
            </w:pPr>
            <w:r w:rsidRPr="001C2DD7">
              <w:rPr>
                <w:rStyle w:val="BoldandItalics"/>
              </w:rPr>
              <w:t>Relevant building control legislation</w:t>
            </w:r>
            <w:r w:rsidRPr="001C2DD7">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1C2DD7" w:rsidP="001C2DD7">
            <w:pPr>
              <w:pStyle w:val="ListBullet"/>
            </w:pPr>
            <w:r w:rsidRPr="001C2DD7">
              <w:t>Building Code of Australia</w:t>
            </w:r>
          </w:p>
          <w:p w:rsidR="00000000" w:rsidRPr="001C2DD7" w:rsidP="001C2DD7">
            <w:pPr>
              <w:pStyle w:val="ListBullet"/>
            </w:pPr>
            <w:r w:rsidRPr="001C2DD7">
              <w:t>Australian standards</w:t>
            </w:r>
          </w:p>
          <w:p w:rsidR="00000000" w:rsidRPr="001C2DD7" w:rsidP="001C2DD7">
            <w:pPr>
              <w:pStyle w:val="ListBullet"/>
            </w:pPr>
            <w:r w:rsidRPr="001C2DD7">
              <w:t>Disability Discrimination Act (DDA)</w:t>
            </w:r>
          </w:p>
          <w:p w:rsidR="00000000" w:rsidRPr="001C2DD7" w:rsidP="001C2DD7">
            <w:pPr>
              <w:pStyle w:val="ListBullet"/>
            </w:pPr>
            <w:r w:rsidRPr="001C2DD7">
              <w:t>DDA Premises Standard</w:t>
            </w:r>
          </w:p>
          <w:p w:rsidR="00000000" w:rsidRPr="001C2DD7" w:rsidP="001C2DD7">
            <w:pPr>
              <w:pStyle w:val="ListBullet"/>
            </w:pPr>
            <w:r w:rsidRPr="001C2DD7">
              <w:t>state and territory building legislation</w:t>
            </w:r>
          </w:p>
          <w:p w:rsidR="00000000" w:rsidP="001C2DD7">
            <w:pPr>
              <w:pStyle w:val="ListBullet"/>
              <w:rPr>
                <w:lang w:val="en-NZ"/>
              </w:rPr>
            </w:pPr>
            <w:r w:rsidRPr="001C2DD7">
              <w:t>local government Development Control Plan.</w:t>
            </w:r>
          </w:p>
        </w:tc>
      </w:tr>
      <w:tr w:rsidTr="00C83752">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C2DD7">
            <w:pPr>
              <w:pStyle w:val="BodyText"/>
              <w:rPr>
                <w:lang w:val="en-NZ"/>
              </w:rPr>
            </w:pPr>
            <w:r w:rsidRPr="001C2DD7">
              <w:rPr>
                <w:rStyle w:val="BoldandItalics"/>
              </w:rPr>
              <w:t>Organisational requirements</w:t>
            </w:r>
            <w:r w:rsidRPr="001C2DD7">
              <w:t xml:space="preserve"> may be outlined and reflected in:</w:t>
            </w:r>
          </w:p>
        </w:tc>
        <w:tc>
          <w:tcPr>
            <w:tcW w:w="5676" w:type="dxa"/>
            <w:tcBorders>
              <w:top w:val="nil"/>
              <w:left w:val="nil"/>
              <w:bottom w:val="nil"/>
              <w:right w:val="nil"/>
            </w:tcBorders>
            <w:tcMar>
              <w:top w:w="0" w:type="dxa"/>
              <w:left w:w="62" w:type="dxa"/>
              <w:bottom w:w="0" w:type="dxa"/>
              <w:right w:w="62" w:type="dxa"/>
            </w:tcMar>
          </w:tcPr>
          <w:p w:rsidR="00000000" w:rsidRPr="001C2DD7" w:rsidP="001C2DD7">
            <w:pPr>
              <w:pStyle w:val="ListBullet"/>
            </w:pPr>
            <w:r w:rsidRPr="001C2DD7">
              <w:t>access and equity policy, prin</w:t>
            </w:r>
            <w:r w:rsidRPr="001C2DD7">
              <w:t>ciples and practices</w:t>
            </w:r>
          </w:p>
          <w:p w:rsidR="00000000" w:rsidRPr="001C2DD7" w:rsidP="001C2DD7">
            <w:pPr>
              <w:pStyle w:val="ListBullet"/>
            </w:pPr>
            <w:r w:rsidRPr="001C2DD7">
              <w:t>business and performance plans</w:t>
            </w:r>
          </w:p>
          <w:p w:rsidR="00000000" w:rsidRPr="001C2DD7" w:rsidP="001C2DD7">
            <w:pPr>
              <w:pStyle w:val="ListBullet"/>
            </w:pPr>
            <w:r w:rsidRPr="001C2DD7">
              <w:t>client service policies, procedures and standards</w:t>
            </w:r>
          </w:p>
          <w:p w:rsidR="00000000" w:rsidRPr="001C2DD7" w:rsidP="001C2DD7">
            <w:pPr>
              <w:pStyle w:val="ListBullet"/>
            </w:pPr>
            <w:r w:rsidRPr="001C2DD7">
              <w:t>codes of conduct and codes of practice</w:t>
            </w:r>
          </w:p>
          <w:p w:rsidR="00000000" w:rsidRPr="001C2DD7" w:rsidP="001C2DD7">
            <w:pPr>
              <w:pStyle w:val="ListBullet"/>
            </w:pPr>
            <w:r w:rsidRPr="001C2DD7">
              <w:t>communication channels and reporting procedures</w:t>
            </w:r>
          </w:p>
          <w:p w:rsidR="00000000" w:rsidRPr="001C2DD7" w:rsidP="001C2DD7">
            <w:pPr>
              <w:pStyle w:val="ListBullet"/>
            </w:pPr>
            <w:r w:rsidRPr="001C2DD7">
              <w:t>communication of services offered</w:t>
            </w:r>
          </w:p>
          <w:p w:rsidR="00000000" w:rsidRPr="001C2DD7" w:rsidP="001C2DD7">
            <w:pPr>
              <w:pStyle w:val="ListBullet"/>
            </w:pPr>
            <w:r w:rsidRPr="001C2DD7">
              <w:t xml:space="preserve">complaint and dispute resolution </w:t>
            </w:r>
            <w:r w:rsidRPr="001C2DD7">
              <w:t>procedures</w:t>
            </w:r>
          </w:p>
          <w:p w:rsidR="00000000" w:rsidRPr="001C2DD7" w:rsidP="001C2DD7">
            <w:pPr>
              <w:pStyle w:val="ListBullet"/>
            </w:pPr>
            <w:r w:rsidRPr="001C2DD7">
              <w:t>compliance with legislation, codes and workplace standards</w:t>
            </w:r>
          </w:p>
          <w:p w:rsidR="00000000" w:rsidRPr="001C2DD7" w:rsidP="001C2DD7">
            <w:pPr>
              <w:pStyle w:val="ListBullet"/>
            </w:pPr>
            <w:r w:rsidRPr="001C2DD7">
              <w:t>continuous improvement processes and standards</w:t>
            </w:r>
          </w:p>
          <w:p w:rsidR="00000000" w:rsidRPr="001C2DD7" w:rsidP="001C2DD7">
            <w:pPr>
              <w:pStyle w:val="ListBullet"/>
            </w:pPr>
            <w:r w:rsidRPr="001C2DD7">
              <w:t>defined resource parameters</w:t>
            </w:r>
          </w:p>
          <w:p w:rsidR="00000000" w:rsidRPr="001C2DD7" w:rsidP="001C2DD7">
            <w:pPr>
              <w:pStyle w:val="ListBullet"/>
            </w:pPr>
            <w:r w:rsidRPr="001C2DD7">
              <w:t>duty of care</w:t>
            </w:r>
          </w:p>
          <w:p w:rsidR="00000000" w:rsidRPr="001C2DD7" w:rsidP="001C2DD7">
            <w:pPr>
              <w:pStyle w:val="ListBullet"/>
            </w:pPr>
            <w:r w:rsidRPr="001C2DD7">
              <w:t>employer and employee rights and responsibilities</w:t>
            </w:r>
          </w:p>
          <w:p w:rsidR="00000000" w:rsidRPr="001C2DD7" w:rsidP="001C2DD7">
            <w:pPr>
              <w:pStyle w:val="ListBullet"/>
            </w:pPr>
            <w:r w:rsidRPr="001C2DD7">
              <w:t>ethical standards</w:t>
            </w:r>
          </w:p>
          <w:p w:rsidR="00000000" w:rsidRPr="001C2DD7" w:rsidP="001C2DD7">
            <w:pPr>
              <w:pStyle w:val="ListBullet"/>
            </w:pPr>
            <w:r w:rsidRPr="001C2DD7">
              <w:t>legal policies and guidelines</w:t>
            </w:r>
          </w:p>
          <w:p w:rsidR="00000000" w:rsidRPr="001C2DD7" w:rsidP="001C2DD7">
            <w:pPr>
              <w:pStyle w:val="ListBullet"/>
            </w:pPr>
            <w:r w:rsidRPr="001C2DD7">
              <w:t>occupational health and safety policies, procedures and programs</w:t>
            </w:r>
          </w:p>
          <w:p w:rsidR="00000000" w:rsidRPr="001C2DD7" w:rsidP="001C2DD7">
            <w:pPr>
              <w:pStyle w:val="ListBullet"/>
            </w:pPr>
            <w:r w:rsidRPr="001C2DD7">
              <w:t>organisational mission statement, goals, objectives, plans, systems and processes</w:t>
            </w:r>
          </w:p>
          <w:p w:rsidR="00000000" w:rsidRPr="001C2DD7" w:rsidP="001C2DD7">
            <w:pPr>
              <w:pStyle w:val="ListBullet"/>
            </w:pPr>
            <w:r w:rsidRPr="001C2DD7">
              <w:t>policies and procedures relating to the setting of fees and the negotiation and management of contracts</w:t>
            </w:r>
          </w:p>
          <w:p w:rsidR="00000000" w:rsidRPr="001C2DD7" w:rsidP="001C2DD7">
            <w:pPr>
              <w:pStyle w:val="ListBullet"/>
            </w:pPr>
            <w:r w:rsidRPr="001C2DD7">
              <w:t>polic</w:t>
            </w:r>
            <w:r w:rsidRPr="001C2DD7">
              <w:t>ies and procedures relating to own role, responsibility and delegation</w:t>
            </w:r>
          </w:p>
          <w:p w:rsidR="00000000" w:rsidRPr="001C2DD7" w:rsidP="001C2DD7">
            <w:pPr>
              <w:pStyle w:val="ListBullet"/>
            </w:pPr>
            <w:r w:rsidRPr="001C2DD7">
              <w:t>privacy and confidentiality policies and procedures</w:t>
            </w:r>
          </w:p>
          <w:p w:rsidR="00000000" w:rsidRPr="001C2DD7" w:rsidP="001C2DD7">
            <w:pPr>
              <w:pStyle w:val="ListBullet"/>
            </w:pPr>
            <w:r w:rsidRPr="001C2DD7">
              <w:t>quality assurance and/or procedures manuals</w:t>
            </w:r>
          </w:p>
          <w:p w:rsidR="00000000" w:rsidRPr="001C2DD7" w:rsidP="001C2DD7">
            <w:pPr>
              <w:pStyle w:val="ListBullet"/>
            </w:pPr>
            <w:r w:rsidRPr="001C2DD7">
              <w:t>records and information management systems and processes</w:t>
            </w:r>
          </w:p>
          <w:p w:rsidR="00000000" w:rsidP="001C2DD7">
            <w:pPr>
              <w:pStyle w:val="ListBullet"/>
              <w:rPr>
                <w:lang w:val="en-NZ"/>
              </w:rPr>
            </w:pPr>
            <w:r w:rsidRPr="001C2DD7">
              <w:t>style guides and other guides us</w:t>
            </w:r>
            <w:r w:rsidRPr="001C2DD7">
              <w:t>ed to prepare documents.</w:t>
            </w:r>
          </w:p>
        </w:tc>
      </w:tr>
      <w:tr w:rsidTr="00C83752">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C2DD7">
            <w:pPr>
              <w:pStyle w:val="BodyText"/>
              <w:rPr>
                <w:lang w:val="en-NZ"/>
              </w:rPr>
            </w:pPr>
            <w:r w:rsidRPr="001C2DD7">
              <w:rPr>
                <w:rStyle w:val="BoldandItalics"/>
              </w:rPr>
              <w:t>Code of practice</w:t>
            </w:r>
            <w:r w:rsidRPr="001C2DD7">
              <w:t xml:space="preserve"> may relate to:</w:t>
            </w:r>
          </w:p>
        </w:tc>
        <w:tc>
          <w:tcPr>
            <w:tcW w:w="5676" w:type="dxa"/>
            <w:tcBorders>
              <w:top w:val="nil"/>
              <w:left w:val="nil"/>
              <w:bottom w:val="nil"/>
              <w:right w:val="nil"/>
            </w:tcBorders>
            <w:tcMar>
              <w:top w:w="0" w:type="dxa"/>
              <w:left w:w="62" w:type="dxa"/>
              <w:bottom w:w="0" w:type="dxa"/>
              <w:right w:w="62" w:type="dxa"/>
            </w:tcMar>
          </w:tcPr>
          <w:p w:rsidR="00000000" w:rsidRPr="001C2DD7" w:rsidP="001C2DD7">
            <w:pPr>
              <w:pStyle w:val="ListBullet"/>
            </w:pPr>
            <w:r w:rsidRPr="001C2DD7">
              <w:t>maintaining confidentiality</w:t>
            </w:r>
          </w:p>
          <w:p w:rsidR="00000000" w:rsidRPr="001C2DD7" w:rsidP="001C2DD7">
            <w:pPr>
              <w:pStyle w:val="ListBullet"/>
            </w:pPr>
            <w:r w:rsidRPr="001C2DD7">
              <w:t>using organisational property</w:t>
            </w:r>
          </w:p>
          <w:p w:rsidR="00000000" w:rsidRPr="001C2DD7" w:rsidP="001C2DD7">
            <w:pPr>
              <w:pStyle w:val="ListBullet"/>
            </w:pPr>
            <w:r w:rsidRPr="001C2DD7">
              <w:t>duty of care</w:t>
            </w:r>
          </w:p>
          <w:p w:rsidR="00000000" w:rsidRPr="001C2DD7" w:rsidP="001C2DD7">
            <w:pPr>
              <w:pStyle w:val="ListBullet"/>
            </w:pPr>
            <w:r w:rsidRPr="001C2DD7">
              <w:t>individual behaviour</w:t>
            </w:r>
          </w:p>
          <w:p w:rsidR="00000000" w:rsidRPr="001C2DD7" w:rsidP="001C2DD7">
            <w:pPr>
              <w:pStyle w:val="ListBullet"/>
            </w:pPr>
            <w:r w:rsidRPr="001C2DD7">
              <w:t>non-discriminatory practices</w:t>
            </w:r>
          </w:p>
          <w:p w:rsidR="00000000" w:rsidRPr="001C2DD7" w:rsidP="001C2DD7">
            <w:pPr>
              <w:pStyle w:val="ListBullet"/>
            </w:pPr>
            <w:r w:rsidRPr="001C2DD7">
              <w:t>misrepresentation</w:t>
            </w:r>
          </w:p>
          <w:p w:rsidR="00000000" w:rsidRPr="001C2DD7" w:rsidP="001C2DD7">
            <w:pPr>
              <w:pStyle w:val="ListBullet"/>
            </w:pPr>
            <w:r w:rsidRPr="001C2DD7">
              <w:t>clear communication of services offered and fee for services</w:t>
            </w:r>
          </w:p>
          <w:p w:rsidR="00000000" w:rsidP="001C2DD7">
            <w:pPr>
              <w:pStyle w:val="ListBullet"/>
              <w:rPr>
                <w:lang w:val="en-NZ"/>
              </w:rPr>
            </w:pPr>
            <w:r w:rsidRPr="001C2DD7">
              <w:t>clear negotiation of fees.</w:t>
            </w:r>
          </w:p>
        </w:tc>
      </w:tr>
      <w:tr w:rsidTr="00C83752">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C2DD7">
            <w:pPr>
              <w:pStyle w:val="BodyText"/>
              <w:rPr>
                <w:lang w:val="en-NZ"/>
              </w:rPr>
            </w:pPr>
            <w:r w:rsidRPr="001C2DD7">
              <w:rPr>
                <w:rStyle w:val="BoldandItalics"/>
              </w:rPr>
              <w:t>Relevant person</w:t>
            </w:r>
            <w:r w:rsidRPr="001C2DD7">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1C2DD7" w:rsidP="001C2DD7">
            <w:pPr>
              <w:pStyle w:val="ListBullet"/>
            </w:pPr>
            <w:r w:rsidRPr="001C2DD7">
              <w:t>professional indemnity insurer</w:t>
            </w:r>
          </w:p>
          <w:p w:rsidR="00000000" w:rsidRPr="001C2DD7" w:rsidP="001C2DD7">
            <w:pPr>
              <w:pStyle w:val="ListBullet"/>
            </w:pPr>
            <w:r w:rsidRPr="001C2DD7">
              <w:t>business partner</w:t>
            </w:r>
          </w:p>
          <w:p w:rsidR="00000000" w:rsidP="001C2DD7">
            <w:pPr>
              <w:pStyle w:val="ListBullet"/>
              <w:rPr>
                <w:lang w:val="en-NZ"/>
              </w:rPr>
            </w:pPr>
            <w:r w:rsidRPr="001C2DD7">
              <w:t>colleague.</w:t>
            </w:r>
          </w:p>
        </w:tc>
      </w:tr>
      <w:tr w:rsidTr="00C83752">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C2DD7">
            <w:pPr>
              <w:pStyle w:val="BodyText"/>
              <w:rPr>
                <w:lang w:val="en-NZ"/>
              </w:rPr>
            </w:pPr>
            <w:r w:rsidRPr="001C2DD7">
              <w:rPr>
                <w:rStyle w:val="BoldandItalics"/>
              </w:rPr>
              <w:t>Responsibilities</w:t>
            </w:r>
            <w:r w:rsidRPr="001C2DD7">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1C2DD7" w:rsidP="001C2DD7">
            <w:pPr>
              <w:pStyle w:val="ListBullet"/>
            </w:pPr>
            <w:r w:rsidRPr="001C2DD7">
              <w:t>working within own areas of competence</w:t>
            </w:r>
          </w:p>
          <w:p w:rsidR="00000000" w:rsidRPr="001C2DD7" w:rsidP="001C2DD7">
            <w:pPr>
              <w:pStyle w:val="ListBullet"/>
            </w:pPr>
            <w:r w:rsidRPr="001C2DD7">
              <w:t>working w</w:t>
            </w:r>
            <w:r w:rsidRPr="001C2DD7">
              <w:t>ithin the law</w:t>
            </w:r>
          </w:p>
          <w:p w:rsidR="00000000" w:rsidRPr="001C2DD7" w:rsidP="001C2DD7">
            <w:pPr>
              <w:pStyle w:val="ListBullet"/>
            </w:pPr>
            <w:r w:rsidRPr="001C2DD7">
              <w:t>maintaining a duty of care at all times in professional dealings</w:t>
            </w:r>
          </w:p>
          <w:p w:rsidR="00000000" w:rsidRPr="001C2DD7" w:rsidP="001C2DD7">
            <w:pPr>
              <w:pStyle w:val="ListBullet"/>
            </w:pPr>
            <w:r w:rsidRPr="001C2DD7">
              <w:t>providing contracted services to the standard specified in a timely and professional manner</w:t>
            </w:r>
          </w:p>
          <w:p w:rsidR="00000000" w:rsidRPr="001C2DD7" w:rsidP="001C2DD7">
            <w:pPr>
              <w:pStyle w:val="ListBullet"/>
            </w:pPr>
            <w:r w:rsidRPr="001C2DD7">
              <w:t>adhering to and implementing relevant industry codes of practice and ethics</w:t>
            </w:r>
          </w:p>
          <w:p w:rsidR="00000000" w:rsidRPr="001C2DD7" w:rsidP="001C2DD7">
            <w:pPr>
              <w:pStyle w:val="ListBullet"/>
            </w:pPr>
            <w:r w:rsidRPr="001C2DD7">
              <w:t>participa</w:t>
            </w:r>
            <w:r w:rsidRPr="001C2DD7">
              <w:t>ting in continuous professional development programs.</w:t>
            </w:r>
          </w:p>
        </w:tc>
      </w:tr>
    </w:tbl>
    <w:p w:rsidR="00C83752" w:rsidP="001C2DD7">
      <w:pPr>
        <w:pStyle w:val="BodyText"/>
      </w:pPr>
    </w:p>
    <w:p w:rsidR="00C83752" w:rsidP="001C2DD7">
      <w:pPr>
        <w:pStyle w:val="BodyText"/>
      </w:pPr>
    </w:p>
    <w:p w:rsidR="00000000" w:rsidRPr="001C2DD7" w:rsidP="001C2DD7">
      <w:pPr>
        <w:pStyle w:val="Heading1"/>
      </w:pPr>
      <w:bookmarkStart w:id="12" w:name="O_200481"/>
      <w:bookmarkEnd w:id="12"/>
      <w:r w:rsidRPr="001C2DD7">
        <w:t>Unit Sector(s)</w:t>
      </w:r>
    </w:p>
    <w:p w:rsidR="00000000" w:rsidRPr="001C2DD7" w:rsidP="001C2DD7">
      <w:pPr>
        <w:pStyle w:val="BodyText"/>
      </w:pPr>
      <w:r w:rsidRPr="001C2DD7">
        <w:rPr>
          <w:rStyle w:val="SpecialBold"/>
        </w:rPr>
        <w:t>Unit sector</w:t>
      </w:r>
    </w:p>
    <w:p w:rsidR="00C83752" w:rsidP="001C2DD7">
      <w:pPr>
        <w:pStyle w:val="BodyText"/>
      </w:pPr>
      <w:r w:rsidRPr="001C2DD7">
        <w:t>Access consulting</w:t>
      </w:r>
    </w:p>
    <w:p w:rsidR="00C83752" w:rsidP="001C2DD7">
      <w:pPr>
        <w:pStyle w:val="BodyText"/>
      </w:pPr>
    </w:p>
    <w:p w:rsidR="00000000" w:rsidRPr="001C2DD7" w:rsidP="001C2DD7"/>
    <w:sectPr w:rsidSect="001C2D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3752" w:rsidP="00C8375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52" w:rsidP="001C2DD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83752" w:rsidP="001C2D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83752" w:rsidP="001C2D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D7" w:rsidRPr="00C83752" w:rsidP="00C837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52" w:rsidRPr="002D2AF8" w:rsidP="001C2DD7">
    <w:pPr>
      <w:pStyle w:val="Header"/>
      <w:framePr w:wrap="around"/>
    </w:pPr>
    <w:r>
      <w:fldChar w:fldCharType="begin"/>
    </w:r>
    <w:r>
      <w:instrText xml:space="preserve"> TITLE   \* MERGEFORMAT </w:instrText>
    </w:r>
    <w:r>
      <w:fldChar w:fldCharType="separate"/>
    </w:r>
    <w:r>
      <w:t>CPPACC4002A Apply building control legislation to assess small-scale buildings for access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83752" w:rsidP="001C2D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C6ED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B0C5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A42A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D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2DD7"/>
    <w:pPr>
      <w:spacing w:before="360" w:after="60"/>
      <w:outlineLvl w:val="0"/>
    </w:pPr>
    <w:rPr>
      <w:sz w:val="32"/>
    </w:rPr>
  </w:style>
  <w:style w:type="paragraph" w:styleId="Heading2">
    <w:name w:val="heading 2"/>
    <w:basedOn w:val="HeadingBase"/>
    <w:next w:val="BodyText"/>
    <w:link w:val="Heading2Char"/>
    <w:qFormat/>
    <w:rsid w:val="001C2DD7"/>
    <w:pPr>
      <w:keepLines/>
      <w:spacing w:before="240" w:after="120"/>
      <w:outlineLvl w:val="1"/>
    </w:pPr>
    <w:rPr>
      <w:sz w:val="28"/>
      <w:szCs w:val="40"/>
    </w:rPr>
  </w:style>
  <w:style w:type="paragraph" w:styleId="Heading3">
    <w:name w:val="heading 3"/>
    <w:basedOn w:val="HeadingBase"/>
    <w:next w:val="BodyText"/>
    <w:link w:val="Heading3Char"/>
    <w:qFormat/>
    <w:rsid w:val="001C2DD7"/>
    <w:pPr>
      <w:spacing w:before="180" w:after="120"/>
      <w:outlineLvl w:val="2"/>
    </w:pPr>
    <w:rPr>
      <w:spacing w:val="-10"/>
      <w:kern w:val="32"/>
    </w:rPr>
  </w:style>
  <w:style w:type="paragraph" w:styleId="Heading4">
    <w:name w:val="heading 4"/>
    <w:basedOn w:val="HeadingBase"/>
    <w:next w:val="BodyText"/>
    <w:link w:val="Heading4Char"/>
    <w:qFormat/>
    <w:rsid w:val="001C2DD7"/>
    <w:pPr>
      <w:spacing w:before="160" w:after="120"/>
      <w:outlineLvl w:val="3"/>
    </w:pPr>
    <w:rPr>
      <w:sz w:val="22"/>
    </w:rPr>
  </w:style>
  <w:style w:type="paragraph" w:styleId="Heading5">
    <w:name w:val="heading 5"/>
    <w:basedOn w:val="HeadingBase"/>
    <w:next w:val="Normal"/>
    <w:link w:val="Heading5Char"/>
    <w:qFormat/>
    <w:rsid w:val="001C2DD7"/>
    <w:pPr>
      <w:spacing w:before="80"/>
      <w:outlineLvl w:val="4"/>
    </w:pPr>
    <w:rPr>
      <w:color w:val="918585"/>
      <w:sz w:val="20"/>
    </w:rPr>
  </w:style>
  <w:style w:type="paragraph" w:styleId="Heading6">
    <w:name w:val="heading 6"/>
    <w:basedOn w:val="HeadingBase"/>
    <w:next w:val="Normal"/>
    <w:link w:val="Heading6Char"/>
    <w:qFormat/>
    <w:rsid w:val="001C2DD7"/>
    <w:pPr>
      <w:spacing w:before="60"/>
      <w:outlineLvl w:val="5"/>
    </w:pPr>
    <w:rPr>
      <w:color w:val="918585"/>
      <w:sz w:val="20"/>
    </w:rPr>
  </w:style>
  <w:style w:type="paragraph" w:styleId="Heading7">
    <w:name w:val="heading 7"/>
    <w:basedOn w:val="Normal"/>
    <w:next w:val="Normal"/>
    <w:link w:val="Heading7Char"/>
    <w:qFormat/>
    <w:rsid w:val="001C2DD7"/>
    <w:pPr>
      <w:ind w:left="720"/>
      <w:outlineLvl w:val="6"/>
    </w:pPr>
    <w:rPr>
      <w:i/>
    </w:rPr>
  </w:style>
  <w:style w:type="paragraph" w:styleId="Heading8">
    <w:name w:val="heading 8"/>
    <w:basedOn w:val="Normal"/>
    <w:next w:val="Normal"/>
    <w:link w:val="Heading8Char"/>
    <w:qFormat/>
    <w:rsid w:val="001C2DD7"/>
    <w:pPr>
      <w:ind w:left="720"/>
      <w:outlineLvl w:val="7"/>
    </w:pPr>
    <w:rPr>
      <w:i/>
    </w:rPr>
  </w:style>
  <w:style w:type="paragraph" w:styleId="Heading9">
    <w:name w:val="heading 9"/>
    <w:basedOn w:val="Normal"/>
    <w:next w:val="Normal"/>
    <w:link w:val="Heading9Char"/>
    <w:qFormat/>
    <w:rsid w:val="001C2DD7"/>
    <w:pPr>
      <w:ind w:left="720"/>
      <w:outlineLvl w:val="8"/>
    </w:pPr>
    <w:rPr>
      <w:i/>
    </w:rPr>
  </w:style>
  <w:style w:type="character" w:default="1" w:styleId="DefaultParagraphFont">
    <w:name w:val="Default Paragraph Font"/>
    <w:uiPriority w:val="1"/>
    <w:unhideWhenUsed/>
    <w:rsid w:val="001C2D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DD7"/>
  </w:style>
  <w:style w:type="character" w:customStyle="1" w:styleId="Heading1Char">
    <w:name w:val="Heading 1 Char"/>
    <w:basedOn w:val="DefaultParagraphFont"/>
    <w:link w:val="Heading1"/>
    <w:rsid w:val="001C2DD7"/>
    <w:rPr>
      <w:rFonts w:ascii="Times New Roman" w:eastAsia="Times New Roman" w:hAnsi="Times New Roman" w:cs="Times New Roman"/>
      <w:b/>
      <w:sz w:val="32"/>
      <w:szCs w:val="20"/>
      <w:lang w:eastAsia="en-US"/>
    </w:rPr>
  </w:style>
  <w:style w:type="paragraph" w:styleId="BodyText">
    <w:name w:val="Body Text"/>
    <w:basedOn w:val="Normal"/>
    <w:link w:val="BodyTextChar"/>
    <w:rsid w:val="001C2D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2DD7"/>
    <w:rPr>
      <w:rFonts w:ascii="Times New Roman" w:eastAsia="Times New Roman" w:hAnsi="Times New Roman" w:cs="Times New Roman"/>
      <w:sz w:val="24"/>
      <w:lang w:eastAsia="en-US"/>
    </w:rPr>
  </w:style>
  <w:style w:type="paragraph" w:styleId="Footer">
    <w:name w:val="footer"/>
    <w:basedOn w:val="Normal"/>
    <w:link w:val="FooterChar"/>
    <w:rsid w:val="001C2D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DD7"/>
    <w:rPr>
      <w:rFonts w:ascii="Times New Roman" w:eastAsia="Times New Roman" w:hAnsi="Times New Roman" w:cs="Times New Roman"/>
      <w:sz w:val="16"/>
      <w:lang w:eastAsia="en-US"/>
    </w:rPr>
  </w:style>
  <w:style w:type="paragraph" w:styleId="List">
    <w:name w:val="List"/>
    <w:basedOn w:val="BodyText"/>
    <w:next w:val="BodyText"/>
    <w:rsid w:val="001C2DD7"/>
    <w:pPr>
      <w:tabs>
        <w:tab w:val="left" w:pos="340"/>
      </w:tabs>
      <w:spacing w:before="60" w:after="60"/>
      <w:ind w:left="340" w:hanging="340"/>
    </w:pPr>
  </w:style>
  <w:style w:type="paragraph" w:styleId="ListBullet">
    <w:name w:val="List Bullet"/>
    <w:basedOn w:val="List"/>
    <w:rsid w:val="001C2DD7"/>
    <w:pPr>
      <w:numPr>
        <w:numId w:val="13"/>
      </w:numPr>
      <w:tabs>
        <w:tab w:val="clear" w:pos="340"/>
      </w:tabs>
      <w:spacing w:before="40" w:after="40"/>
    </w:pPr>
  </w:style>
  <w:style w:type="character" w:customStyle="1" w:styleId="SpecialBold">
    <w:name w:val="Special Bold"/>
    <w:basedOn w:val="DefaultParagraphFont"/>
    <w:rsid w:val="001C2DD7"/>
    <w:rPr>
      <w:b/>
      <w:spacing w:val="0"/>
    </w:rPr>
  </w:style>
  <w:style w:type="paragraph" w:styleId="ListBullet2">
    <w:name w:val="List Bullet 2"/>
    <w:basedOn w:val="List2"/>
    <w:rsid w:val="001C2DD7"/>
    <w:pPr>
      <w:numPr>
        <w:numId w:val="14"/>
      </w:numPr>
      <w:tabs>
        <w:tab w:val="clear" w:pos="680"/>
      </w:tabs>
    </w:pPr>
  </w:style>
  <w:style w:type="paragraph" w:customStyle="1" w:styleId="SuperHeading">
    <w:name w:val="SuperHeading"/>
    <w:basedOn w:val="Normal"/>
    <w:rsid w:val="001C2DD7"/>
    <w:pPr>
      <w:spacing w:before="240" w:after="120"/>
      <w:outlineLvl w:val="0"/>
    </w:pPr>
    <w:rPr>
      <w:rFonts w:ascii="Times New Roman" w:hAnsi="Times New Roman"/>
      <w:b/>
      <w:sz w:val="28"/>
    </w:rPr>
  </w:style>
  <w:style w:type="paragraph" w:customStyle="1" w:styleId="AllowPageBreak">
    <w:name w:val="AllowPageBreak"/>
    <w:rsid w:val="001C2D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C2DD7"/>
    <w:rPr>
      <w:b/>
      <w:i/>
      <w:u w:val="none"/>
    </w:rPr>
  </w:style>
  <w:style w:type="character" w:customStyle="1" w:styleId="Heading2Char">
    <w:name w:val="Heading 2 Char"/>
    <w:basedOn w:val="DefaultParagraphFont"/>
    <w:link w:val="Heading2"/>
    <w:rsid w:val="001C2D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D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D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D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D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D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2D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2DD7"/>
    <w:rPr>
      <w:rFonts w:ascii="Courier New" w:eastAsia="Times New Roman" w:hAnsi="Courier New" w:cs="Times New Roman"/>
      <w:i/>
      <w:szCs w:val="20"/>
      <w:lang w:eastAsia="en-US"/>
    </w:rPr>
  </w:style>
  <w:style w:type="paragraph" w:customStyle="1" w:styleId="HeadingBase">
    <w:name w:val="Heading Base"/>
    <w:rsid w:val="001C2D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DD7"/>
    <w:pPr>
      <w:tabs>
        <w:tab w:val="right" w:leader="dot" w:pos="9072"/>
      </w:tabs>
      <w:ind w:left="567"/>
    </w:pPr>
    <w:rPr>
      <w:szCs w:val="22"/>
    </w:rPr>
  </w:style>
  <w:style w:type="paragraph" w:customStyle="1" w:styleId="TOCBase">
    <w:name w:val="TOC Base"/>
    <w:rsid w:val="001C2D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DD7"/>
    <w:pPr>
      <w:tabs>
        <w:tab w:val="right" w:leader="dot" w:pos="9072"/>
      </w:tabs>
      <w:spacing w:before="40" w:after="40"/>
      <w:ind w:left="284"/>
    </w:pPr>
    <w:rPr>
      <w:rFonts w:ascii="Times New Roman" w:hAnsi="Times New Roman"/>
    </w:rPr>
  </w:style>
  <w:style w:type="paragraph" w:styleId="TOC1">
    <w:name w:val="toc 1"/>
    <w:basedOn w:val="TOCBase"/>
    <w:next w:val="Normal"/>
    <w:rsid w:val="001C2D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2DD7"/>
    <w:pPr>
      <w:spacing w:before="5040"/>
      <w:jc w:val="center"/>
    </w:pPr>
    <w:rPr>
      <w:sz w:val="48"/>
      <w:szCs w:val="72"/>
      <w:lang w:val="en-US"/>
    </w:rPr>
  </w:style>
  <w:style w:type="character" w:customStyle="1" w:styleId="TitleChar">
    <w:name w:val="Title Char"/>
    <w:basedOn w:val="DefaultParagraphFont"/>
    <w:link w:val="Title"/>
    <w:rsid w:val="001C2D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DD7"/>
    <w:pPr>
      <w:tabs>
        <w:tab w:val="left" w:pos="3600"/>
        <w:tab w:val="left" w:pos="3958"/>
      </w:tabs>
    </w:pPr>
  </w:style>
  <w:style w:type="paragraph" w:customStyle="1" w:styleId="Note">
    <w:name w:val="Note"/>
    <w:basedOn w:val="BodyText"/>
    <w:rsid w:val="001C2D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DD7"/>
    <w:pPr>
      <w:framePr w:wrap="auto" w:hAnchor="text" w:y="6049"/>
    </w:pPr>
    <w:rPr>
      <w:color w:val="000000"/>
      <w:sz w:val="40"/>
    </w:rPr>
  </w:style>
  <w:style w:type="paragraph" w:customStyle="1" w:styleId="TOCTitle">
    <w:name w:val="TOCTitle"/>
    <w:basedOn w:val="Heading1"/>
    <w:rsid w:val="001C2DD7"/>
    <w:pPr>
      <w:spacing w:after="240"/>
      <w:jc w:val="center"/>
      <w:outlineLvl w:val="9"/>
    </w:pPr>
    <w:rPr>
      <w:caps/>
    </w:rPr>
  </w:style>
  <w:style w:type="paragraph" w:customStyle="1" w:styleId="Version">
    <w:name w:val="Version"/>
    <w:rsid w:val="001C2D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2DD7"/>
    <w:pPr>
      <w:keepNext w:val="0"/>
      <w:tabs>
        <w:tab w:val="right" w:pos="4176"/>
      </w:tabs>
      <w:ind w:left="198" w:hanging="198"/>
    </w:pPr>
    <w:rPr>
      <w:rFonts w:ascii="Garamond" w:hAnsi="Garamond"/>
    </w:rPr>
  </w:style>
  <w:style w:type="paragraph" w:styleId="IndexHeading">
    <w:name w:val="index heading"/>
    <w:basedOn w:val="Normal"/>
    <w:next w:val="Index1"/>
    <w:semiHidden/>
    <w:rsid w:val="001C2DD7"/>
    <w:pPr>
      <w:spacing w:before="120" w:after="120"/>
    </w:pPr>
    <w:rPr>
      <w:rFonts w:ascii="Arial" w:hAnsi="Arial"/>
      <w:b/>
      <w:color w:val="918585"/>
      <w:sz w:val="24"/>
    </w:rPr>
  </w:style>
  <w:style w:type="paragraph" w:styleId="Header">
    <w:name w:val="header"/>
    <w:basedOn w:val="Normal"/>
    <w:link w:val="HeaderChar"/>
    <w:rsid w:val="001C2D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DD7"/>
    <w:rPr>
      <w:rFonts w:ascii="Times New Roman" w:eastAsia="Times New Roman" w:hAnsi="Times New Roman" w:cs="Times New Roman"/>
      <w:sz w:val="16"/>
      <w:szCs w:val="20"/>
      <w:lang w:val="en-GB" w:eastAsia="en-US"/>
    </w:rPr>
  </w:style>
  <w:style w:type="paragraph" w:customStyle="1" w:styleId="Chapter">
    <w:name w:val="Chapter"/>
    <w:basedOn w:val="Normal"/>
    <w:rsid w:val="001C2DD7"/>
    <w:pPr>
      <w:spacing w:before="240"/>
    </w:pPr>
    <w:rPr>
      <w:rFonts w:ascii="Times New Roman" w:hAnsi="Times New Roman"/>
      <w:smallCaps/>
      <w:spacing w:val="80"/>
      <w:sz w:val="28"/>
    </w:rPr>
  </w:style>
  <w:style w:type="paragraph" w:customStyle="1" w:styleId="InChapter">
    <w:name w:val="InChapter"/>
    <w:basedOn w:val="Heading3"/>
    <w:rsid w:val="001C2DD7"/>
    <w:pPr>
      <w:spacing w:after="240"/>
      <w:outlineLvl w:val="9"/>
    </w:pPr>
    <w:rPr>
      <w:noProof/>
    </w:rPr>
  </w:style>
  <w:style w:type="paragraph" w:styleId="Index2">
    <w:name w:val="index 2"/>
    <w:basedOn w:val="Normal"/>
    <w:next w:val="Normal"/>
    <w:semiHidden/>
    <w:rsid w:val="001C2DD7"/>
    <w:pPr>
      <w:tabs>
        <w:tab w:val="right" w:pos="4176"/>
      </w:tabs>
      <w:ind w:left="568" w:hanging="284"/>
    </w:pPr>
    <w:rPr>
      <w:rFonts w:ascii="Garamond" w:hAnsi="Garamond"/>
    </w:rPr>
  </w:style>
  <w:style w:type="paragraph" w:customStyle="1" w:styleId="Byline">
    <w:name w:val="Byline"/>
    <w:rsid w:val="001C2D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DD7"/>
    <w:pPr>
      <w:tabs>
        <w:tab w:val="clear" w:pos="3600"/>
        <w:tab w:val="clear" w:pos="3958"/>
      </w:tabs>
      <w:jc w:val="right"/>
    </w:pPr>
  </w:style>
  <w:style w:type="character" w:styleId="Emphasis">
    <w:name w:val="Emphasis"/>
    <w:basedOn w:val="DefaultParagraphFont"/>
    <w:qFormat/>
    <w:rsid w:val="001C2DD7"/>
    <w:rPr>
      <w:i/>
    </w:rPr>
  </w:style>
  <w:style w:type="paragraph" w:styleId="Caption">
    <w:name w:val="caption"/>
    <w:basedOn w:val="BodyText"/>
    <w:next w:val="Normal"/>
    <w:qFormat/>
    <w:rsid w:val="001C2DD7"/>
    <w:pPr>
      <w:framePr w:w="2268" w:hSpace="181" w:vSpace="181" w:wrap="around" w:vAnchor="text" w:hAnchor="page" w:x="1135" w:y="285" w:anchorLock="1"/>
    </w:pPr>
    <w:rPr>
      <w:i/>
    </w:rPr>
  </w:style>
  <w:style w:type="paragraph" w:customStyle="1" w:styleId="MiniTOCTitle">
    <w:name w:val="MiniTOCTitle"/>
    <w:basedOn w:val="Heading4"/>
    <w:rsid w:val="001C2DD7"/>
    <w:pPr>
      <w:spacing w:before="240"/>
      <w:outlineLvl w:val="9"/>
    </w:pPr>
    <w:rPr>
      <w:noProof/>
      <w:sz w:val="24"/>
    </w:rPr>
  </w:style>
  <w:style w:type="paragraph" w:customStyle="1" w:styleId="MiniTOCItem">
    <w:name w:val="MiniTOCItem"/>
    <w:basedOn w:val="ListBullet"/>
    <w:rsid w:val="001C2DD7"/>
    <w:pPr>
      <w:numPr>
        <w:numId w:val="0"/>
      </w:numPr>
      <w:tabs>
        <w:tab w:val="right" w:leader="dot" w:pos="6521"/>
      </w:tabs>
      <w:spacing w:before="0" w:after="0"/>
    </w:pPr>
  </w:style>
  <w:style w:type="paragraph" w:customStyle="1" w:styleId="TOFTitle">
    <w:name w:val="TOFTitle"/>
    <w:basedOn w:val="TOCTitle"/>
    <w:rsid w:val="001C2DD7"/>
  </w:style>
  <w:style w:type="paragraph" w:styleId="TableofFigures">
    <w:name w:val="table of figures"/>
    <w:basedOn w:val="Normal"/>
    <w:next w:val="Normal"/>
    <w:semiHidden/>
    <w:rsid w:val="001C2DD7"/>
    <w:pPr>
      <w:tabs>
        <w:tab w:val="right" w:leader="dot" w:pos="9072"/>
      </w:tabs>
      <w:ind w:left="970" w:hanging="403"/>
    </w:pPr>
    <w:rPr>
      <w:rFonts w:ascii="Times New Roman" w:hAnsi="Times New Roman"/>
      <w:b/>
    </w:rPr>
  </w:style>
  <w:style w:type="paragraph" w:styleId="ListNumber">
    <w:name w:val="List Number"/>
    <w:basedOn w:val="List"/>
    <w:rsid w:val="001C2DD7"/>
    <w:pPr>
      <w:numPr>
        <w:numId w:val="11"/>
      </w:numPr>
    </w:pPr>
  </w:style>
  <w:style w:type="character" w:customStyle="1" w:styleId="WingdingSymbols">
    <w:name w:val="Wingding Symbols"/>
    <w:rsid w:val="001C2DD7"/>
    <w:rPr>
      <w:rFonts w:ascii="Wingdings" w:hAnsi="Wingdings"/>
    </w:rPr>
  </w:style>
  <w:style w:type="paragraph" w:customStyle="1" w:styleId="TableHeading">
    <w:name w:val="Table Heading"/>
    <w:basedOn w:val="HeadingBase"/>
    <w:rsid w:val="001C2DD7"/>
    <w:pPr>
      <w:keepLines/>
      <w:pBdr>
        <w:bottom w:val="single" w:sz="6" w:space="1" w:color="918585"/>
      </w:pBdr>
      <w:spacing w:before="240"/>
    </w:pPr>
  </w:style>
  <w:style w:type="character" w:customStyle="1" w:styleId="HotSpot">
    <w:name w:val="HotSpot"/>
    <w:rsid w:val="001C2DD7"/>
    <w:rPr>
      <w:color w:val="0033CC"/>
      <w:u w:val="none"/>
    </w:rPr>
  </w:style>
  <w:style w:type="paragraph" w:customStyle="1" w:styleId="BodyTextRight">
    <w:name w:val="Body Text Right"/>
    <w:basedOn w:val="BodyText"/>
    <w:rsid w:val="001C2DD7"/>
    <w:pPr>
      <w:spacing w:before="0" w:after="0"/>
      <w:jc w:val="right"/>
    </w:pPr>
  </w:style>
  <w:style w:type="paragraph" w:styleId="Index3">
    <w:name w:val="index 3"/>
    <w:basedOn w:val="ListNumber2"/>
    <w:next w:val="Normal"/>
    <w:semiHidden/>
    <w:rsid w:val="001C2DD7"/>
    <w:pPr>
      <w:numPr>
        <w:numId w:val="0"/>
      </w:numPr>
      <w:tabs>
        <w:tab w:val="right" w:leader="dot" w:pos="4176"/>
      </w:tabs>
    </w:pPr>
  </w:style>
  <w:style w:type="paragraph" w:styleId="ListNumber2">
    <w:name w:val="List Number 2"/>
    <w:basedOn w:val="List2"/>
    <w:rsid w:val="001C2DD7"/>
    <w:pPr>
      <w:numPr>
        <w:numId w:val="10"/>
      </w:numPr>
      <w:tabs>
        <w:tab w:val="clear" w:pos="1060"/>
      </w:tabs>
    </w:pPr>
  </w:style>
  <w:style w:type="paragraph" w:customStyle="1" w:styleId="MarginNote">
    <w:name w:val="Margin Note"/>
    <w:basedOn w:val="BodyText"/>
    <w:rsid w:val="001C2D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D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D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2DD7"/>
    <w:rPr>
      <w:sz w:val="32"/>
    </w:rPr>
  </w:style>
  <w:style w:type="paragraph" w:customStyle="1" w:styleId="HeadingProcedure">
    <w:name w:val="Heading Procedure"/>
    <w:basedOn w:val="HeadingBase"/>
    <w:next w:val="Normal"/>
    <w:rsid w:val="001C2DD7"/>
    <w:pPr>
      <w:tabs>
        <w:tab w:val="left" w:pos="0"/>
      </w:tabs>
      <w:spacing w:before="120" w:after="60"/>
    </w:pPr>
    <w:rPr>
      <w:i/>
      <w:color w:val="918585"/>
      <w:sz w:val="22"/>
    </w:rPr>
  </w:style>
  <w:style w:type="paragraph" w:customStyle="1" w:styleId="TableBodyText">
    <w:name w:val="Table Body Text"/>
    <w:basedOn w:val="BodyText"/>
    <w:rsid w:val="001C2DD7"/>
    <w:pPr>
      <w:spacing w:before="60" w:after="60"/>
    </w:pPr>
  </w:style>
  <w:style w:type="paragraph" w:styleId="ListContinue">
    <w:name w:val="List Continue"/>
    <w:basedOn w:val="List"/>
    <w:rsid w:val="001C2DD7"/>
    <w:pPr>
      <w:ind w:firstLine="0"/>
    </w:pPr>
  </w:style>
  <w:style w:type="paragraph" w:customStyle="1" w:styleId="ListNote">
    <w:name w:val="List Note"/>
    <w:basedOn w:val="List"/>
    <w:rsid w:val="001C2DD7"/>
    <w:pPr>
      <w:pBdr>
        <w:top w:val="single" w:sz="6" w:space="2" w:color="918585"/>
        <w:bottom w:val="single" w:sz="6" w:space="2" w:color="918585"/>
      </w:pBdr>
      <w:tabs>
        <w:tab w:val="left" w:pos="1021"/>
      </w:tabs>
      <w:ind w:firstLine="0"/>
    </w:pPr>
  </w:style>
  <w:style w:type="paragraph" w:customStyle="1" w:styleId="Warning">
    <w:name w:val="Warning"/>
    <w:basedOn w:val="BodyText"/>
    <w:rsid w:val="001C2DD7"/>
    <w:pPr>
      <w:shd w:val="clear" w:color="auto" w:fill="D9D9D9"/>
      <w:tabs>
        <w:tab w:val="left" w:pos="992"/>
      </w:tabs>
      <w:ind w:left="119" w:right="119"/>
    </w:pPr>
    <w:rPr>
      <w:sz w:val="20"/>
    </w:rPr>
  </w:style>
  <w:style w:type="paragraph" w:customStyle="1" w:styleId="MarginIcons">
    <w:name w:val="Margin Icons"/>
    <w:basedOn w:val="BodyText"/>
    <w:rsid w:val="001C2D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DD7"/>
    <w:rPr>
      <w:rFonts w:ascii="Courier New" w:hAnsi="Courier New"/>
    </w:rPr>
  </w:style>
  <w:style w:type="paragraph" w:customStyle="1" w:styleId="NoteBullet">
    <w:name w:val="Note Bullet"/>
    <w:basedOn w:val="Note"/>
    <w:rsid w:val="001C2DD7"/>
    <w:pPr>
      <w:tabs>
        <w:tab w:val="clear" w:pos="680"/>
      </w:tabs>
      <w:spacing w:before="60" w:after="60"/>
    </w:pPr>
  </w:style>
  <w:style w:type="paragraph" w:customStyle="1" w:styleId="SubHeading2">
    <w:name w:val="SubHeading2"/>
    <w:basedOn w:val="HeadingBase"/>
    <w:rsid w:val="001C2DD7"/>
    <w:pPr>
      <w:spacing w:before="240" w:after="60"/>
    </w:pPr>
    <w:rPr>
      <w:sz w:val="20"/>
    </w:rPr>
  </w:style>
  <w:style w:type="paragraph" w:customStyle="1" w:styleId="SubHeading1">
    <w:name w:val="SubHeading1"/>
    <w:basedOn w:val="HeadingBase"/>
    <w:rsid w:val="001C2DD7"/>
    <w:pPr>
      <w:spacing w:before="240" w:after="60"/>
    </w:pPr>
    <w:rPr>
      <w:color w:val="918585"/>
      <w:sz w:val="22"/>
    </w:rPr>
  </w:style>
  <w:style w:type="paragraph" w:customStyle="1" w:styleId="SideHeading">
    <w:name w:val="Side Heading"/>
    <w:basedOn w:val="HeadingBase"/>
    <w:rsid w:val="001C2D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DD7"/>
    <w:pPr>
      <w:numPr>
        <w:numId w:val="12"/>
      </w:numPr>
    </w:pPr>
  </w:style>
  <w:style w:type="paragraph" w:styleId="PlainText">
    <w:name w:val="Plain Text"/>
    <w:basedOn w:val="Normal"/>
    <w:link w:val="PlainTextChar"/>
    <w:rsid w:val="001C2DD7"/>
    <w:rPr>
      <w:sz w:val="20"/>
    </w:rPr>
  </w:style>
  <w:style w:type="character" w:customStyle="1" w:styleId="PlainTextChar">
    <w:name w:val="Plain Text Char"/>
    <w:basedOn w:val="DefaultParagraphFont"/>
    <w:link w:val="PlainText"/>
    <w:rsid w:val="001C2DD7"/>
    <w:rPr>
      <w:rFonts w:ascii="Courier New" w:eastAsia="Times New Roman" w:hAnsi="Courier New" w:cs="Times New Roman"/>
      <w:sz w:val="20"/>
      <w:szCs w:val="20"/>
      <w:lang w:eastAsia="en-US"/>
    </w:rPr>
  </w:style>
  <w:style w:type="character" w:customStyle="1" w:styleId="MenuOption">
    <w:name w:val="Menu Option"/>
    <w:basedOn w:val="DefaultParagraphFont"/>
    <w:rsid w:val="001C2DD7"/>
    <w:rPr>
      <w:b/>
      <w:smallCaps/>
    </w:rPr>
  </w:style>
  <w:style w:type="paragraph" w:customStyle="1" w:styleId="TableListNumber">
    <w:name w:val="Table List Number"/>
    <w:basedOn w:val="ListNumber"/>
    <w:rsid w:val="001C2DD7"/>
    <w:pPr>
      <w:numPr>
        <w:numId w:val="0"/>
      </w:numPr>
    </w:pPr>
  </w:style>
  <w:style w:type="paragraph" w:styleId="TOC4">
    <w:name w:val="toc 4"/>
    <w:basedOn w:val="TOCBase"/>
    <w:next w:val="Normal"/>
    <w:semiHidden/>
    <w:rsid w:val="001C2DD7"/>
    <w:pPr>
      <w:tabs>
        <w:tab w:val="right" w:leader="dot" w:pos="9071"/>
      </w:tabs>
      <w:ind w:left="1701"/>
    </w:pPr>
  </w:style>
  <w:style w:type="paragraph" w:customStyle="1" w:styleId="ListAlpha">
    <w:name w:val="List Alpha"/>
    <w:basedOn w:val="List"/>
    <w:rsid w:val="001C2DD7"/>
    <w:pPr>
      <w:numPr>
        <w:numId w:val="9"/>
      </w:numPr>
    </w:pPr>
  </w:style>
  <w:style w:type="paragraph" w:customStyle="1" w:styleId="ListAlpha2">
    <w:name w:val="List Alpha 2"/>
    <w:basedOn w:val="List2"/>
    <w:rsid w:val="001C2DD7"/>
    <w:pPr>
      <w:numPr>
        <w:numId w:val="8"/>
      </w:numPr>
    </w:pPr>
  </w:style>
  <w:style w:type="paragraph" w:styleId="List2">
    <w:name w:val="List 2"/>
    <w:basedOn w:val="BodyText"/>
    <w:rsid w:val="001C2DD7"/>
    <w:pPr>
      <w:tabs>
        <w:tab w:val="left" w:pos="680"/>
      </w:tabs>
      <w:spacing w:before="60" w:after="60"/>
      <w:ind w:left="680" w:hanging="340"/>
    </w:pPr>
  </w:style>
  <w:style w:type="paragraph" w:styleId="List3">
    <w:name w:val="List 3"/>
    <w:basedOn w:val="BodyText"/>
    <w:rsid w:val="001C2DD7"/>
    <w:pPr>
      <w:tabs>
        <w:tab w:val="left" w:pos="1021"/>
      </w:tabs>
      <w:spacing w:before="60" w:after="60"/>
      <w:ind w:left="1020" w:hanging="340"/>
    </w:pPr>
  </w:style>
  <w:style w:type="paragraph" w:styleId="List4">
    <w:name w:val="List 4"/>
    <w:basedOn w:val="BodyText"/>
    <w:rsid w:val="001C2DD7"/>
    <w:pPr>
      <w:tabs>
        <w:tab w:val="left" w:pos="1361"/>
      </w:tabs>
      <w:spacing w:before="60" w:after="60"/>
      <w:ind w:left="1361" w:hanging="340"/>
    </w:pPr>
  </w:style>
  <w:style w:type="paragraph" w:styleId="List5">
    <w:name w:val="List 5"/>
    <w:basedOn w:val="BodyText"/>
    <w:rsid w:val="001C2DD7"/>
    <w:pPr>
      <w:tabs>
        <w:tab w:val="left" w:pos="1701"/>
      </w:tabs>
      <w:spacing w:before="60" w:after="60"/>
      <w:ind w:left="1701" w:hanging="340"/>
    </w:pPr>
  </w:style>
  <w:style w:type="paragraph" w:styleId="ListBullet3">
    <w:name w:val="List Bullet 3"/>
    <w:basedOn w:val="List3"/>
    <w:rsid w:val="001C2DD7"/>
    <w:pPr>
      <w:numPr>
        <w:numId w:val="15"/>
      </w:numPr>
      <w:tabs>
        <w:tab w:val="clear" w:pos="1021"/>
      </w:tabs>
      <w:ind w:left="1037" w:hanging="357"/>
    </w:pPr>
  </w:style>
  <w:style w:type="paragraph" w:styleId="ListBullet4">
    <w:name w:val="List Bullet 4"/>
    <w:basedOn w:val="List4"/>
    <w:rsid w:val="001C2DD7"/>
    <w:pPr>
      <w:numPr>
        <w:numId w:val="3"/>
      </w:numPr>
    </w:pPr>
  </w:style>
  <w:style w:type="paragraph" w:styleId="ListBullet5">
    <w:name w:val="List Bullet 5"/>
    <w:basedOn w:val="List5"/>
    <w:rsid w:val="001C2DD7"/>
    <w:pPr>
      <w:numPr>
        <w:numId w:val="4"/>
      </w:numPr>
    </w:pPr>
  </w:style>
  <w:style w:type="paragraph" w:styleId="ListContinue2">
    <w:name w:val="List Continue 2"/>
    <w:basedOn w:val="List2"/>
    <w:rsid w:val="001C2DD7"/>
    <w:pPr>
      <w:ind w:firstLine="0"/>
    </w:pPr>
  </w:style>
  <w:style w:type="paragraph" w:styleId="ListContinue3">
    <w:name w:val="List Continue 3"/>
    <w:basedOn w:val="List3"/>
    <w:rsid w:val="001C2DD7"/>
    <w:pPr>
      <w:ind w:left="1021" w:firstLine="0"/>
    </w:pPr>
  </w:style>
  <w:style w:type="paragraph" w:styleId="ListContinue4">
    <w:name w:val="List Continue 4"/>
    <w:basedOn w:val="List4"/>
    <w:rsid w:val="001C2DD7"/>
    <w:pPr>
      <w:ind w:firstLine="0"/>
    </w:pPr>
  </w:style>
  <w:style w:type="paragraph" w:styleId="ListContinue5">
    <w:name w:val="List Continue 5"/>
    <w:basedOn w:val="List5"/>
    <w:rsid w:val="001C2DD7"/>
    <w:pPr>
      <w:ind w:firstLine="0"/>
    </w:pPr>
  </w:style>
  <w:style w:type="paragraph" w:styleId="ListNumber3">
    <w:name w:val="List Number 3"/>
    <w:basedOn w:val="List3"/>
    <w:rsid w:val="001C2DD7"/>
    <w:pPr>
      <w:numPr>
        <w:numId w:val="5"/>
      </w:numPr>
    </w:pPr>
  </w:style>
  <w:style w:type="paragraph" w:styleId="ListNumber4">
    <w:name w:val="List Number 4"/>
    <w:basedOn w:val="List4"/>
    <w:rsid w:val="001C2DD7"/>
    <w:pPr>
      <w:numPr>
        <w:numId w:val="6"/>
      </w:numPr>
    </w:pPr>
  </w:style>
  <w:style w:type="paragraph" w:styleId="ListNumber5">
    <w:name w:val="List Number 5"/>
    <w:basedOn w:val="List5"/>
    <w:rsid w:val="001C2DD7"/>
    <w:pPr>
      <w:numPr>
        <w:numId w:val="7"/>
      </w:numPr>
    </w:pPr>
  </w:style>
  <w:style w:type="paragraph" w:styleId="BlockText">
    <w:name w:val="Block Text"/>
    <w:basedOn w:val="Normal"/>
    <w:rsid w:val="001C2DD7"/>
    <w:pPr>
      <w:spacing w:after="120"/>
      <w:ind w:left="1440" w:right="1440"/>
    </w:pPr>
  </w:style>
  <w:style w:type="character" w:customStyle="1" w:styleId="Subscript">
    <w:name w:val="Subscript"/>
    <w:basedOn w:val="DefaultParagraphFont"/>
    <w:rsid w:val="001C2DD7"/>
    <w:rPr>
      <w:sz w:val="16"/>
      <w:vertAlign w:val="subscript"/>
    </w:rPr>
  </w:style>
  <w:style w:type="character" w:customStyle="1" w:styleId="Superscript">
    <w:name w:val="Superscript"/>
    <w:basedOn w:val="DefaultParagraphFont"/>
    <w:rsid w:val="001C2DD7"/>
    <w:rPr>
      <w:sz w:val="16"/>
      <w:vertAlign w:val="superscript"/>
    </w:rPr>
  </w:style>
  <w:style w:type="character" w:customStyle="1" w:styleId="Symbols">
    <w:name w:val="Symbols"/>
    <w:basedOn w:val="DefaultParagraphFont"/>
    <w:rsid w:val="001C2DD7"/>
    <w:rPr>
      <w:rFonts w:ascii="Symbol" w:hAnsi="Symbol"/>
    </w:rPr>
  </w:style>
  <w:style w:type="character" w:customStyle="1" w:styleId="MenuOptions">
    <w:name w:val="Menu Options"/>
    <w:basedOn w:val="DefaultParagraphFont"/>
    <w:rsid w:val="001C2DD7"/>
    <w:rPr>
      <w:rFonts w:ascii="Arial Narrow" w:hAnsi="Arial Narrow"/>
      <w:smallCaps/>
    </w:rPr>
  </w:style>
  <w:style w:type="character" w:customStyle="1" w:styleId="Buttons">
    <w:name w:val="Buttons"/>
    <w:basedOn w:val="DefaultParagraphFont"/>
    <w:rsid w:val="001C2DD7"/>
    <w:rPr>
      <w:b/>
    </w:rPr>
  </w:style>
  <w:style w:type="character" w:customStyle="1" w:styleId="Underlined">
    <w:name w:val="Underlined"/>
    <w:basedOn w:val="DefaultParagraphFont"/>
    <w:rsid w:val="001C2DD7"/>
    <w:rPr>
      <w:u w:val="single"/>
    </w:rPr>
  </w:style>
  <w:style w:type="paragraph" w:customStyle="1" w:styleId="TableBodyTextRight">
    <w:name w:val="Table Body Text Right"/>
    <w:basedOn w:val="TableBodyText"/>
    <w:rsid w:val="001C2DD7"/>
    <w:pPr>
      <w:widowControl w:val="0"/>
      <w:autoSpaceDE w:val="0"/>
      <w:autoSpaceDN w:val="0"/>
      <w:adjustRightInd w:val="0"/>
      <w:jc w:val="right"/>
    </w:pPr>
    <w:rPr>
      <w:rFonts w:cs="Arial"/>
      <w:szCs w:val="18"/>
    </w:rPr>
  </w:style>
  <w:style w:type="paragraph" w:customStyle="1" w:styleId="CopyrightText">
    <w:name w:val="Copyright Text"/>
    <w:basedOn w:val="BodyText"/>
    <w:rsid w:val="001C2DD7"/>
    <w:rPr>
      <w:sz w:val="18"/>
    </w:rPr>
  </w:style>
  <w:style w:type="paragraph" w:customStyle="1" w:styleId="BodySmallRight">
    <w:name w:val="Body Small Right"/>
    <w:basedOn w:val="BodyTextRight"/>
    <w:rsid w:val="001C2DD7"/>
    <w:rPr>
      <w:sz w:val="18"/>
      <w:szCs w:val="18"/>
    </w:rPr>
  </w:style>
  <w:style w:type="paragraph" w:customStyle="1" w:styleId="MarginEdition">
    <w:name w:val="Margin Edition"/>
    <w:basedOn w:val="MarginNote"/>
    <w:rsid w:val="001C2DD7"/>
    <w:pPr>
      <w:spacing w:before="0" w:after="0"/>
    </w:pPr>
    <w:rPr>
      <w:rFonts w:ascii="Times New Roman" w:hAnsi="Times New Roman"/>
      <w:color w:val="999999"/>
    </w:rPr>
  </w:style>
  <w:style w:type="paragraph" w:customStyle="1" w:styleId="Spacer">
    <w:name w:val="Spacer"/>
    <w:basedOn w:val="Normal"/>
    <w:rsid w:val="001C2DD7"/>
    <w:rPr>
      <w:sz w:val="2"/>
      <w:szCs w:val="2"/>
    </w:rPr>
  </w:style>
  <w:style w:type="character" w:customStyle="1" w:styleId="Small">
    <w:name w:val="Small"/>
    <w:basedOn w:val="DefaultParagraphFont"/>
    <w:rsid w:val="001C2DD7"/>
    <w:rPr>
      <w:sz w:val="16"/>
    </w:rPr>
  </w:style>
  <w:style w:type="paragraph" w:customStyle="1" w:styleId="WideTable">
    <w:name w:val="Wide Table"/>
    <w:basedOn w:val="Normal"/>
    <w:rsid w:val="001C2DD7"/>
    <w:pPr>
      <w:ind w:left="-1418"/>
    </w:pPr>
    <w:rPr>
      <w:sz w:val="2"/>
      <w:szCs w:val="2"/>
    </w:rPr>
  </w:style>
  <w:style w:type="character" w:styleId="PageNumber">
    <w:name w:val="page number"/>
    <w:basedOn w:val="DefaultParagraphFont"/>
    <w:rsid w:val="001C2DD7"/>
  </w:style>
  <w:style w:type="paragraph" w:styleId="Quote">
    <w:name w:val="Quote"/>
    <w:basedOn w:val="Heading1"/>
    <w:link w:val="QuoteChar"/>
    <w:qFormat/>
    <w:rsid w:val="001C2DD7"/>
    <w:rPr>
      <w:b w:val="0"/>
      <w:sz w:val="72"/>
      <w:szCs w:val="72"/>
      <w:lang w:val="en-NZ"/>
    </w:rPr>
  </w:style>
  <w:style w:type="character" w:customStyle="1" w:styleId="QuoteChar">
    <w:name w:val="Quote Char"/>
    <w:basedOn w:val="DefaultParagraphFont"/>
    <w:link w:val="Quote"/>
    <w:rsid w:val="001C2D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DD7"/>
    <w:pPr>
      <w:pageBreakBefore/>
    </w:pPr>
  </w:style>
  <w:style w:type="paragraph" w:customStyle="1" w:styleId="Border">
    <w:name w:val="Border"/>
    <w:basedOn w:val="Normal"/>
    <w:qFormat/>
    <w:rsid w:val="001C2D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DD7"/>
    <w:rPr>
      <w:b/>
      <w:bCs/>
      <w:i/>
      <w:iCs/>
      <w:color w:val="auto"/>
    </w:rPr>
  </w:style>
  <w:style w:type="paragraph" w:styleId="IntenseQuote">
    <w:name w:val="Intense Quote"/>
    <w:basedOn w:val="Normal"/>
    <w:next w:val="Normal"/>
    <w:link w:val="IntenseQuoteChar"/>
    <w:uiPriority w:val="30"/>
    <w:qFormat/>
    <w:rsid w:val="001C2D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D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2DD7"/>
    <w:rPr>
      <w:smallCaps/>
      <w:color w:val="auto"/>
      <w:u w:val="single"/>
    </w:rPr>
  </w:style>
  <w:style w:type="character" w:styleId="IntenseReference">
    <w:name w:val="Intense Reference"/>
    <w:basedOn w:val="DefaultParagraphFont"/>
    <w:uiPriority w:val="32"/>
    <w:qFormat/>
    <w:rsid w:val="001C2DD7"/>
    <w:rPr>
      <w:b/>
      <w:bCs/>
      <w:smallCaps/>
      <w:color w:val="auto"/>
      <w:spacing w:val="5"/>
      <w:u w:val="single"/>
    </w:rPr>
  </w:style>
  <w:style w:type="paragraph" w:customStyle="1" w:styleId="2ColumnHeading">
    <w:name w:val="2Column Heading"/>
    <w:basedOn w:val="BodyText"/>
    <w:qFormat/>
    <w:rsid w:val="001C2DD7"/>
    <w:pPr>
      <w:spacing w:after="60"/>
      <w:ind w:left="-2268"/>
    </w:pPr>
    <w:rPr>
      <w:b/>
    </w:rPr>
  </w:style>
  <w:style w:type="paragraph" w:customStyle="1" w:styleId="Heading1TOC">
    <w:name w:val="Heading1 TOC"/>
    <w:basedOn w:val="Normal"/>
    <w:qFormat/>
    <w:rsid w:val="001C2DD7"/>
    <w:pPr>
      <w:spacing w:before="240" w:after="120"/>
    </w:pPr>
    <w:rPr>
      <w:rFonts w:ascii="Times New Roman" w:hAnsi="Times New Roman"/>
      <w:b/>
      <w:sz w:val="32"/>
    </w:rPr>
  </w:style>
  <w:style w:type="paragraph" w:customStyle="1" w:styleId="Heading2TOC">
    <w:name w:val="Heading2 TOC"/>
    <w:basedOn w:val="Normal"/>
    <w:qFormat/>
    <w:rsid w:val="001C2DD7"/>
    <w:pPr>
      <w:spacing w:before="240" w:after="60"/>
    </w:pPr>
    <w:rPr>
      <w:rFonts w:ascii="Times New Roman" w:hAnsi="Times New Roman"/>
      <w:b/>
      <w:sz w:val="28"/>
    </w:rPr>
  </w:style>
  <w:style w:type="character" w:customStyle="1" w:styleId="Underline">
    <w:name w:val="Underline"/>
    <w:basedOn w:val="DefaultParagraphFont"/>
    <w:qFormat/>
    <w:rsid w:val="001C2DD7"/>
    <w:rPr>
      <w:u w:val="single"/>
    </w:rPr>
  </w:style>
  <w:style w:type="paragraph" w:styleId="BalloonText">
    <w:name w:val="Balloon Text"/>
    <w:basedOn w:val="Normal"/>
    <w:link w:val="BalloonTextChar"/>
    <w:rsid w:val="001C2DD7"/>
    <w:rPr>
      <w:rFonts w:ascii="Tahoma" w:hAnsi="Tahoma" w:cs="Tahoma"/>
      <w:sz w:val="16"/>
      <w:szCs w:val="16"/>
    </w:rPr>
  </w:style>
  <w:style w:type="character" w:customStyle="1" w:styleId="BalloonTextChar">
    <w:name w:val="Balloon Text Char"/>
    <w:basedOn w:val="DefaultParagraphFont"/>
    <w:link w:val="BalloonText"/>
    <w:rsid w:val="001C2D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2D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2D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2DD7"/>
    <w:rPr>
      <w:b/>
      <w:color w:val="660033"/>
      <w:spacing w:val="0"/>
    </w:rPr>
  </w:style>
  <w:style w:type="paragraph" w:customStyle="1" w:styleId="Nameditemlist">
    <w:name w:val="Named item list"/>
    <w:basedOn w:val="BodyText"/>
    <w:qFormat/>
    <w:rsid w:val="001C2D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1714</Words>
  <Characters>11167</Characters>
  <Application>Microsoft Office Word</Application>
  <DocSecurity>0</DocSecurity>
  <Lines>342</Lines>
  <Paragraphs>188</Paragraphs>
  <ScaleCrop>false</ScaleCrop>
  <Company>Author-it Software Corporation Ltd.</Company>
  <LinksUpToDate>false</LinksUpToDate>
  <CharactersWithSpaces>12815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CPPACC4002A Apply building control legislation to assess small-scale buildings for access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2012-10-05T09:24:00Z</dcterms:created>
  <dcterms:modified xsi:type="dcterms:W3CDTF">2012-10-05T09:24:00Z</dcterms:modified>
</cp:coreProperties>
</file>