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E10" w:rsidP="005D5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CPPWMT3011 Conduct waste assessments</w:t>
      </w:r>
      <w:r>
        <w:fldChar w:fldCharType="end"/>
      </w:r>
    </w:p>
    <w:p w:rsidR="005D5E10" w:rsidP="005D5E10">
      <w:pPr>
        <w:pStyle w:val="Version"/>
        <w:sectPr w:rsidSect="0028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2BE" w:rsidP="002872BE">
      <w:pPr>
        <w:pStyle w:val="SuperHeading"/>
      </w:pPr>
      <w:r w:rsidRPr="002872BE">
        <w:t>Assessment Requirements for CPPWMT3011 Conduct waste assessments</w:t>
      </w:r>
    </w:p>
    <w:p w:rsidR="00000000" w:rsidRPr="002872BE" w:rsidP="002872BE">
      <w:pPr>
        <w:pStyle w:val="Heading1"/>
      </w:pPr>
      <w:bookmarkStart w:id="1" w:name="O_880731"/>
      <w:bookmarkEnd w:id="1"/>
      <w:r w:rsidRPr="002872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7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2BE">
            <w:pPr>
              <w:pStyle w:val="BodyText"/>
              <w:rPr>
                <w:lang w:val="en-NZ"/>
              </w:rPr>
            </w:pPr>
            <w:r w:rsidRPr="002872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2BE" w:rsidP="002872BE">
            <w:pPr>
              <w:pStyle w:val="BodyText"/>
            </w:pPr>
            <w:r w:rsidRPr="002872BE">
              <w:t>This version first released with CPP Property Services Training Package Release 10.0.</w:t>
            </w:r>
          </w:p>
          <w:p w:rsidR="00000000" w:rsidRPr="002872BE" w:rsidP="002872BE">
            <w:pPr>
              <w:pStyle w:val="BodyText"/>
            </w:pPr>
            <w:r w:rsidRPr="002872BE">
              <w:t>Supersedes and is equivalent to CPPWMT3059A Plan and conduct waste assessments.</w:t>
            </w:r>
          </w:p>
        </w:tc>
      </w:tr>
    </w:tbl>
    <w:p w:rsidR="00000000" w:rsidRPr="002872BE" w:rsidP="002872BE">
      <w:pPr>
        <w:pStyle w:val="BodyText"/>
      </w:pPr>
    </w:p>
    <w:p w:rsidR="00000000" w:rsidRPr="002872BE" w:rsidP="002872BE">
      <w:pPr>
        <w:pStyle w:val="AllowPageBreak"/>
      </w:pPr>
    </w:p>
    <w:p w:rsidR="00000000" w:rsidRPr="002872BE" w:rsidP="002872BE">
      <w:pPr>
        <w:pStyle w:val="Heading1"/>
      </w:pPr>
      <w:bookmarkStart w:id="2" w:name="O_880734"/>
      <w:bookmarkEnd w:id="2"/>
      <w:r w:rsidRPr="002872BE">
        <w:t>Performance Evidence</w:t>
      </w:r>
    </w:p>
    <w:p w:rsidR="00000000" w:rsidRPr="002872BE" w:rsidP="005D5E10">
      <w:pPr>
        <w:pStyle w:val="BodyText"/>
      </w:pPr>
      <w:r w:rsidRPr="002872BE">
        <w:t>To demonstrate competency, a candidate must meet the performance criteria of this unit by conducting waste assessments on two separate o</w:t>
      </w:r>
      <w:r w:rsidRPr="002872BE">
        <w:t>ccasions.</w:t>
      </w:r>
    </w:p>
    <w:p w:rsidR="00000000" w:rsidRPr="002872BE" w:rsidP="002872BE">
      <w:pPr>
        <w:pStyle w:val="Heading1"/>
      </w:pPr>
      <w:bookmarkStart w:id="3" w:name="O_880733"/>
      <w:bookmarkEnd w:id="3"/>
      <w:r w:rsidRPr="002872BE">
        <w:t>Knowledge Evidence</w:t>
      </w:r>
    </w:p>
    <w:p w:rsidR="00000000" w:rsidRPr="002872BE" w:rsidP="005D5E10">
      <w:pPr>
        <w:pStyle w:val="BodyText"/>
      </w:pPr>
      <w:r w:rsidRPr="002872BE">
        <w:t>To be competent in this unit, a candidate must demonstrate knowledge of:</w:t>
      </w:r>
    </w:p>
    <w:p w:rsidR="00000000" w:rsidRPr="002872BE" w:rsidP="002872BE">
      <w:pPr>
        <w:pStyle w:val="ListBullet"/>
      </w:pPr>
      <w:r w:rsidRPr="002872BE">
        <w:t>legislative and procedural requirements applicable to conducting waste assessments:</w:t>
      </w:r>
    </w:p>
    <w:p w:rsidR="00000000" w:rsidRPr="002872BE" w:rsidP="002872BE">
      <w:pPr>
        <w:pStyle w:val="ListBullet2"/>
      </w:pPr>
      <w:r w:rsidRPr="002872BE">
        <w:t>commonwealth, state and territory legislation and r</w:t>
      </w:r>
      <w:r w:rsidRPr="002872BE">
        <w:t>egulations in the state or territory of operation, including work health and safety (WHS)</w:t>
      </w:r>
    </w:p>
    <w:p w:rsidR="00000000" w:rsidRPr="002872BE" w:rsidP="002872BE">
      <w:pPr>
        <w:pStyle w:val="ListBullet2"/>
      </w:pPr>
      <w:r w:rsidRPr="002872BE">
        <w:t>local government by-laws</w:t>
      </w:r>
    </w:p>
    <w:p w:rsidR="00000000" w:rsidRPr="002872BE" w:rsidP="002872BE">
      <w:pPr>
        <w:pStyle w:val="ListBullet2"/>
      </w:pPr>
      <w:r w:rsidRPr="002872BE">
        <w:t>privacy</w:t>
      </w:r>
    </w:p>
    <w:p w:rsidR="00000000" w:rsidRPr="002872BE" w:rsidP="002872BE">
      <w:pPr>
        <w:pStyle w:val="ListBullet"/>
      </w:pPr>
      <w:r w:rsidRPr="002872BE">
        <w:t>general impact of waste on the environment</w:t>
      </w:r>
    </w:p>
    <w:p w:rsidR="00000000" w:rsidRPr="002872BE" w:rsidP="002872BE">
      <w:pPr>
        <w:pStyle w:val="ListBullet"/>
      </w:pPr>
      <w:r w:rsidRPr="002872BE">
        <w:t>physical properties of waste:</w:t>
      </w:r>
    </w:p>
    <w:p w:rsidR="00000000" w:rsidRPr="002872BE" w:rsidP="002872BE">
      <w:pPr>
        <w:pStyle w:val="ListBullet2"/>
      </w:pPr>
      <w:r w:rsidRPr="002872BE">
        <w:t>density</w:t>
      </w:r>
    </w:p>
    <w:p w:rsidR="00000000" w:rsidRPr="002872BE" w:rsidP="002872BE">
      <w:pPr>
        <w:pStyle w:val="ListBullet2"/>
      </w:pPr>
      <w:r w:rsidRPr="002872BE">
        <w:t>quality</w:t>
      </w:r>
    </w:p>
    <w:p w:rsidR="00000000" w:rsidRPr="002872BE" w:rsidP="002872BE">
      <w:pPr>
        <w:pStyle w:val="ListBullet2"/>
      </w:pPr>
      <w:r w:rsidRPr="002872BE">
        <w:t>shape</w:t>
      </w:r>
    </w:p>
    <w:p w:rsidR="00000000" w:rsidRPr="002872BE" w:rsidP="002872BE">
      <w:pPr>
        <w:pStyle w:val="ListBullet2"/>
      </w:pPr>
      <w:r w:rsidRPr="002872BE">
        <w:t>size</w:t>
      </w:r>
    </w:p>
    <w:p w:rsidR="00000000" w:rsidRPr="002872BE" w:rsidP="002872BE">
      <w:pPr>
        <w:pStyle w:val="ListBullet2"/>
      </w:pPr>
      <w:r w:rsidRPr="002872BE">
        <w:t>volume</w:t>
      </w:r>
    </w:p>
    <w:p w:rsidR="00000000" w:rsidRPr="002872BE" w:rsidP="002872BE">
      <w:pPr>
        <w:pStyle w:val="ListBullet2"/>
      </w:pPr>
      <w:r w:rsidRPr="002872BE">
        <w:t>weight</w:t>
      </w:r>
    </w:p>
    <w:p w:rsidR="00000000" w:rsidRPr="002872BE" w:rsidP="002872BE">
      <w:pPr>
        <w:pStyle w:val="ListBullet"/>
      </w:pPr>
      <w:r w:rsidRPr="002872BE">
        <w:t>typical hazards encountered when assessing waste</w:t>
      </w:r>
    </w:p>
    <w:p w:rsidR="00000000" w:rsidRPr="002872BE" w:rsidP="002872BE">
      <w:pPr>
        <w:pStyle w:val="ListBullet"/>
      </w:pPr>
      <w:r w:rsidRPr="002872BE">
        <w:t>waste assessment processes</w:t>
      </w:r>
    </w:p>
    <w:p w:rsidR="00000000" w:rsidRPr="002872BE" w:rsidP="002872BE">
      <w:pPr>
        <w:pStyle w:val="ListBullet"/>
      </w:pPr>
      <w:r w:rsidRPr="002872BE">
        <w:t>waste hierarchy and opportunities for waste minimisation and resource recovery</w:t>
      </w:r>
    </w:p>
    <w:p w:rsidR="00000000" w:rsidRPr="002872BE" w:rsidP="002872BE">
      <w:pPr>
        <w:pStyle w:val="ListBullet"/>
      </w:pPr>
      <w:r w:rsidRPr="002872BE">
        <w:t>waste types</w:t>
      </w:r>
    </w:p>
    <w:p w:rsidR="00000000" w:rsidRPr="002872BE" w:rsidP="002872BE">
      <w:pPr>
        <w:pStyle w:val="ListBullet"/>
      </w:pPr>
      <w:r w:rsidRPr="002872BE">
        <w:t>workplace policies and procedures for conducting waste assessments:</w:t>
      </w:r>
    </w:p>
    <w:p w:rsidR="00000000" w:rsidRPr="002872BE" w:rsidP="002872BE">
      <w:pPr>
        <w:pStyle w:val="ListBullet2"/>
      </w:pPr>
      <w:r w:rsidRPr="002872BE">
        <w:t>documentation and reporting</w:t>
      </w:r>
    </w:p>
    <w:p w:rsidR="00000000" w:rsidRPr="002872BE" w:rsidP="002872BE">
      <w:pPr>
        <w:pStyle w:val="ListBullet2"/>
      </w:pPr>
      <w:r w:rsidRPr="002872BE">
        <w:t>WHS:</w:t>
      </w:r>
    </w:p>
    <w:p w:rsidR="00000000" w:rsidRPr="002872BE" w:rsidP="002872BE">
      <w:pPr>
        <w:pStyle w:val="ListBullet3"/>
      </w:pPr>
      <w:r w:rsidRPr="002872BE">
        <w:t>hazard identification, risk assessment and control using the hierarchy of control</w:t>
      </w:r>
    </w:p>
    <w:p w:rsidR="00000000" w:rsidRPr="002872BE" w:rsidP="002872BE">
      <w:pPr>
        <w:pStyle w:val="ListBullet3"/>
      </w:pPr>
      <w:r w:rsidRPr="002872BE">
        <w:t>injury, dangerous occurrence and incident response and reporting</w:t>
      </w:r>
    </w:p>
    <w:p w:rsidR="00000000" w:rsidRPr="002872BE" w:rsidP="002872BE">
      <w:pPr>
        <w:pStyle w:val="ListBullet3"/>
      </w:pPr>
      <w:r w:rsidRPr="002872BE">
        <w:t>personal protective equipment.</w:t>
      </w:r>
    </w:p>
    <w:p w:rsidR="00000000" w:rsidRPr="002872BE" w:rsidP="002872BE">
      <w:pPr>
        <w:pStyle w:val="AllowPageBreak"/>
      </w:pPr>
    </w:p>
    <w:p w:rsidR="00000000" w:rsidRPr="002872BE" w:rsidP="002872BE">
      <w:pPr>
        <w:pStyle w:val="Heading1"/>
      </w:pPr>
      <w:bookmarkStart w:id="4" w:name="O_880732"/>
      <w:bookmarkEnd w:id="4"/>
      <w:r w:rsidRPr="002872BE">
        <w:t>Assessment Conditions</w:t>
      </w:r>
    </w:p>
    <w:p w:rsidR="00000000" w:rsidRPr="002872BE" w:rsidP="005D5E10">
      <w:pPr>
        <w:pStyle w:val="BodyText"/>
      </w:pPr>
      <w:r w:rsidRPr="002872BE">
        <w:t>Assessors must meet the requirements for assessors contained in the Standards for Registered Training Organisations.</w:t>
      </w:r>
    </w:p>
    <w:p w:rsidR="00000000" w:rsidRPr="002872BE" w:rsidP="005D5E10">
      <w:pPr>
        <w:pStyle w:val="BodyText"/>
      </w:pPr>
      <w:r w:rsidRPr="002872BE">
        <w:t>Assessment must be conducted in the workplace or in a simulated workplace environment using realistic workplace conditions, materials, acti</w:t>
      </w:r>
      <w:r w:rsidRPr="002872BE">
        <w:t xml:space="preserve">vities, responsibilities, procedures, safety requirements and environmental considerations. </w:t>
      </w:r>
    </w:p>
    <w:p w:rsidR="00000000" w:rsidRPr="002872BE" w:rsidP="005D5E10">
      <w:pPr>
        <w:pStyle w:val="BodyText"/>
      </w:pPr>
      <w:r w:rsidRPr="002872BE">
        <w:t>Candidates must have access to workplace policies and procedures, job schedules and documentation and waste required to achieve the performance evidence.</w:t>
      </w:r>
    </w:p>
    <w:p w:rsidR="00000000" w:rsidRPr="002872BE" w:rsidP="002872BE">
      <w:pPr>
        <w:pStyle w:val="Heading1"/>
      </w:pPr>
      <w:bookmarkStart w:id="5" w:name="O_880730"/>
      <w:bookmarkEnd w:id="5"/>
      <w:r w:rsidRPr="002872BE">
        <w:t>Links</w:t>
      </w:r>
    </w:p>
    <w:p w:rsidR="00000000" w:rsidRPr="002872BE" w:rsidP="005D5E10">
      <w:pPr>
        <w:pStyle w:val="BodyText"/>
      </w:pPr>
      <w:r w:rsidRPr="00287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5CF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872BE" w:rsidP="002872BE"/>
    <w:sectPr w:rsidSect="00287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E" w:rsidRPr="005D5E10" w:rsidP="005D5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10" w:rsidP="0028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E10" w:rsidP="0028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D5E10" w:rsidP="0028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2BE" w:rsidRPr="005D5E10" w:rsidP="005D5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10" w:rsidRPr="002D2AF8" w:rsidP="0028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CPPWMT3011 Conduct waste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D5E10" w:rsidP="0028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A82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64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06A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2BE"/>
  </w:style>
  <w:style w:type="character" w:customStyle="1" w:styleId="Heading1Char">
    <w:name w:val="Heading 1 Char"/>
    <w:basedOn w:val="DefaultParagraphFont"/>
    <w:link w:val="Heading1"/>
    <w:rsid w:val="0028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2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2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72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2BE"/>
    <w:rPr>
      <w:b/>
      <w:spacing w:val="0"/>
    </w:rPr>
  </w:style>
  <w:style w:type="paragraph" w:customStyle="1" w:styleId="SuperTitle">
    <w:name w:val="SuperTitle"/>
    <w:basedOn w:val="Title"/>
    <w:rsid w:val="0028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2BE"/>
    <w:rPr>
      <w:i/>
    </w:rPr>
  </w:style>
  <w:style w:type="paragraph" w:styleId="Caption">
    <w:name w:val="caption"/>
    <w:basedOn w:val="BodyText"/>
    <w:next w:val="Normal"/>
    <w:qFormat/>
    <w:rsid w:val="0028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2BE"/>
  </w:style>
  <w:style w:type="paragraph" w:styleId="TableofFigures">
    <w:name w:val="table of figures"/>
    <w:basedOn w:val="Normal"/>
    <w:next w:val="Normal"/>
    <w:semiHidden/>
    <w:rsid w:val="0028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2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72BE"/>
    <w:rPr>
      <w:rFonts w:ascii="Wingdings" w:hAnsi="Wingdings"/>
    </w:rPr>
  </w:style>
  <w:style w:type="paragraph" w:customStyle="1" w:styleId="TableHeading">
    <w:name w:val="Table Heading"/>
    <w:basedOn w:val="HeadingBase"/>
    <w:rsid w:val="0028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2BE"/>
    <w:rPr>
      <w:color w:val="0033CC"/>
      <w:u w:val="none"/>
    </w:rPr>
  </w:style>
  <w:style w:type="paragraph" w:customStyle="1" w:styleId="BodyTextRight">
    <w:name w:val="Body Text Right"/>
    <w:basedOn w:val="BodyText"/>
    <w:rsid w:val="0028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2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2BE"/>
    <w:rPr>
      <w:sz w:val="32"/>
    </w:rPr>
  </w:style>
  <w:style w:type="paragraph" w:customStyle="1" w:styleId="HeadingProcedure">
    <w:name w:val="Heading Procedure"/>
    <w:basedOn w:val="HeadingBase"/>
    <w:next w:val="Normal"/>
    <w:rsid w:val="0028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2BE"/>
    <w:pPr>
      <w:spacing w:before="60" w:after="60"/>
    </w:pPr>
  </w:style>
  <w:style w:type="paragraph" w:styleId="ListContinue">
    <w:name w:val="List Continue"/>
    <w:basedOn w:val="List"/>
    <w:rsid w:val="002872BE"/>
    <w:pPr>
      <w:ind w:firstLine="0"/>
    </w:pPr>
  </w:style>
  <w:style w:type="paragraph" w:customStyle="1" w:styleId="ListNote">
    <w:name w:val="List Note"/>
    <w:basedOn w:val="List"/>
    <w:rsid w:val="0028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2BE"/>
    <w:rPr>
      <w:rFonts w:ascii="Courier New" w:hAnsi="Courier New"/>
    </w:rPr>
  </w:style>
  <w:style w:type="paragraph" w:customStyle="1" w:styleId="NoteBullet">
    <w:name w:val="Note Bullet"/>
    <w:basedOn w:val="Note"/>
    <w:rsid w:val="0028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2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2BE"/>
    <w:rPr>
      <w:b/>
      <w:smallCaps/>
    </w:rPr>
  </w:style>
  <w:style w:type="paragraph" w:customStyle="1" w:styleId="TableListNumber">
    <w:name w:val="Table List Number"/>
    <w:basedOn w:val="ListNumber"/>
    <w:rsid w:val="0028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2BE"/>
    <w:pPr>
      <w:numPr>
        <w:numId w:val="10"/>
      </w:numPr>
    </w:pPr>
  </w:style>
  <w:style w:type="paragraph" w:customStyle="1" w:styleId="ListAlpha2">
    <w:name w:val="List Alpha 2"/>
    <w:basedOn w:val="List2"/>
    <w:rsid w:val="002872BE"/>
    <w:pPr>
      <w:numPr>
        <w:numId w:val="9"/>
      </w:numPr>
    </w:pPr>
  </w:style>
  <w:style w:type="paragraph" w:styleId="List2">
    <w:name w:val="List 2"/>
    <w:basedOn w:val="BodyText"/>
    <w:rsid w:val="0028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2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72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72BE"/>
    <w:pPr>
      <w:numPr>
        <w:numId w:val="5"/>
      </w:numPr>
    </w:pPr>
  </w:style>
  <w:style w:type="paragraph" w:styleId="ListContinue2">
    <w:name w:val="List Continue 2"/>
    <w:basedOn w:val="List2"/>
    <w:rsid w:val="002872BE"/>
    <w:pPr>
      <w:ind w:firstLine="0"/>
    </w:pPr>
  </w:style>
  <w:style w:type="paragraph" w:styleId="ListContinue3">
    <w:name w:val="List Continue 3"/>
    <w:basedOn w:val="List3"/>
    <w:rsid w:val="002872BE"/>
    <w:pPr>
      <w:ind w:left="1021" w:firstLine="0"/>
    </w:pPr>
  </w:style>
  <w:style w:type="paragraph" w:styleId="ListContinue4">
    <w:name w:val="List Continue 4"/>
    <w:basedOn w:val="List4"/>
    <w:rsid w:val="002872BE"/>
    <w:pPr>
      <w:ind w:firstLine="0"/>
    </w:pPr>
  </w:style>
  <w:style w:type="paragraph" w:styleId="ListContinue5">
    <w:name w:val="List Continue 5"/>
    <w:basedOn w:val="List5"/>
    <w:rsid w:val="002872BE"/>
    <w:pPr>
      <w:ind w:firstLine="0"/>
    </w:pPr>
  </w:style>
  <w:style w:type="paragraph" w:styleId="ListNumber3">
    <w:name w:val="List Number 3"/>
    <w:basedOn w:val="List3"/>
    <w:rsid w:val="002872BE"/>
    <w:pPr>
      <w:numPr>
        <w:numId w:val="6"/>
      </w:numPr>
    </w:pPr>
  </w:style>
  <w:style w:type="paragraph" w:styleId="ListNumber4">
    <w:name w:val="List Number 4"/>
    <w:basedOn w:val="List4"/>
    <w:rsid w:val="002872BE"/>
    <w:pPr>
      <w:numPr>
        <w:numId w:val="7"/>
      </w:numPr>
    </w:pPr>
  </w:style>
  <w:style w:type="paragraph" w:styleId="ListNumber5">
    <w:name w:val="List Number 5"/>
    <w:basedOn w:val="List5"/>
    <w:rsid w:val="002872BE"/>
    <w:pPr>
      <w:numPr>
        <w:numId w:val="8"/>
      </w:numPr>
    </w:pPr>
  </w:style>
  <w:style w:type="paragraph" w:styleId="BlockText">
    <w:name w:val="Block Text"/>
    <w:basedOn w:val="Normal"/>
    <w:rsid w:val="0028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2BE"/>
    <w:rPr>
      <w:sz w:val="16"/>
      <w:vertAlign w:val="superscript"/>
    </w:rPr>
  </w:style>
  <w:style w:type="character" w:customStyle="1" w:styleId="Symbols">
    <w:name w:val="Symbols"/>
    <w:basedOn w:val="DefaultParagraphFont"/>
    <w:rsid w:val="002872BE"/>
    <w:rPr>
      <w:rFonts w:ascii="Symbol" w:hAnsi="Symbol"/>
    </w:rPr>
  </w:style>
  <w:style w:type="character" w:customStyle="1" w:styleId="MenuOptions">
    <w:name w:val="Menu Options"/>
    <w:basedOn w:val="DefaultParagraphFont"/>
    <w:rsid w:val="0028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2BE"/>
    <w:rPr>
      <w:b/>
    </w:rPr>
  </w:style>
  <w:style w:type="character" w:customStyle="1" w:styleId="Underlined">
    <w:name w:val="Underlined"/>
    <w:basedOn w:val="DefaultParagraphFont"/>
    <w:rsid w:val="002872BE"/>
    <w:rPr>
      <w:u w:val="single"/>
    </w:rPr>
  </w:style>
  <w:style w:type="paragraph" w:customStyle="1" w:styleId="TableBodyTextRight">
    <w:name w:val="Table Body Text Right"/>
    <w:basedOn w:val="TableBodyText"/>
    <w:rsid w:val="0028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2BE"/>
    <w:rPr>
      <w:sz w:val="18"/>
    </w:rPr>
  </w:style>
  <w:style w:type="paragraph" w:customStyle="1" w:styleId="BodySmallRight">
    <w:name w:val="Body Small Right"/>
    <w:basedOn w:val="BodyTextRight"/>
    <w:rsid w:val="002872BE"/>
    <w:rPr>
      <w:sz w:val="18"/>
      <w:szCs w:val="18"/>
    </w:rPr>
  </w:style>
  <w:style w:type="paragraph" w:customStyle="1" w:styleId="MarginEdition">
    <w:name w:val="Margin Edition"/>
    <w:basedOn w:val="MarginNote"/>
    <w:rsid w:val="0028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2BE"/>
    <w:rPr>
      <w:sz w:val="2"/>
      <w:szCs w:val="2"/>
    </w:rPr>
  </w:style>
  <w:style w:type="character" w:customStyle="1" w:styleId="Small">
    <w:name w:val="Small"/>
    <w:basedOn w:val="DefaultParagraphFont"/>
    <w:rsid w:val="002872BE"/>
    <w:rPr>
      <w:sz w:val="16"/>
    </w:rPr>
  </w:style>
  <w:style w:type="paragraph" w:customStyle="1" w:styleId="WideTable">
    <w:name w:val="Wide Table"/>
    <w:basedOn w:val="Normal"/>
    <w:rsid w:val="0028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2BE"/>
  </w:style>
  <w:style w:type="paragraph" w:styleId="Quote">
    <w:name w:val="Quote"/>
    <w:basedOn w:val="Heading1"/>
    <w:link w:val="QuoteChar"/>
    <w:qFormat/>
    <w:rsid w:val="0028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2BE"/>
    <w:pPr>
      <w:pageBreakBefore/>
    </w:pPr>
  </w:style>
  <w:style w:type="paragraph" w:customStyle="1" w:styleId="Border">
    <w:name w:val="Border"/>
    <w:basedOn w:val="Normal"/>
    <w:qFormat/>
    <w:rsid w:val="0028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2BE"/>
    <w:rPr>
      <w:u w:val="single"/>
    </w:rPr>
  </w:style>
  <w:style w:type="character" w:customStyle="1" w:styleId="BoldandItalics">
    <w:name w:val="Bold and Italics"/>
    <w:qFormat/>
    <w:rsid w:val="002872BE"/>
    <w:rPr>
      <w:b/>
      <w:i/>
      <w:u w:val="none"/>
    </w:rPr>
  </w:style>
  <w:style w:type="paragraph" w:styleId="BalloonText">
    <w:name w:val="Balloon Text"/>
    <w:basedOn w:val="Normal"/>
    <w:link w:val="BalloonTextChar"/>
    <w:rsid w:val="0028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2BE"/>
    <w:pPr>
      <w:spacing w:before="0" w:after="0"/>
    </w:pPr>
  </w:style>
  <w:style w:type="paragraph" w:customStyle="1" w:styleId="BodyTextBold">
    <w:name w:val="Body Text Bold"/>
    <w:basedOn w:val="BodyText"/>
    <w:qFormat/>
    <w:rsid w:val="002872BE"/>
    <w:rPr>
      <w:b/>
    </w:rPr>
  </w:style>
  <w:style w:type="character" w:styleId="Hyperlink">
    <w:name w:val="Hyperlink"/>
    <w:basedOn w:val="DefaultParagraphFont"/>
    <w:uiPriority w:val="99"/>
    <w:unhideWhenUsed/>
    <w:rsid w:val="005D5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1988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CPPWMT3011 Conduct waste assessments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