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90B" w:rsidP="00B57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CPPWMT3006 Receive, transfer and dispatch waste</w:t>
      </w:r>
      <w:r>
        <w:fldChar w:fldCharType="end"/>
      </w:r>
    </w:p>
    <w:p w:rsidR="00B5790B" w:rsidP="00B5790B">
      <w:pPr>
        <w:pStyle w:val="Version"/>
        <w:sectPr w:rsidSect="005F26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60F" w:rsidP="005F260F">
      <w:pPr>
        <w:pStyle w:val="SuperHeading"/>
      </w:pPr>
      <w:r w:rsidRPr="005F260F">
        <w:t>CPPWMT3006 Receive, transfer and dispatch waste</w:t>
      </w:r>
    </w:p>
    <w:p w:rsidR="00000000" w:rsidRPr="005F260F" w:rsidP="005F260F">
      <w:pPr>
        <w:pStyle w:val="Heading1"/>
      </w:pPr>
      <w:bookmarkStart w:id="1" w:name="O_1070502"/>
      <w:bookmarkEnd w:id="1"/>
      <w:r w:rsidRPr="005F26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0F" w:rsidP="005F260F">
            <w:pPr>
              <w:pStyle w:val="BodyText"/>
            </w:pPr>
            <w:r w:rsidRPr="005F260F">
              <w:t>This version first released with CPP Property Services Training Package Release 10.0.</w:t>
            </w:r>
          </w:p>
          <w:p w:rsidR="00000000" w:rsidRPr="005F260F" w:rsidP="005F260F">
            <w:pPr>
              <w:pStyle w:val="BodyText"/>
            </w:pPr>
            <w:r w:rsidRPr="005F260F">
              <w:t>Supersedes but is not equivalent to:</w:t>
            </w:r>
          </w:p>
          <w:p w:rsidR="00000000" w:rsidRPr="005F260F" w:rsidP="005F260F">
            <w:pPr>
              <w:pStyle w:val="ListBullet"/>
            </w:pPr>
            <w:r w:rsidRPr="005F260F">
              <w:t>CPPWMT3013A Receive waste.</w:t>
            </w:r>
          </w:p>
          <w:p w:rsidR="00000000" w:rsidRPr="005F260F" w:rsidP="005F260F">
            <w:pPr>
              <w:pStyle w:val="ListBullet"/>
            </w:pPr>
            <w:r w:rsidRPr="005F260F">
              <w:t>CPPWMT3015A Move waste using loadshifting equipment.</w:t>
            </w:r>
          </w:p>
          <w:p w:rsidR="00000000" w:rsidRPr="005F260F" w:rsidP="005F260F">
            <w:pPr>
              <w:pStyle w:val="ListBullet"/>
            </w:pPr>
            <w:r w:rsidRPr="005F260F">
              <w:t xml:space="preserve">CPPWMT3018A </w:t>
            </w:r>
            <w:r w:rsidRPr="005F260F">
              <w:t>Dispatch processed waste.</w:t>
            </w:r>
          </w:p>
        </w:tc>
      </w:tr>
    </w:tbl>
    <w:p w:rsidR="00000000" w:rsidRPr="005F260F" w:rsidP="005F260F">
      <w:pPr>
        <w:pStyle w:val="BodyText"/>
      </w:pPr>
    </w:p>
    <w:p w:rsidR="00000000" w:rsidRPr="005F260F" w:rsidP="005F260F">
      <w:pPr>
        <w:pStyle w:val="AllowPageBreak"/>
      </w:pPr>
    </w:p>
    <w:p w:rsidR="00000000" w:rsidRPr="005F260F" w:rsidP="005F260F">
      <w:pPr>
        <w:pStyle w:val="Heading1"/>
      </w:pPr>
      <w:bookmarkStart w:id="2" w:name="O_1070508"/>
      <w:bookmarkEnd w:id="2"/>
      <w:r w:rsidRPr="005F260F">
        <w:t>Application</w:t>
      </w:r>
    </w:p>
    <w:p w:rsidR="00000000" w:rsidRPr="005F260F" w:rsidP="00B5790B">
      <w:pPr>
        <w:pStyle w:val="BodyText"/>
      </w:pPr>
      <w:r w:rsidRPr="005F260F">
        <w:t>This unit specifies the skills and knowledge required to receive waste, operate load-shifting equipment to load, move and unload waste, and dispatch waste for transport to another site. It includes</w:t>
      </w:r>
      <w:r w:rsidRPr="005F260F">
        <w:t xml:space="preserve"> monitoring waste receipt, organising equipment, loading and unloading methods suitable for waste types and site conditions and performing operational checks, start-up, park and shut-down procedures. It also includes scheduling waste dispatch activities an</w:t>
      </w:r>
      <w:r w:rsidRPr="005F260F">
        <w:t>d monitoring waste movement and containment to ensure safety and regulatory compliance.</w:t>
      </w:r>
    </w:p>
    <w:p w:rsidR="00000000" w:rsidRPr="005F260F" w:rsidP="00B5790B">
      <w:pPr>
        <w:pStyle w:val="BodyText"/>
      </w:pPr>
      <w:r w:rsidRPr="005F260F">
        <w:t>A person who achieves this unit of competency is expected to take responsibility for completing these tasks with a high degree of self-direction.</w:t>
      </w:r>
    </w:p>
    <w:p w:rsidR="00000000" w:rsidRPr="005F260F" w:rsidP="00B5790B">
      <w:pPr>
        <w:pStyle w:val="BodyText"/>
      </w:pPr>
      <w:r w:rsidRPr="005F260F">
        <w:t>This unit forms part o</w:t>
      </w:r>
      <w:r w:rsidRPr="005F260F">
        <w:t>f the licensing requirements for operating vehicles, plant and equipment used in waste management. For further information, check with the relevant regulatory authority.</w:t>
      </w:r>
    </w:p>
    <w:p w:rsidR="00000000" w:rsidRPr="005F260F" w:rsidP="005F260F">
      <w:pPr>
        <w:pStyle w:val="Heading1"/>
      </w:pPr>
      <w:bookmarkStart w:id="3" w:name="O_1070507"/>
      <w:bookmarkEnd w:id="3"/>
      <w:r w:rsidRPr="005F260F">
        <w:t>Pre-requisite Unit</w:t>
      </w:r>
    </w:p>
    <w:p w:rsidR="00000000" w:rsidRPr="005F260F" w:rsidP="00B5790B">
      <w:pPr>
        <w:pStyle w:val="BodyText"/>
      </w:pPr>
      <w:r w:rsidRPr="005F260F">
        <w:t>Nil.</w:t>
      </w:r>
    </w:p>
    <w:p w:rsidR="00000000" w:rsidRPr="005F260F" w:rsidP="005F260F">
      <w:pPr>
        <w:pStyle w:val="Heading1"/>
      </w:pPr>
      <w:bookmarkStart w:id="4" w:name="O_1070506"/>
      <w:bookmarkEnd w:id="4"/>
      <w:r w:rsidRPr="005F260F">
        <w:t>Unit Sector</w:t>
      </w:r>
    </w:p>
    <w:p w:rsidR="00000000" w:rsidRPr="005F260F" w:rsidP="00B5790B">
      <w:pPr>
        <w:pStyle w:val="BodyText"/>
      </w:pPr>
      <w:r w:rsidRPr="005F260F">
        <w:t>Waste management</w:t>
      </w:r>
    </w:p>
    <w:p w:rsidR="00000000" w:rsidRPr="005F260F" w:rsidP="005F260F">
      <w:pPr>
        <w:pStyle w:val="Heading1"/>
      </w:pPr>
      <w:bookmarkStart w:id="5" w:name="O_1070505"/>
      <w:bookmarkEnd w:id="5"/>
      <w:r w:rsidRPr="005F26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Performance criteria describe what needs to be done to demonstrate achievement of the element.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 xml:space="preserve">Prepare to receive, transfer and dispatch </w:t>
            </w:r>
            <w:r w:rsidRPr="005F260F">
              <w:t>wa</w:t>
            </w:r>
            <w:r w:rsidRPr="005F260F">
              <w:t>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 xml:space="preserve">Review job schedule to confirm work activities for receiving, transferring and dispatching waste and clarify </w:t>
            </w:r>
            <w:r w:rsidRPr="005F260F">
              <w:t>issues with relevant persons.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Review workplace policies and procedures and work health and safety (WHS) requirements for waste transfer and dispatch and apply to work tasks.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Schedule waste receipt, transfer and dispatch according to workplace requirements.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Organise load-s</w:t>
            </w:r>
            <w:r w:rsidRPr="005F260F">
              <w:t>hifting equipment and attachments and personnel required to safely and efficiently transfer and dispatch waste according to workplace requirements.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Select, check and use personal protective equipment appropriate for work activities.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Identify hazards and risks associated with work activities and implement required controls according to workplace WHS requirements.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Receive and unload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Screen waste types being delivered to confirm match to documentation.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Measure and record received waste according to workplace and regulatory requirements.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Use signalling and instructions to direct waste provider to designated unloading site.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Monitor unloading location to ensure adequate storage capacity and that waste is contained within designated area.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Take load sample according to workplace and regulatory requirements.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Check and operate load-shifting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Conduct pre-start, start-up, park and shutdown procedures following manufacturer instructions.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Safely operate and drive load-shifting equipment and modify operating techniques to respond to changing conditions in the work area.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Continuously m</w:t>
            </w:r>
            <w:r w:rsidRPr="005F260F">
              <w:t>onitor work area and maintain communication with others while operating load-shifting equipment to ensure safety of people and property.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Load, move and unload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Check waste type and weight to select required loading and unloading methods and ensure load is within safe operational capacity of load-shifting equipment.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 xml:space="preserve">Fit required load-shifting attachments according to manufacturer instructions and workplace </w:t>
            </w:r>
            <w:r w:rsidRPr="005F260F">
              <w:t>requirements.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Safely load waste using required methods and regulate liquid flow where waste is vacuumed to maintain constant hose pressure.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Move load to designated unloading location while maintaining constant visual monitoring to ensure waste containment and identify potential hazards.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Safely unload waste in designated unloading area using required methods and regulate liquid flow wher</w:t>
            </w:r>
            <w:r w:rsidRPr="005F260F">
              <w:t>e waste is vacuumed to maintain constant hose pressure.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Store waste at destination according to workplace requirements.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Park, shut-down and secure load-shifting equipment and attachments in a safe location to avoid damage to equipment and obstruction of surrounding site activity.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Dispatch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Use signalling and oral instructions to assist safe and efficient w</w:t>
            </w:r>
            <w:r w:rsidRPr="005F260F">
              <w:t>aste loading onto dispatch vehicle.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Monitor loading site to ensure compliance with loading instructions, waste containment and adequate space for loading.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Measure and record regulated or prescribed waste and display required waste identification signage according to regulatory requirements.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Check to ensure waste is contained and secure and that load weight is within safe operational capacity of dispat</w:t>
            </w:r>
            <w:r w:rsidRPr="005F260F">
              <w:t>ch vehicle according to regulatory requirements.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Finalise work tasks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Clean load-shifting equipment, attachments and work area to remove debris and contamination.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Conduct service checks of load-shifting equipment following manufacturer and workplace requirements and resolve or report problems.</w:t>
            </w:r>
          </w:p>
        </w:tc>
      </w:tr>
      <w:tr w:rsidTr="005F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0F">
            <w:pPr>
              <w:pStyle w:val="BodyText"/>
              <w:rPr>
                <w:lang w:val="en-NZ"/>
              </w:rPr>
            </w:pPr>
            <w:r w:rsidRPr="005F260F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0F" w:rsidP="005F260F">
            <w:pPr>
              <w:pStyle w:val="BodyText"/>
            </w:pPr>
            <w:r w:rsidRPr="005F260F">
              <w:t>Complete workplace documentation detailing waste movement and dispatch according to workplace and regulatory requirem</w:t>
            </w:r>
            <w:r w:rsidRPr="005F260F">
              <w:t>ents.</w:t>
            </w:r>
          </w:p>
        </w:tc>
      </w:tr>
    </w:tbl>
    <w:p w:rsidR="00000000" w:rsidRPr="005F260F" w:rsidP="005F260F">
      <w:pPr>
        <w:pStyle w:val="BodyText"/>
      </w:pPr>
    </w:p>
    <w:p w:rsidR="00000000" w:rsidRPr="005F260F" w:rsidP="005F260F">
      <w:pPr>
        <w:pStyle w:val="AllowPageBreak"/>
      </w:pPr>
    </w:p>
    <w:p w:rsidR="00000000" w:rsidRPr="005F260F" w:rsidP="005F260F">
      <w:pPr>
        <w:pStyle w:val="Heading1"/>
      </w:pPr>
      <w:bookmarkStart w:id="6" w:name="O_1070504"/>
      <w:bookmarkEnd w:id="6"/>
      <w:r w:rsidRPr="005F260F">
        <w:t>Foundation Skills</w:t>
      </w:r>
    </w:p>
    <w:p w:rsidR="00000000" w:rsidRPr="005F260F" w:rsidP="00B5790B">
      <w:pPr>
        <w:pStyle w:val="BodyText"/>
      </w:pPr>
      <w:r w:rsidRPr="005F260F">
        <w:t xml:space="preserve">This section describes the language, literacy, numeracy and employment skills essential to performance in this unit but not explicit in the performance criteria: </w:t>
      </w:r>
    </w:p>
    <w:p w:rsidR="00000000" w:rsidRPr="005F260F" w:rsidP="005F260F">
      <w:pPr>
        <w:pStyle w:val="ListBullet"/>
      </w:pPr>
      <w:r w:rsidRPr="005F260F">
        <w:t>numeracy skills to calculate load volumes [cubic metre (m</w:t>
      </w:r>
      <w:r w:rsidRPr="005F260F">
        <w:rPr>
          <w:rStyle w:val="Superscript"/>
        </w:rPr>
        <w:t>3</w:t>
      </w:r>
      <w:r w:rsidRPr="005F260F">
        <w:t>)] and weights [kilogram (kg), tonne (t)].</w:t>
      </w:r>
    </w:p>
    <w:p w:rsidR="00000000" w:rsidRPr="005F260F" w:rsidP="005F260F">
      <w:pPr>
        <w:pStyle w:val="AllowPageBreak"/>
      </w:pPr>
    </w:p>
    <w:p w:rsidR="00000000" w:rsidRPr="005F260F" w:rsidP="005F260F">
      <w:pPr>
        <w:pStyle w:val="Heading1"/>
      </w:pPr>
      <w:bookmarkStart w:id="7" w:name="O_1070503"/>
      <w:bookmarkEnd w:id="7"/>
      <w:r w:rsidRPr="005F260F">
        <w:t>Unit Mapping Information</w:t>
      </w:r>
    </w:p>
    <w:p w:rsidR="00000000" w:rsidRPr="005F260F" w:rsidP="00B5790B">
      <w:pPr>
        <w:pStyle w:val="BodyText"/>
      </w:pPr>
      <w:r w:rsidRPr="005F260F">
        <w:t>Supersedes but is not equivalent to:</w:t>
      </w:r>
    </w:p>
    <w:p w:rsidR="00000000" w:rsidRPr="005F260F" w:rsidP="005F260F">
      <w:pPr>
        <w:pStyle w:val="ListBullet"/>
      </w:pPr>
      <w:r w:rsidRPr="005F260F">
        <w:t>CPPWMT3013A Receive waste.</w:t>
      </w:r>
    </w:p>
    <w:p w:rsidR="00000000" w:rsidRPr="005F260F" w:rsidP="005F260F">
      <w:pPr>
        <w:pStyle w:val="ListBullet"/>
      </w:pPr>
      <w:r w:rsidRPr="005F260F">
        <w:t>CPPWMT3015A Move waste using loadshifting equi</w:t>
      </w:r>
      <w:r w:rsidRPr="005F260F">
        <w:t>pment.</w:t>
      </w:r>
    </w:p>
    <w:p w:rsidR="00000000" w:rsidRPr="005F260F" w:rsidP="005F260F">
      <w:pPr>
        <w:pStyle w:val="ListBullet"/>
      </w:pPr>
      <w:r w:rsidRPr="005F260F">
        <w:t>CPPWMT3018A Dispatch processed waste.</w:t>
      </w:r>
    </w:p>
    <w:p w:rsidR="00000000" w:rsidRPr="005F260F" w:rsidP="005F260F">
      <w:pPr>
        <w:pStyle w:val="AllowPageBreak"/>
      </w:pPr>
    </w:p>
    <w:p w:rsidR="00000000" w:rsidRPr="005F260F" w:rsidP="005F260F">
      <w:pPr>
        <w:pStyle w:val="Heading1"/>
      </w:pPr>
      <w:bookmarkStart w:id="8" w:name="O_1070496"/>
      <w:bookmarkEnd w:id="8"/>
      <w:r w:rsidRPr="005F260F">
        <w:t>Links</w:t>
      </w:r>
    </w:p>
    <w:p w:rsidR="00000000" w:rsidRPr="005F260F" w:rsidP="00B5790B">
      <w:pPr>
        <w:pStyle w:val="BodyText"/>
      </w:pPr>
      <w:r w:rsidRPr="005F260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7477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F260F" w:rsidP="005F260F"/>
    <w:sectPr w:rsidSect="005F26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0F" w:rsidRPr="00B5790B" w:rsidP="00B57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0B" w:rsidP="005F26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90B" w:rsidP="005F26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5790B" w:rsidP="005F26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60F" w:rsidRPr="00B5790B" w:rsidP="00B57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0B" w:rsidRPr="002D2AF8" w:rsidP="005F26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CPPWMT3006 Receive, transfer and dispatch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5790B" w:rsidP="005F26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A63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D6A5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6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6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6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6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6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6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6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6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6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6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6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60F"/>
  </w:style>
  <w:style w:type="character" w:customStyle="1" w:styleId="Heading1Char">
    <w:name w:val="Heading 1 Char"/>
    <w:basedOn w:val="DefaultParagraphFont"/>
    <w:link w:val="Heading1"/>
    <w:rsid w:val="005F26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6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6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26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F26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6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5F260F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5F26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6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6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6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6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6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6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6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6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6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6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6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6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6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6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26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260F"/>
    <w:rPr>
      <w:b/>
      <w:spacing w:val="0"/>
    </w:rPr>
  </w:style>
  <w:style w:type="paragraph" w:customStyle="1" w:styleId="SuperTitle">
    <w:name w:val="SuperTitle"/>
    <w:basedOn w:val="Title"/>
    <w:rsid w:val="005F26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6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6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26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26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6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6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6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6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6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6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6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6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260F"/>
    <w:rPr>
      <w:i/>
    </w:rPr>
  </w:style>
  <w:style w:type="paragraph" w:styleId="Caption">
    <w:name w:val="caption"/>
    <w:basedOn w:val="BodyText"/>
    <w:next w:val="Normal"/>
    <w:qFormat/>
    <w:rsid w:val="005F26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6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6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60F"/>
  </w:style>
  <w:style w:type="paragraph" w:styleId="TableofFigures">
    <w:name w:val="table of figures"/>
    <w:basedOn w:val="Normal"/>
    <w:next w:val="Normal"/>
    <w:semiHidden/>
    <w:rsid w:val="005F26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6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260F"/>
    <w:rPr>
      <w:rFonts w:ascii="Wingdings" w:hAnsi="Wingdings"/>
    </w:rPr>
  </w:style>
  <w:style w:type="paragraph" w:customStyle="1" w:styleId="TableHeading">
    <w:name w:val="Table Heading"/>
    <w:basedOn w:val="HeadingBase"/>
    <w:rsid w:val="005F26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60F"/>
    <w:rPr>
      <w:color w:val="0033CC"/>
      <w:u w:val="none"/>
    </w:rPr>
  </w:style>
  <w:style w:type="paragraph" w:customStyle="1" w:styleId="BodyTextRight">
    <w:name w:val="Body Text Right"/>
    <w:basedOn w:val="BodyText"/>
    <w:rsid w:val="005F26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6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6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6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6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6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60F"/>
    <w:rPr>
      <w:sz w:val="32"/>
    </w:rPr>
  </w:style>
  <w:style w:type="paragraph" w:customStyle="1" w:styleId="HeadingProcedure">
    <w:name w:val="Heading Procedure"/>
    <w:basedOn w:val="HeadingBase"/>
    <w:next w:val="Normal"/>
    <w:rsid w:val="005F26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60F"/>
    <w:pPr>
      <w:spacing w:before="60" w:after="60"/>
    </w:pPr>
  </w:style>
  <w:style w:type="paragraph" w:styleId="ListContinue">
    <w:name w:val="List Continue"/>
    <w:basedOn w:val="List"/>
    <w:rsid w:val="005F260F"/>
    <w:pPr>
      <w:ind w:firstLine="0"/>
    </w:pPr>
  </w:style>
  <w:style w:type="paragraph" w:customStyle="1" w:styleId="ListNote">
    <w:name w:val="List Note"/>
    <w:basedOn w:val="List"/>
    <w:rsid w:val="005F26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6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6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60F"/>
    <w:rPr>
      <w:rFonts w:ascii="Courier New" w:hAnsi="Courier New"/>
    </w:rPr>
  </w:style>
  <w:style w:type="paragraph" w:customStyle="1" w:styleId="NoteBullet">
    <w:name w:val="Note Bullet"/>
    <w:basedOn w:val="Note"/>
    <w:rsid w:val="005F26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6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6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6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6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26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6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60F"/>
    <w:rPr>
      <w:b/>
      <w:smallCaps/>
    </w:rPr>
  </w:style>
  <w:style w:type="paragraph" w:customStyle="1" w:styleId="TableListNumber">
    <w:name w:val="Table List Number"/>
    <w:basedOn w:val="ListNumber"/>
    <w:rsid w:val="005F26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6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60F"/>
    <w:pPr>
      <w:numPr>
        <w:numId w:val="8"/>
      </w:numPr>
    </w:pPr>
  </w:style>
  <w:style w:type="paragraph" w:customStyle="1" w:styleId="ListAlpha2">
    <w:name w:val="List Alpha 2"/>
    <w:basedOn w:val="List2"/>
    <w:rsid w:val="005F260F"/>
    <w:pPr>
      <w:numPr>
        <w:numId w:val="7"/>
      </w:numPr>
    </w:pPr>
  </w:style>
  <w:style w:type="paragraph" w:styleId="List2">
    <w:name w:val="List 2"/>
    <w:basedOn w:val="BodyText"/>
    <w:rsid w:val="005F26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6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6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6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6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6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260F"/>
    <w:pPr>
      <w:numPr>
        <w:numId w:val="3"/>
      </w:numPr>
    </w:pPr>
  </w:style>
  <w:style w:type="paragraph" w:styleId="ListContinue2">
    <w:name w:val="List Continue 2"/>
    <w:basedOn w:val="List2"/>
    <w:rsid w:val="005F260F"/>
    <w:pPr>
      <w:ind w:firstLine="0"/>
    </w:pPr>
  </w:style>
  <w:style w:type="paragraph" w:styleId="ListContinue3">
    <w:name w:val="List Continue 3"/>
    <w:basedOn w:val="List3"/>
    <w:rsid w:val="005F260F"/>
    <w:pPr>
      <w:ind w:left="1021" w:firstLine="0"/>
    </w:pPr>
  </w:style>
  <w:style w:type="paragraph" w:styleId="ListContinue4">
    <w:name w:val="List Continue 4"/>
    <w:basedOn w:val="List4"/>
    <w:rsid w:val="005F260F"/>
    <w:pPr>
      <w:ind w:firstLine="0"/>
    </w:pPr>
  </w:style>
  <w:style w:type="paragraph" w:styleId="ListContinue5">
    <w:name w:val="List Continue 5"/>
    <w:basedOn w:val="List5"/>
    <w:rsid w:val="005F260F"/>
    <w:pPr>
      <w:ind w:firstLine="0"/>
    </w:pPr>
  </w:style>
  <w:style w:type="paragraph" w:styleId="ListNumber3">
    <w:name w:val="List Number 3"/>
    <w:basedOn w:val="List3"/>
    <w:rsid w:val="005F260F"/>
    <w:pPr>
      <w:numPr>
        <w:numId w:val="4"/>
      </w:numPr>
    </w:pPr>
  </w:style>
  <w:style w:type="paragraph" w:styleId="ListNumber4">
    <w:name w:val="List Number 4"/>
    <w:basedOn w:val="List4"/>
    <w:rsid w:val="005F260F"/>
    <w:pPr>
      <w:numPr>
        <w:numId w:val="5"/>
      </w:numPr>
    </w:pPr>
  </w:style>
  <w:style w:type="paragraph" w:styleId="ListNumber5">
    <w:name w:val="List Number 5"/>
    <w:basedOn w:val="List5"/>
    <w:rsid w:val="005F260F"/>
    <w:pPr>
      <w:numPr>
        <w:numId w:val="6"/>
      </w:numPr>
    </w:pPr>
  </w:style>
  <w:style w:type="paragraph" w:styleId="BlockText">
    <w:name w:val="Block Text"/>
    <w:basedOn w:val="Normal"/>
    <w:rsid w:val="005F26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60F"/>
    <w:rPr>
      <w:sz w:val="16"/>
      <w:vertAlign w:val="subscript"/>
    </w:rPr>
  </w:style>
  <w:style w:type="character" w:customStyle="1" w:styleId="Symbols">
    <w:name w:val="Symbols"/>
    <w:basedOn w:val="DefaultParagraphFont"/>
    <w:rsid w:val="005F260F"/>
    <w:rPr>
      <w:rFonts w:ascii="Symbol" w:hAnsi="Symbol"/>
    </w:rPr>
  </w:style>
  <w:style w:type="character" w:customStyle="1" w:styleId="MenuOptions">
    <w:name w:val="Menu Options"/>
    <w:basedOn w:val="DefaultParagraphFont"/>
    <w:rsid w:val="005F26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60F"/>
    <w:rPr>
      <w:b/>
    </w:rPr>
  </w:style>
  <w:style w:type="character" w:customStyle="1" w:styleId="Underlined">
    <w:name w:val="Underlined"/>
    <w:basedOn w:val="DefaultParagraphFont"/>
    <w:rsid w:val="005F260F"/>
    <w:rPr>
      <w:u w:val="single"/>
    </w:rPr>
  </w:style>
  <w:style w:type="paragraph" w:customStyle="1" w:styleId="TableBodyTextRight">
    <w:name w:val="Table Body Text Right"/>
    <w:basedOn w:val="TableBodyText"/>
    <w:rsid w:val="005F26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60F"/>
    <w:rPr>
      <w:sz w:val="18"/>
    </w:rPr>
  </w:style>
  <w:style w:type="paragraph" w:customStyle="1" w:styleId="BodySmallRight">
    <w:name w:val="Body Small Right"/>
    <w:basedOn w:val="BodyTextRight"/>
    <w:rsid w:val="005F260F"/>
    <w:rPr>
      <w:sz w:val="18"/>
      <w:szCs w:val="18"/>
    </w:rPr>
  </w:style>
  <w:style w:type="paragraph" w:customStyle="1" w:styleId="MarginEdition">
    <w:name w:val="Margin Edition"/>
    <w:basedOn w:val="MarginNote"/>
    <w:rsid w:val="005F26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60F"/>
    <w:rPr>
      <w:sz w:val="2"/>
      <w:szCs w:val="2"/>
    </w:rPr>
  </w:style>
  <w:style w:type="character" w:customStyle="1" w:styleId="Small">
    <w:name w:val="Small"/>
    <w:basedOn w:val="DefaultParagraphFont"/>
    <w:rsid w:val="005F260F"/>
    <w:rPr>
      <w:sz w:val="16"/>
    </w:rPr>
  </w:style>
  <w:style w:type="paragraph" w:customStyle="1" w:styleId="WideTable">
    <w:name w:val="Wide Table"/>
    <w:basedOn w:val="Normal"/>
    <w:rsid w:val="005F26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60F"/>
  </w:style>
  <w:style w:type="paragraph" w:styleId="Quote">
    <w:name w:val="Quote"/>
    <w:basedOn w:val="Heading1"/>
    <w:link w:val="QuoteChar"/>
    <w:qFormat/>
    <w:rsid w:val="005F26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6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60F"/>
    <w:pPr>
      <w:pageBreakBefore/>
    </w:pPr>
  </w:style>
  <w:style w:type="paragraph" w:customStyle="1" w:styleId="Border">
    <w:name w:val="Border"/>
    <w:basedOn w:val="Normal"/>
    <w:qFormat/>
    <w:rsid w:val="005F26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6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6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6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6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6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6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6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6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60F"/>
    <w:rPr>
      <w:u w:val="single"/>
    </w:rPr>
  </w:style>
  <w:style w:type="character" w:customStyle="1" w:styleId="BoldandItalics">
    <w:name w:val="Bold and Italics"/>
    <w:qFormat/>
    <w:rsid w:val="005F260F"/>
    <w:rPr>
      <w:b/>
      <w:i/>
      <w:u w:val="none"/>
    </w:rPr>
  </w:style>
  <w:style w:type="paragraph" w:styleId="BalloonText">
    <w:name w:val="Balloon Text"/>
    <w:basedOn w:val="Normal"/>
    <w:link w:val="BalloonTextChar"/>
    <w:rsid w:val="005F2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6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6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6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6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6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60F"/>
    <w:pPr>
      <w:spacing w:before="0" w:after="0"/>
    </w:pPr>
  </w:style>
  <w:style w:type="paragraph" w:customStyle="1" w:styleId="BodyTextBold">
    <w:name w:val="Body Text Bold"/>
    <w:basedOn w:val="BodyText"/>
    <w:qFormat/>
    <w:rsid w:val="005F260F"/>
    <w:rPr>
      <w:b/>
    </w:rPr>
  </w:style>
  <w:style w:type="character" w:styleId="Hyperlink">
    <w:name w:val="Hyperlink"/>
    <w:basedOn w:val="DefaultParagraphFont"/>
    <w:uiPriority w:val="99"/>
    <w:unhideWhenUsed/>
    <w:rsid w:val="00B57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5239</Characters>
  <Application>Microsoft Office Word</Application>
  <DocSecurity>0</DocSecurity>
  <Lines>238</Lines>
  <Paragraphs>118</Paragraphs>
  <ScaleCrop>false</ScaleCrop>
  <Company>Author-it Software Corporation Ltd.</Company>
  <LinksUpToDate>false</LinksUpToDate>
  <CharactersWithSpaces>5945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CPPWMT3006 Receive, transfer and dispatch waste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