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454" w:rsidP="00B50454">
      <w:pPr>
        <w:pStyle w:val="Title"/>
      </w:pPr>
      <w:r>
        <w:fldChar w:fldCharType="begin"/>
      </w:r>
      <w:r>
        <w:instrText xml:space="preserve"> TITLE   \* MERGEFORMAT </w:instrText>
      </w:r>
      <w:r>
        <w:fldChar w:fldCharType="separate"/>
      </w:r>
      <w:r>
        <w:t>CPPSSI6036 Monitor engineering structures</w:t>
      </w:r>
      <w:r>
        <w:fldChar w:fldCharType="end"/>
      </w:r>
    </w:p>
    <w:p w:rsidR="00B50454" w:rsidP="00B50454">
      <w:pPr>
        <w:pStyle w:val="Version"/>
        <w:sectPr w:rsidSect="004D4B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B3C" w:rsidP="004D4B3C">
      <w:pPr>
        <w:pStyle w:val="SuperHeading"/>
      </w:pPr>
      <w:r w:rsidRPr="004D4B3C">
        <w:t>CPPSSI6036 Monitor engineering structures</w:t>
      </w:r>
    </w:p>
    <w:p w:rsidR="00000000" w:rsidRPr="004D4B3C" w:rsidP="004D4B3C">
      <w:pPr>
        <w:pStyle w:val="Heading1"/>
      </w:pPr>
      <w:bookmarkStart w:id="1" w:name="O_1149301"/>
      <w:bookmarkEnd w:id="1"/>
      <w:r w:rsidRPr="004D4B3C">
        <w:t>Modification History</w:t>
      </w:r>
    </w:p>
    <w:tbl>
      <w:tblPr>
        <w:tblW w:w="0" w:type="auto"/>
        <w:tblLayout w:type="fixed"/>
        <w:tblCellMar>
          <w:left w:w="62" w:type="dxa"/>
          <w:right w:w="62" w:type="dxa"/>
        </w:tblCellMar>
        <w:tblLook w:val="0000"/>
      </w:tblPr>
      <w:tblGrid>
        <w:gridCol w:w="1128"/>
        <w:gridCol w:w="7944"/>
      </w:tblGrid>
      <w:tr w:rsidTr="004D4B3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Release 1</w:t>
            </w:r>
          </w:p>
        </w:tc>
        <w:tc>
          <w:tcPr>
            <w:tcW w:w="7944" w:type="dxa"/>
            <w:tcBorders>
              <w:top w:val="nil"/>
              <w:left w:val="nil"/>
              <w:bottom w:val="nil"/>
              <w:right w:val="nil"/>
            </w:tcBorders>
            <w:tcMar>
              <w:top w:w="0" w:type="dxa"/>
              <w:left w:w="62" w:type="dxa"/>
              <w:bottom w:w="0" w:type="dxa"/>
              <w:right w:w="62" w:type="dxa"/>
            </w:tcMar>
          </w:tcPr>
          <w:p w:rsidR="00000000" w:rsidRPr="004D4B3C" w:rsidP="004D4B3C">
            <w:pPr>
              <w:pStyle w:val="BodyText"/>
            </w:pPr>
            <w:r w:rsidRPr="004D4B3C">
              <w:t>This version first released with CPP Property Services Training Package Release 12.0.</w:t>
            </w:r>
          </w:p>
          <w:p w:rsidR="00000000" w:rsidRPr="004D4B3C" w:rsidP="004D4B3C">
            <w:pPr>
              <w:pStyle w:val="BodyText"/>
            </w:pPr>
            <w:r w:rsidRPr="004D4B3C">
              <w:t>This unit supersedes and is equivalent to CPPSIS6036 Monitor engineering structures.</w:t>
            </w:r>
          </w:p>
        </w:tc>
      </w:tr>
    </w:tbl>
    <w:p w:rsidR="00000000" w:rsidRPr="004D4B3C" w:rsidP="004D4B3C">
      <w:pPr>
        <w:pStyle w:val="BodyText"/>
      </w:pPr>
    </w:p>
    <w:p w:rsidR="00000000" w:rsidRPr="004D4B3C" w:rsidP="004D4B3C">
      <w:pPr>
        <w:pStyle w:val="AllowPageBreak"/>
      </w:pPr>
    </w:p>
    <w:p w:rsidR="00000000" w:rsidRPr="004D4B3C" w:rsidP="004D4B3C">
      <w:pPr>
        <w:pStyle w:val="Heading1"/>
      </w:pPr>
      <w:bookmarkStart w:id="2" w:name="O_1149307"/>
      <w:bookmarkEnd w:id="2"/>
      <w:r w:rsidRPr="004D4B3C">
        <w:t>Application</w:t>
      </w:r>
    </w:p>
    <w:p w:rsidR="00000000" w:rsidRPr="004D4B3C" w:rsidP="00B50454">
      <w:pPr>
        <w:pStyle w:val="BodyText"/>
      </w:pPr>
      <w:r w:rsidRPr="004D4B3C">
        <w:t>This unit specifies t</w:t>
      </w:r>
      <w:r w:rsidRPr="004D4B3C">
        <w:t>he skills and knowledge required to monitor engineering structures using surveying methods. It includes analysing project specifications and design information to identify components to be measured and monitored, and planning monitoring activities. The uni</w:t>
      </w:r>
      <w:r w:rsidRPr="004D4B3C">
        <w:t xml:space="preserve">t also includes implementing risk management and reviewing work outcomes against specifications. It also includes setting up and using surveying equipment to measure, record and reduce surveying data using spatial coordinate and reference systems. </w:t>
      </w:r>
    </w:p>
    <w:p w:rsidR="00000000" w:rsidRPr="004D4B3C" w:rsidP="00B50454">
      <w:pPr>
        <w:pStyle w:val="BodyText"/>
      </w:pPr>
      <w:r w:rsidRPr="004D4B3C">
        <w:t>This un</w:t>
      </w:r>
      <w:r w:rsidRPr="004D4B3C">
        <w:t>it is suitable for surveyors who use broad theoretical and technical knowledge to analyse information as well as interpret and provide solutions to unpredictable and sometimes complex surveying/spatial information problems. The unit supports those who work</w:t>
      </w:r>
      <w:r w:rsidRPr="004D4B3C">
        <w:t xml:space="preserve"> in a technical management role in a surveying team.</w:t>
      </w:r>
    </w:p>
    <w:p w:rsidR="00000000" w:rsidRPr="004D4B3C" w:rsidP="00B50454">
      <w:pPr>
        <w:pStyle w:val="BodyText"/>
      </w:pPr>
      <w:r w:rsidRPr="004D4B3C">
        <w:t>All work must be carried out to comply with workplace procedures, in accordance with relevant state/territory regulations that govern surveying work, as well as work health and safety (WHS) legislation a</w:t>
      </w:r>
      <w:r w:rsidRPr="004D4B3C">
        <w:t>nd regulations that apply to the workplace.</w:t>
      </w:r>
    </w:p>
    <w:p w:rsidR="00000000" w:rsidRPr="004D4B3C" w:rsidP="00B50454">
      <w:pPr>
        <w:pStyle w:val="BodyText"/>
      </w:pPr>
      <w:r w:rsidRPr="004D4B3C">
        <w:t xml:space="preserve">Cadastral surveying must be undertaken under the supervision of a registered surveyor. Users must check with the relevant regulatory state/territory authority before delivery. </w:t>
      </w:r>
    </w:p>
    <w:p w:rsidR="00000000" w:rsidRPr="004D4B3C" w:rsidP="00B50454">
      <w:pPr>
        <w:pStyle w:val="BodyText"/>
      </w:pPr>
      <w:r w:rsidRPr="004D4B3C">
        <w:t>Licensing, legislative or certifica</w:t>
      </w:r>
      <w:r w:rsidRPr="004D4B3C">
        <w:t>tion requirements apply to this unit in some states/territories where mining surveying must be undertaken under the supervision of a registered surveyor. Relevant state and territory regulatory authorities should be consulted to confirm those requirements.</w:t>
      </w:r>
    </w:p>
    <w:p w:rsidR="00000000" w:rsidRPr="004D4B3C" w:rsidP="004D4B3C">
      <w:pPr>
        <w:pStyle w:val="Heading1"/>
      </w:pPr>
      <w:bookmarkStart w:id="3" w:name="O_1149306"/>
      <w:bookmarkEnd w:id="3"/>
      <w:r w:rsidRPr="004D4B3C">
        <w:t>Pre-requisite Unit</w:t>
      </w:r>
    </w:p>
    <w:p w:rsidR="00000000" w:rsidRPr="004D4B3C" w:rsidP="00B50454">
      <w:pPr>
        <w:pStyle w:val="BodyText"/>
      </w:pPr>
      <w:r w:rsidRPr="004D4B3C">
        <w:t>Nil.</w:t>
      </w:r>
    </w:p>
    <w:p w:rsidR="00000000" w:rsidRPr="004D4B3C" w:rsidP="004D4B3C">
      <w:pPr>
        <w:pStyle w:val="Heading1"/>
      </w:pPr>
      <w:bookmarkStart w:id="4" w:name="O_1149305"/>
      <w:bookmarkEnd w:id="4"/>
      <w:r w:rsidRPr="004D4B3C">
        <w:t>Unit Sector</w:t>
      </w:r>
    </w:p>
    <w:p w:rsidR="00000000" w:rsidRPr="004D4B3C" w:rsidP="00B50454">
      <w:pPr>
        <w:pStyle w:val="BodyText"/>
      </w:pPr>
      <w:r w:rsidRPr="004D4B3C">
        <w:t>Surveying and Spatial Information Services</w:t>
      </w:r>
    </w:p>
    <w:p w:rsidR="00000000" w:rsidRPr="004D4B3C" w:rsidP="004D4B3C">
      <w:pPr>
        <w:pStyle w:val="Heading1"/>
      </w:pPr>
      <w:bookmarkStart w:id="5" w:name="O_1149304"/>
      <w:bookmarkEnd w:id="5"/>
      <w:r w:rsidRPr="004D4B3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D4B3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Performance criteria describe what needs to be done to demonstrate achievement of the element.</w:t>
            </w:r>
          </w:p>
        </w:tc>
      </w:tr>
      <w:tr w:rsidTr="004D4B3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1</w:t>
            </w:r>
          </w:p>
        </w:tc>
        <w:tc>
          <w:tcPr>
            <w:tcW w:w="2357" w:type="dxa"/>
            <w:vMerge w:val="restart"/>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Prepare to monitor engineering structure.</w:t>
            </w:r>
          </w:p>
        </w:tc>
        <w:tc>
          <w:tcPr>
            <w:tcW w:w="804"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1.1</w:t>
            </w:r>
          </w:p>
        </w:tc>
        <w:tc>
          <w:tcPr>
            <w:tcW w:w="5659"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Interpret project specifications and engineering design information to identify components to be measured and a</w:t>
            </w:r>
            <w:r w:rsidRPr="004D4B3C">
              <w:t>ccuracy and precision tolerances to be applied in consultation with appropriate persons.</w:t>
            </w:r>
          </w:p>
        </w:tc>
      </w:tr>
      <w:tr w:rsidTr="004D4B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1.2</w:t>
            </w:r>
          </w:p>
        </w:tc>
        <w:tc>
          <w:tcPr>
            <w:tcW w:w="5659"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Identify site hazards, assess risks and implement control measures according to legislative requirements for working safely.</w:t>
            </w:r>
          </w:p>
        </w:tc>
      </w:tr>
      <w:tr w:rsidTr="004D4B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1.3</w:t>
            </w:r>
          </w:p>
        </w:tc>
        <w:tc>
          <w:tcPr>
            <w:tcW w:w="5659"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 xml:space="preserve">Identify any special equipment and resource requirements according to project specifications and operating environment. </w:t>
            </w:r>
          </w:p>
        </w:tc>
      </w:tr>
      <w:tr w:rsidTr="004D4B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1.4</w:t>
            </w:r>
          </w:p>
        </w:tc>
        <w:tc>
          <w:tcPr>
            <w:tcW w:w="5659"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Select and check data collection equipment is functioning correctly.</w:t>
            </w:r>
          </w:p>
        </w:tc>
      </w:tr>
      <w:tr w:rsidTr="004D4B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1.5</w:t>
            </w:r>
          </w:p>
        </w:tc>
        <w:tc>
          <w:tcPr>
            <w:tcW w:w="5659"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Designate organisation of project resources, equipme</w:t>
            </w:r>
            <w:r w:rsidRPr="004D4B3C">
              <w:t>nt, materials and transport to appropriate persons.</w:t>
            </w:r>
          </w:p>
        </w:tc>
      </w:tr>
      <w:tr w:rsidTr="004D4B3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D4B3C">
            <w:pPr>
              <w:pStyle w:val="BodyText"/>
              <w:rPr>
                <w:lang w:val="en-NZ"/>
              </w:rPr>
            </w:pPr>
          </w:p>
        </w:tc>
      </w:tr>
      <w:tr w:rsidTr="004D4B3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2</w:t>
            </w:r>
          </w:p>
        </w:tc>
        <w:tc>
          <w:tcPr>
            <w:tcW w:w="2357" w:type="dxa"/>
            <w:vMerge w:val="restart"/>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Develop project plan to monitor engineering structure.</w:t>
            </w:r>
          </w:p>
        </w:tc>
        <w:tc>
          <w:tcPr>
            <w:tcW w:w="804"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2.1</w:t>
            </w:r>
          </w:p>
        </w:tc>
        <w:tc>
          <w:tcPr>
            <w:tcW w:w="5659"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Document project deliverables, principal work activities, resources required and any constraints according to project specifications.</w:t>
            </w:r>
          </w:p>
        </w:tc>
      </w:tr>
      <w:tr w:rsidTr="004D4B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2.2</w:t>
            </w:r>
          </w:p>
        </w:tc>
        <w:tc>
          <w:tcPr>
            <w:tcW w:w="5659"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Document hazards, risks and control measures in project plan.</w:t>
            </w:r>
          </w:p>
        </w:tc>
      </w:tr>
      <w:tr w:rsidTr="004D4B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2.3</w:t>
            </w:r>
          </w:p>
        </w:tc>
        <w:tc>
          <w:tcPr>
            <w:tcW w:w="5659"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Specify validation processes to verify integrity of required spatial data in project plan.</w:t>
            </w:r>
          </w:p>
        </w:tc>
      </w:tr>
      <w:tr w:rsidTr="004D4B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2.4</w:t>
            </w:r>
          </w:p>
        </w:tc>
        <w:tc>
          <w:tcPr>
            <w:tcW w:w="5659"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Allocate work responsibilities and implement supervisory processes, checks and measures.</w:t>
            </w:r>
          </w:p>
        </w:tc>
      </w:tr>
      <w:tr w:rsidTr="004D4B3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D4B3C">
            <w:pPr>
              <w:pStyle w:val="BodyText"/>
              <w:rPr>
                <w:lang w:val="en-NZ"/>
              </w:rPr>
            </w:pPr>
          </w:p>
        </w:tc>
      </w:tr>
      <w:tr w:rsidTr="004D4B3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3</w:t>
            </w:r>
          </w:p>
        </w:tc>
        <w:tc>
          <w:tcPr>
            <w:tcW w:w="2357" w:type="dxa"/>
            <w:vMerge w:val="restart"/>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Implement monitoring tasks.</w:t>
            </w:r>
          </w:p>
        </w:tc>
        <w:tc>
          <w:tcPr>
            <w:tcW w:w="804"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3.1</w:t>
            </w:r>
          </w:p>
        </w:tc>
        <w:tc>
          <w:tcPr>
            <w:tcW w:w="5659"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Control hazards and manage risks associated with monitoring activities to comply with legislative requirements.</w:t>
            </w:r>
          </w:p>
        </w:tc>
      </w:tr>
      <w:tr w:rsidTr="004D4B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3.2</w:t>
            </w:r>
          </w:p>
        </w:tc>
        <w:tc>
          <w:tcPr>
            <w:tcW w:w="5659"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Apply industry-accepted standards for using surveying equipment and performing surveying measurements and computations.</w:t>
            </w:r>
          </w:p>
        </w:tc>
      </w:tr>
      <w:tr w:rsidTr="004D4B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3.3</w:t>
            </w:r>
          </w:p>
        </w:tc>
        <w:tc>
          <w:tcPr>
            <w:tcW w:w="5659"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 xml:space="preserve">Reduce measured spatial data to project spatial reference </w:t>
            </w:r>
            <w:r w:rsidRPr="004D4B3C">
              <w:t>system for comparison with design.</w:t>
            </w:r>
          </w:p>
        </w:tc>
      </w:tr>
      <w:tr w:rsidTr="004D4B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3.4</w:t>
            </w:r>
          </w:p>
        </w:tc>
        <w:tc>
          <w:tcPr>
            <w:tcW w:w="5659"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 xml:space="preserve">Validate, record and process measurements according to industry-accepted standards. </w:t>
            </w:r>
          </w:p>
        </w:tc>
      </w:tr>
      <w:tr w:rsidTr="004D4B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3.5</w:t>
            </w:r>
          </w:p>
        </w:tc>
        <w:tc>
          <w:tcPr>
            <w:tcW w:w="5659"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Identify and resolve non-conformities between engineering structure and project specifications and manage contingencies according to organisational requirements.</w:t>
            </w:r>
          </w:p>
        </w:tc>
      </w:tr>
      <w:tr w:rsidTr="004D4B3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D4B3C">
            <w:pPr>
              <w:pStyle w:val="BodyText"/>
              <w:rPr>
                <w:lang w:val="en-NZ"/>
              </w:rPr>
            </w:pPr>
          </w:p>
        </w:tc>
      </w:tr>
      <w:tr w:rsidTr="004D4B3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4</w:t>
            </w:r>
          </w:p>
        </w:tc>
        <w:tc>
          <w:tcPr>
            <w:tcW w:w="2357" w:type="dxa"/>
            <w:vMerge w:val="restart"/>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Finalise and report monitoring results.</w:t>
            </w:r>
          </w:p>
        </w:tc>
        <w:tc>
          <w:tcPr>
            <w:tcW w:w="804"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4.1</w:t>
            </w:r>
          </w:p>
        </w:tc>
        <w:tc>
          <w:tcPr>
            <w:tcW w:w="5659"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Compile monitoring results and review against project specifications.</w:t>
            </w:r>
          </w:p>
        </w:tc>
      </w:tr>
      <w:tr w:rsidTr="004D4B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4.2</w:t>
            </w:r>
          </w:p>
        </w:tc>
        <w:tc>
          <w:tcPr>
            <w:tcW w:w="5659"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 xml:space="preserve">Report findings to appropriate persons according to organisational requirements. </w:t>
            </w:r>
          </w:p>
        </w:tc>
      </w:tr>
      <w:tr w:rsidTr="004D4B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D4B3C">
            <w:pPr>
              <w:pStyle w:val="BodyText"/>
              <w:rPr>
                <w:lang w:val="en-NZ"/>
              </w:rPr>
            </w:pPr>
            <w:r w:rsidRPr="004D4B3C">
              <w:t>4.3</w:t>
            </w:r>
          </w:p>
        </w:tc>
        <w:tc>
          <w:tcPr>
            <w:tcW w:w="5659" w:type="dxa"/>
            <w:tcBorders>
              <w:top w:val="nil"/>
              <w:left w:val="nil"/>
              <w:bottom w:val="nil"/>
              <w:right w:val="nil"/>
            </w:tcBorders>
            <w:tcMar>
              <w:top w:w="0" w:type="dxa"/>
              <w:left w:w="62" w:type="dxa"/>
              <w:bottom w:w="0" w:type="dxa"/>
              <w:right w:w="62" w:type="dxa"/>
            </w:tcMar>
          </w:tcPr>
          <w:p w:rsidR="00000000" w:rsidRPr="004D4B3C" w:rsidP="004D4B3C">
            <w:pPr>
              <w:pStyle w:val="BodyText"/>
            </w:pPr>
            <w:r w:rsidRPr="004D4B3C">
              <w:t>Complete documentation and store spatial data according to organisational requirements.</w:t>
            </w:r>
          </w:p>
        </w:tc>
      </w:tr>
    </w:tbl>
    <w:p w:rsidR="00000000" w:rsidRPr="004D4B3C" w:rsidP="004D4B3C">
      <w:pPr>
        <w:pStyle w:val="BodyText"/>
      </w:pPr>
    </w:p>
    <w:p w:rsidR="00000000" w:rsidRPr="004D4B3C" w:rsidP="004D4B3C">
      <w:pPr>
        <w:pStyle w:val="AllowPageBreak"/>
      </w:pPr>
    </w:p>
    <w:p w:rsidR="00000000" w:rsidRPr="004D4B3C" w:rsidP="004D4B3C">
      <w:pPr>
        <w:pStyle w:val="Heading1"/>
      </w:pPr>
      <w:bookmarkStart w:id="6" w:name="O_1149303"/>
      <w:bookmarkEnd w:id="6"/>
      <w:r w:rsidRPr="004D4B3C">
        <w:t>Foundation Skills</w:t>
      </w:r>
    </w:p>
    <w:p w:rsidR="00000000" w:rsidRPr="004D4B3C" w:rsidP="00B50454">
      <w:pPr>
        <w:pStyle w:val="BodyText"/>
      </w:pPr>
      <w:r w:rsidRPr="004D4B3C">
        <w:t>Foundation skills essential to performance are explicit in the performance criteria of this unit of competency.</w:t>
      </w:r>
    </w:p>
    <w:p w:rsidR="00000000" w:rsidRPr="004D4B3C" w:rsidP="004D4B3C">
      <w:pPr>
        <w:pStyle w:val="Heading1"/>
      </w:pPr>
      <w:bookmarkStart w:id="7" w:name="O_1149302"/>
      <w:bookmarkEnd w:id="7"/>
      <w:r w:rsidRPr="004D4B3C">
        <w:t>Unit Mapping Information</w:t>
      </w:r>
    </w:p>
    <w:p w:rsidR="00000000" w:rsidRPr="004D4B3C" w:rsidP="00B50454">
      <w:pPr>
        <w:pStyle w:val="BodyText"/>
      </w:pPr>
      <w:r w:rsidRPr="004D4B3C">
        <w:t>Supersedes and is equivalent to CPPSIS6036 Monitor engineering structures.</w:t>
      </w:r>
    </w:p>
    <w:p w:rsidR="00000000" w:rsidRPr="004D4B3C" w:rsidP="004D4B3C">
      <w:pPr>
        <w:pStyle w:val="Heading1"/>
      </w:pPr>
      <w:bookmarkStart w:id="8" w:name="O_1149295"/>
      <w:bookmarkEnd w:id="8"/>
      <w:r w:rsidRPr="004D4B3C">
        <w:t>Links</w:t>
      </w:r>
    </w:p>
    <w:p w:rsidR="00000000" w:rsidRPr="004D4B3C" w:rsidP="00B50454">
      <w:pPr>
        <w:pStyle w:val="BodyText"/>
      </w:pPr>
      <w:r w:rsidRPr="004D4B3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538DB">
        <w:rPr>
          <w:rStyle w:val="Hyperlink"/>
        </w:rPr>
        <w:t>https://vetnet.gov.au/Pages/TrainingDocs.aspx?q=6f3f9672-30e8-4835-b348-205dfcf13d9b</w:t>
      </w:r>
      <w:r>
        <w:fldChar w:fldCharType="end"/>
      </w:r>
    </w:p>
    <w:p w:rsidR="00000000" w:rsidRPr="004D4B3C" w:rsidP="004D4B3C"/>
    <w:sectPr w:rsidSect="004D4B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B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B3C" w:rsidRPr="00B50454" w:rsidP="00B504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B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454" w:rsidP="004D4B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0454" w:rsidP="004D4B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B50454" w:rsidP="004D4B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B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4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4B3C" w:rsidRPr="00B50454" w:rsidP="00B504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B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454" w:rsidRPr="002D2AF8" w:rsidP="004D4B3C">
    <w:pPr>
      <w:pStyle w:val="Header"/>
      <w:framePr w:wrap="around"/>
    </w:pPr>
    <w:r>
      <w:fldChar w:fldCharType="begin"/>
    </w:r>
    <w:r>
      <w:instrText xml:space="preserve"> TITLE   \* MERGEFORMAT </w:instrText>
    </w:r>
    <w:r>
      <w:fldChar w:fldCharType="separate"/>
    </w:r>
    <w:r>
      <w:t>CPPSSI6036 Monitor engineering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B50454" w:rsidP="004D4B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B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B3C"/>
    <w:pPr>
      <w:spacing w:before="360" w:after="60"/>
      <w:outlineLvl w:val="0"/>
    </w:pPr>
    <w:rPr>
      <w:sz w:val="32"/>
    </w:rPr>
  </w:style>
  <w:style w:type="paragraph" w:styleId="Heading2">
    <w:name w:val="heading 2"/>
    <w:basedOn w:val="HeadingBase"/>
    <w:next w:val="BodyText"/>
    <w:link w:val="Heading2Char"/>
    <w:qFormat/>
    <w:rsid w:val="004D4B3C"/>
    <w:pPr>
      <w:keepLines/>
      <w:spacing w:before="240" w:after="120"/>
      <w:outlineLvl w:val="1"/>
    </w:pPr>
    <w:rPr>
      <w:sz w:val="28"/>
      <w:szCs w:val="40"/>
    </w:rPr>
  </w:style>
  <w:style w:type="paragraph" w:styleId="Heading3">
    <w:name w:val="heading 3"/>
    <w:basedOn w:val="HeadingBase"/>
    <w:next w:val="BodyText"/>
    <w:link w:val="Heading3Char"/>
    <w:qFormat/>
    <w:rsid w:val="004D4B3C"/>
    <w:pPr>
      <w:spacing w:before="180" w:after="120"/>
      <w:outlineLvl w:val="2"/>
    </w:pPr>
    <w:rPr>
      <w:spacing w:val="-10"/>
      <w:kern w:val="32"/>
    </w:rPr>
  </w:style>
  <w:style w:type="paragraph" w:styleId="Heading4">
    <w:name w:val="heading 4"/>
    <w:basedOn w:val="HeadingBase"/>
    <w:next w:val="BodyText"/>
    <w:link w:val="Heading4Char"/>
    <w:qFormat/>
    <w:rsid w:val="004D4B3C"/>
    <w:pPr>
      <w:spacing w:before="160" w:after="120"/>
      <w:outlineLvl w:val="3"/>
    </w:pPr>
    <w:rPr>
      <w:sz w:val="22"/>
    </w:rPr>
  </w:style>
  <w:style w:type="paragraph" w:styleId="Heading5">
    <w:name w:val="heading 5"/>
    <w:basedOn w:val="HeadingBase"/>
    <w:next w:val="Normal"/>
    <w:link w:val="Heading5Char"/>
    <w:qFormat/>
    <w:rsid w:val="004D4B3C"/>
    <w:pPr>
      <w:spacing w:before="80"/>
      <w:outlineLvl w:val="4"/>
    </w:pPr>
    <w:rPr>
      <w:color w:val="918585"/>
      <w:sz w:val="20"/>
    </w:rPr>
  </w:style>
  <w:style w:type="paragraph" w:styleId="Heading6">
    <w:name w:val="heading 6"/>
    <w:basedOn w:val="HeadingBase"/>
    <w:next w:val="Normal"/>
    <w:link w:val="Heading6Char"/>
    <w:qFormat/>
    <w:rsid w:val="004D4B3C"/>
    <w:pPr>
      <w:spacing w:before="60"/>
      <w:outlineLvl w:val="5"/>
    </w:pPr>
    <w:rPr>
      <w:color w:val="918585"/>
      <w:sz w:val="20"/>
    </w:rPr>
  </w:style>
  <w:style w:type="paragraph" w:styleId="Heading7">
    <w:name w:val="heading 7"/>
    <w:basedOn w:val="Normal"/>
    <w:next w:val="Normal"/>
    <w:link w:val="Heading7Char"/>
    <w:qFormat/>
    <w:rsid w:val="004D4B3C"/>
    <w:pPr>
      <w:ind w:left="720"/>
      <w:outlineLvl w:val="6"/>
    </w:pPr>
    <w:rPr>
      <w:i/>
    </w:rPr>
  </w:style>
  <w:style w:type="paragraph" w:styleId="Heading8">
    <w:name w:val="heading 8"/>
    <w:basedOn w:val="Normal"/>
    <w:next w:val="Normal"/>
    <w:link w:val="Heading8Char"/>
    <w:qFormat/>
    <w:rsid w:val="004D4B3C"/>
    <w:pPr>
      <w:ind w:left="720"/>
      <w:outlineLvl w:val="7"/>
    </w:pPr>
    <w:rPr>
      <w:i/>
    </w:rPr>
  </w:style>
  <w:style w:type="paragraph" w:styleId="Heading9">
    <w:name w:val="heading 9"/>
    <w:basedOn w:val="Normal"/>
    <w:next w:val="Normal"/>
    <w:link w:val="Heading9Char"/>
    <w:qFormat/>
    <w:rsid w:val="004D4B3C"/>
    <w:pPr>
      <w:ind w:left="720"/>
      <w:outlineLvl w:val="8"/>
    </w:pPr>
    <w:rPr>
      <w:i/>
    </w:rPr>
  </w:style>
  <w:style w:type="character" w:default="1" w:styleId="DefaultParagraphFont">
    <w:name w:val="Default Paragraph Font"/>
    <w:uiPriority w:val="1"/>
    <w:unhideWhenUsed/>
    <w:rsid w:val="004D4B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B3C"/>
  </w:style>
  <w:style w:type="character" w:customStyle="1" w:styleId="Heading1Char">
    <w:name w:val="Heading 1 Char"/>
    <w:basedOn w:val="DefaultParagraphFont"/>
    <w:link w:val="Heading1"/>
    <w:rsid w:val="004D4B3C"/>
    <w:rPr>
      <w:rFonts w:ascii="Times New Roman" w:eastAsia="Times New Roman" w:hAnsi="Times New Roman" w:cs="Times New Roman"/>
      <w:b/>
      <w:sz w:val="32"/>
      <w:szCs w:val="20"/>
      <w:lang w:eastAsia="en-US"/>
    </w:rPr>
  </w:style>
  <w:style w:type="paragraph" w:styleId="BodyText">
    <w:name w:val="Body Text"/>
    <w:basedOn w:val="Normal"/>
    <w:link w:val="BodyTextChar"/>
    <w:rsid w:val="004D4B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4B3C"/>
    <w:rPr>
      <w:rFonts w:ascii="Times New Roman" w:eastAsia="Times New Roman" w:hAnsi="Times New Roman" w:cs="Times New Roman"/>
      <w:sz w:val="24"/>
      <w:lang w:eastAsia="en-US"/>
    </w:rPr>
  </w:style>
  <w:style w:type="paragraph" w:customStyle="1" w:styleId="SuperHeading">
    <w:name w:val="SuperHeading"/>
    <w:basedOn w:val="Normal"/>
    <w:rsid w:val="004D4B3C"/>
    <w:pPr>
      <w:spacing w:before="240" w:after="120"/>
      <w:outlineLvl w:val="0"/>
    </w:pPr>
    <w:rPr>
      <w:rFonts w:ascii="Times New Roman" w:hAnsi="Times New Roman"/>
      <w:b/>
      <w:sz w:val="32"/>
    </w:rPr>
  </w:style>
  <w:style w:type="paragraph" w:customStyle="1" w:styleId="AllowPageBreak">
    <w:name w:val="AllowPageBreak"/>
    <w:rsid w:val="004D4B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4B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B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B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B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B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B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B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B3C"/>
    <w:rPr>
      <w:rFonts w:ascii="Courier New" w:eastAsia="Times New Roman" w:hAnsi="Courier New" w:cs="Times New Roman"/>
      <w:i/>
      <w:szCs w:val="20"/>
      <w:lang w:eastAsia="en-US"/>
    </w:rPr>
  </w:style>
  <w:style w:type="paragraph" w:customStyle="1" w:styleId="HeadingBase">
    <w:name w:val="Heading Base"/>
    <w:rsid w:val="004D4B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B3C"/>
    <w:pPr>
      <w:tabs>
        <w:tab w:val="right" w:leader="dot" w:pos="9072"/>
      </w:tabs>
      <w:ind w:left="567"/>
    </w:pPr>
    <w:rPr>
      <w:szCs w:val="22"/>
    </w:rPr>
  </w:style>
  <w:style w:type="paragraph" w:customStyle="1" w:styleId="TOCBase">
    <w:name w:val="TOC Base"/>
    <w:rsid w:val="004D4B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B3C"/>
    <w:pPr>
      <w:tabs>
        <w:tab w:val="right" w:leader="dot" w:pos="9072"/>
      </w:tabs>
      <w:spacing w:before="40" w:after="40"/>
      <w:ind w:left="284"/>
    </w:pPr>
    <w:rPr>
      <w:rFonts w:ascii="Times New Roman" w:hAnsi="Times New Roman"/>
    </w:rPr>
  </w:style>
  <w:style w:type="paragraph" w:styleId="TOC1">
    <w:name w:val="toc 1"/>
    <w:basedOn w:val="TOCBase"/>
    <w:next w:val="Normal"/>
    <w:rsid w:val="004D4B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4B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B3C"/>
    <w:rPr>
      <w:rFonts w:ascii="Times New Roman" w:eastAsia="Times New Roman" w:hAnsi="Times New Roman" w:cs="Times New Roman"/>
      <w:sz w:val="16"/>
      <w:lang w:eastAsia="en-US"/>
    </w:rPr>
  </w:style>
  <w:style w:type="paragraph" w:styleId="Title">
    <w:name w:val="Title"/>
    <w:basedOn w:val="HeadingBase"/>
    <w:link w:val="TitleChar"/>
    <w:qFormat/>
    <w:rsid w:val="004D4B3C"/>
    <w:pPr>
      <w:spacing w:before="5040"/>
      <w:jc w:val="center"/>
    </w:pPr>
    <w:rPr>
      <w:sz w:val="48"/>
      <w:szCs w:val="72"/>
      <w:lang w:val="en-US"/>
    </w:rPr>
  </w:style>
  <w:style w:type="character" w:customStyle="1" w:styleId="TitleChar">
    <w:name w:val="Title Char"/>
    <w:basedOn w:val="DefaultParagraphFont"/>
    <w:link w:val="Title"/>
    <w:rsid w:val="004D4B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B3C"/>
    <w:pPr>
      <w:tabs>
        <w:tab w:val="left" w:pos="3600"/>
        <w:tab w:val="left" w:pos="3958"/>
      </w:tabs>
    </w:pPr>
  </w:style>
  <w:style w:type="paragraph" w:styleId="List">
    <w:name w:val="List"/>
    <w:basedOn w:val="BodyText"/>
    <w:next w:val="BodyText"/>
    <w:rsid w:val="004D4B3C"/>
    <w:pPr>
      <w:tabs>
        <w:tab w:val="left" w:pos="340"/>
      </w:tabs>
      <w:spacing w:before="60" w:after="60"/>
      <w:ind w:left="340" w:hanging="340"/>
    </w:pPr>
  </w:style>
  <w:style w:type="paragraph" w:styleId="ListBullet">
    <w:name w:val="List Bullet"/>
    <w:basedOn w:val="List"/>
    <w:rsid w:val="004D4B3C"/>
    <w:pPr>
      <w:numPr>
        <w:numId w:val="10"/>
      </w:numPr>
      <w:tabs>
        <w:tab w:val="clear" w:pos="340"/>
      </w:tabs>
      <w:spacing w:before="40" w:after="40"/>
    </w:pPr>
  </w:style>
  <w:style w:type="paragraph" w:customStyle="1" w:styleId="Note">
    <w:name w:val="Note"/>
    <w:basedOn w:val="BodyText"/>
    <w:rsid w:val="004D4B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4B3C"/>
    <w:rPr>
      <w:b/>
      <w:spacing w:val="0"/>
    </w:rPr>
  </w:style>
  <w:style w:type="paragraph" w:customStyle="1" w:styleId="SuperTitle">
    <w:name w:val="SuperTitle"/>
    <w:basedOn w:val="Title"/>
    <w:rsid w:val="004D4B3C"/>
    <w:pPr>
      <w:framePr w:wrap="auto" w:hAnchor="text" w:y="6049"/>
    </w:pPr>
    <w:rPr>
      <w:color w:val="000000"/>
      <w:sz w:val="40"/>
    </w:rPr>
  </w:style>
  <w:style w:type="paragraph" w:customStyle="1" w:styleId="TOCTitle">
    <w:name w:val="TOCTitle"/>
    <w:basedOn w:val="Heading1"/>
    <w:rsid w:val="004D4B3C"/>
    <w:pPr>
      <w:spacing w:after="240"/>
      <w:jc w:val="center"/>
      <w:outlineLvl w:val="9"/>
    </w:pPr>
    <w:rPr>
      <w:caps/>
    </w:rPr>
  </w:style>
  <w:style w:type="paragraph" w:customStyle="1" w:styleId="Version">
    <w:name w:val="Version"/>
    <w:rsid w:val="004D4B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4B3C"/>
    <w:pPr>
      <w:numPr>
        <w:numId w:val="11"/>
      </w:numPr>
      <w:tabs>
        <w:tab w:val="clear" w:pos="680"/>
      </w:tabs>
    </w:pPr>
  </w:style>
  <w:style w:type="paragraph" w:styleId="Index1">
    <w:name w:val="index 1"/>
    <w:basedOn w:val="Normal"/>
    <w:next w:val="Normal"/>
    <w:semiHidden/>
    <w:rsid w:val="004D4B3C"/>
    <w:pPr>
      <w:keepNext w:val="0"/>
      <w:tabs>
        <w:tab w:val="right" w:pos="4176"/>
      </w:tabs>
      <w:ind w:left="198" w:hanging="198"/>
    </w:pPr>
    <w:rPr>
      <w:rFonts w:ascii="Garamond" w:hAnsi="Garamond"/>
    </w:rPr>
  </w:style>
  <w:style w:type="paragraph" w:styleId="IndexHeading">
    <w:name w:val="index heading"/>
    <w:basedOn w:val="Normal"/>
    <w:next w:val="Index1"/>
    <w:semiHidden/>
    <w:rsid w:val="004D4B3C"/>
    <w:pPr>
      <w:spacing w:before="120" w:after="120"/>
    </w:pPr>
    <w:rPr>
      <w:rFonts w:ascii="Arial" w:hAnsi="Arial"/>
      <w:b/>
      <w:color w:val="918585"/>
      <w:sz w:val="24"/>
    </w:rPr>
  </w:style>
  <w:style w:type="paragraph" w:styleId="Header">
    <w:name w:val="header"/>
    <w:basedOn w:val="Normal"/>
    <w:link w:val="HeaderChar"/>
    <w:rsid w:val="004D4B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B3C"/>
    <w:rPr>
      <w:rFonts w:ascii="Times New Roman" w:eastAsia="Times New Roman" w:hAnsi="Times New Roman" w:cs="Times New Roman"/>
      <w:sz w:val="16"/>
      <w:szCs w:val="20"/>
      <w:lang w:val="en-GB" w:eastAsia="en-US"/>
    </w:rPr>
  </w:style>
  <w:style w:type="paragraph" w:customStyle="1" w:styleId="Chapter">
    <w:name w:val="Chapter"/>
    <w:basedOn w:val="Normal"/>
    <w:rsid w:val="004D4B3C"/>
    <w:pPr>
      <w:spacing w:before="240"/>
    </w:pPr>
    <w:rPr>
      <w:rFonts w:ascii="Times New Roman" w:hAnsi="Times New Roman"/>
      <w:smallCaps/>
      <w:spacing w:val="80"/>
      <w:sz w:val="28"/>
    </w:rPr>
  </w:style>
  <w:style w:type="paragraph" w:customStyle="1" w:styleId="InChapter">
    <w:name w:val="InChapter"/>
    <w:basedOn w:val="Heading3"/>
    <w:rsid w:val="004D4B3C"/>
    <w:pPr>
      <w:spacing w:after="240"/>
      <w:outlineLvl w:val="9"/>
    </w:pPr>
    <w:rPr>
      <w:noProof/>
    </w:rPr>
  </w:style>
  <w:style w:type="paragraph" w:styleId="Index2">
    <w:name w:val="index 2"/>
    <w:basedOn w:val="Normal"/>
    <w:next w:val="Normal"/>
    <w:semiHidden/>
    <w:rsid w:val="004D4B3C"/>
    <w:pPr>
      <w:tabs>
        <w:tab w:val="right" w:pos="4176"/>
      </w:tabs>
      <w:ind w:left="568" w:hanging="284"/>
    </w:pPr>
    <w:rPr>
      <w:rFonts w:ascii="Garamond" w:hAnsi="Garamond"/>
    </w:rPr>
  </w:style>
  <w:style w:type="paragraph" w:customStyle="1" w:styleId="Byline">
    <w:name w:val="Byline"/>
    <w:rsid w:val="004D4B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B3C"/>
    <w:pPr>
      <w:tabs>
        <w:tab w:val="clear" w:pos="3600"/>
        <w:tab w:val="clear" w:pos="3958"/>
      </w:tabs>
      <w:jc w:val="right"/>
    </w:pPr>
  </w:style>
  <w:style w:type="character" w:styleId="Emphasis">
    <w:name w:val="Emphasis"/>
    <w:basedOn w:val="DefaultParagraphFont"/>
    <w:qFormat/>
    <w:rsid w:val="004D4B3C"/>
    <w:rPr>
      <w:i/>
    </w:rPr>
  </w:style>
  <w:style w:type="paragraph" w:styleId="Caption">
    <w:name w:val="caption"/>
    <w:basedOn w:val="BodyText"/>
    <w:next w:val="Normal"/>
    <w:qFormat/>
    <w:rsid w:val="004D4B3C"/>
    <w:pPr>
      <w:framePr w:w="2268" w:hSpace="181" w:vSpace="181" w:wrap="around" w:vAnchor="text" w:hAnchor="page" w:x="1135" w:y="285" w:anchorLock="1"/>
    </w:pPr>
    <w:rPr>
      <w:i/>
    </w:rPr>
  </w:style>
  <w:style w:type="paragraph" w:customStyle="1" w:styleId="MiniTOCTitle">
    <w:name w:val="MiniTOCTitle"/>
    <w:basedOn w:val="Heading4"/>
    <w:rsid w:val="004D4B3C"/>
    <w:pPr>
      <w:spacing w:before="240"/>
      <w:outlineLvl w:val="9"/>
    </w:pPr>
    <w:rPr>
      <w:noProof/>
      <w:sz w:val="24"/>
    </w:rPr>
  </w:style>
  <w:style w:type="paragraph" w:customStyle="1" w:styleId="MiniTOCItem">
    <w:name w:val="MiniTOCItem"/>
    <w:basedOn w:val="ListBullet"/>
    <w:rsid w:val="004D4B3C"/>
    <w:pPr>
      <w:numPr>
        <w:numId w:val="0"/>
      </w:numPr>
      <w:tabs>
        <w:tab w:val="right" w:leader="dot" w:pos="6521"/>
      </w:tabs>
      <w:spacing w:before="0" w:after="0"/>
    </w:pPr>
  </w:style>
  <w:style w:type="paragraph" w:customStyle="1" w:styleId="TOFTitle">
    <w:name w:val="TOFTitle"/>
    <w:basedOn w:val="TOCTitle"/>
    <w:rsid w:val="004D4B3C"/>
  </w:style>
  <w:style w:type="paragraph" w:styleId="TableofFigures">
    <w:name w:val="table of figures"/>
    <w:basedOn w:val="Normal"/>
    <w:next w:val="Normal"/>
    <w:semiHidden/>
    <w:rsid w:val="004D4B3C"/>
    <w:pPr>
      <w:tabs>
        <w:tab w:val="right" w:leader="dot" w:pos="9072"/>
      </w:tabs>
      <w:ind w:left="970" w:hanging="403"/>
    </w:pPr>
    <w:rPr>
      <w:rFonts w:ascii="Times New Roman" w:hAnsi="Times New Roman"/>
      <w:b/>
    </w:rPr>
  </w:style>
  <w:style w:type="paragraph" w:styleId="ListNumber">
    <w:name w:val="List Number"/>
    <w:basedOn w:val="List"/>
    <w:rsid w:val="004D4B3C"/>
    <w:pPr>
      <w:numPr>
        <w:numId w:val="13"/>
      </w:numPr>
      <w:tabs>
        <w:tab w:val="clear" w:pos="340"/>
      </w:tabs>
    </w:pPr>
  </w:style>
  <w:style w:type="character" w:customStyle="1" w:styleId="WingdingSymbols">
    <w:name w:val="Wingding Symbols"/>
    <w:rsid w:val="004D4B3C"/>
    <w:rPr>
      <w:rFonts w:ascii="Wingdings" w:hAnsi="Wingdings"/>
    </w:rPr>
  </w:style>
  <w:style w:type="paragraph" w:customStyle="1" w:styleId="TableHeading">
    <w:name w:val="Table Heading"/>
    <w:basedOn w:val="HeadingBase"/>
    <w:rsid w:val="004D4B3C"/>
    <w:pPr>
      <w:keepLines/>
      <w:pBdr>
        <w:bottom w:val="single" w:sz="6" w:space="1" w:color="918585"/>
      </w:pBdr>
      <w:spacing w:before="240"/>
    </w:pPr>
  </w:style>
  <w:style w:type="character" w:customStyle="1" w:styleId="HotSpot">
    <w:name w:val="HotSpot"/>
    <w:rsid w:val="004D4B3C"/>
    <w:rPr>
      <w:color w:val="0033CC"/>
      <w:u w:val="none"/>
    </w:rPr>
  </w:style>
  <w:style w:type="paragraph" w:customStyle="1" w:styleId="BodyTextRight">
    <w:name w:val="Body Text Right"/>
    <w:basedOn w:val="BodyText"/>
    <w:rsid w:val="004D4B3C"/>
    <w:pPr>
      <w:spacing w:before="0" w:after="0"/>
      <w:jc w:val="right"/>
    </w:pPr>
  </w:style>
  <w:style w:type="paragraph" w:styleId="Index3">
    <w:name w:val="index 3"/>
    <w:basedOn w:val="ListNumber2"/>
    <w:next w:val="Normal"/>
    <w:semiHidden/>
    <w:rsid w:val="004D4B3C"/>
    <w:pPr>
      <w:numPr>
        <w:numId w:val="0"/>
      </w:numPr>
      <w:tabs>
        <w:tab w:val="right" w:leader="dot" w:pos="4176"/>
      </w:tabs>
    </w:pPr>
  </w:style>
  <w:style w:type="paragraph" w:styleId="ListNumber2">
    <w:name w:val="List Number 2"/>
    <w:basedOn w:val="List2"/>
    <w:rsid w:val="004D4B3C"/>
    <w:pPr>
      <w:numPr>
        <w:numId w:val="8"/>
      </w:numPr>
      <w:tabs>
        <w:tab w:val="clear" w:pos="1060"/>
      </w:tabs>
    </w:pPr>
  </w:style>
  <w:style w:type="paragraph" w:customStyle="1" w:styleId="MarginNote">
    <w:name w:val="Margin Note"/>
    <w:basedOn w:val="BodyText"/>
    <w:rsid w:val="004D4B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B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B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B3C"/>
    <w:rPr>
      <w:sz w:val="32"/>
    </w:rPr>
  </w:style>
  <w:style w:type="paragraph" w:customStyle="1" w:styleId="HeadingProcedure">
    <w:name w:val="Heading Procedure"/>
    <w:basedOn w:val="HeadingBase"/>
    <w:next w:val="Normal"/>
    <w:rsid w:val="004D4B3C"/>
    <w:pPr>
      <w:tabs>
        <w:tab w:val="left" w:pos="0"/>
      </w:tabs>
      <w:spacing w:before="120" w:after="60"/>
    </w:pPr>
    <w:rPr>
      <w:i/>
      <w:color w:val="918585"/>
      <w:sz w:val="22"/>
    </w:rPr>
  </w:style>
  <w:style w:type="paragraph" w:customStyle="1" w:styleId="TableBodyText">
    <w:name w:val="Table Body Text"/>
    <w:basedOn w:val="BodyText"/>
    <w:rsid w:val="004D4B3C"/>
    <w:pPr>
      <w:spacing w:before="60" w:after="60"/>
    </w:pPr>
  </w:style>
  <w:style w:type="paragraph" w:styleId="ListContinue">
    <w:name w:val="List Continue"/>
    <w:basedOn w:val="List"/>
    <w:rsid w:val="004D4B3C"/>
    <w:pPr>
      <w:ind w:firstLine="0"/>
    </w:pPr>
  </w:style>
  <w:style w:type="paragraph" w:customStyle="1" w:styleId="ListNote">
    <w:name w:val="List Note"/>
    <w:basedOn w:val="List"/>
    <w:rsid w:val="004D4B3C"/>
    <w:pPr>
      <w:pBdr>
        <w:top w:val="single" w:sz="6" w:space="2" w:color="918585"/>
        <w:bottom w:val="single" w:sz="6" w:space="2" w:color="918585"/>
      </w:pBdr>
      <w:tabs>
        <w:tab w:val="left" w:pos="1021"/>
      </w:tabs>
      <w:ind w:firstLine="0"/>
    </w:pPr>
  </w:style>
  <w:style w:type="paragraph" w:customStyle="1" w:styleId="Warning">
    <w:name w:val="Warning"/>
    <w:basedOn w:val="BodyText"/>
    <w:rsid w:val="004D4B3C"/>
    <w:pPr>
      <w:shd w:val="clear" w:color="auto" w:fill="D9D9D9"/>
      <w:tabs>
        <w:tab w:val="left" w:pos="992"/>
      </w:tabs>
      <w:ind w:left="119" w:right="119"/>
    </w:pPr>
    <w:rPr>
      <w:sz w:val="20"/>
    </w:rPr>
  </w:style>
  <w:style w:type="paragraph" w:customStyle="1" w:styleId="MarginIcons">
    <w:name w:val="Margin Icons"/>
    <w:basedOn w:val="BodyText"/>
    <w:rsid w:val="004D4B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B3C"/>
    <w:rPr>
      <w:rFonts w:ascii="Courier New" w:hAnsi="Courier New"/>
    </w:rPr>
  </w:style>
  <w:style w:type="paragraph" w:customStyle="1" w:styleId="NoteBullet">
    <w:name w:val="Note Bullet"/>
    <w:basedOn w:val="Note"/>
    <w:rsid w:val="004D4B3C"/>
    <w:pPr>
      <w:tabs>
        <w:tab w:val="clear" w:pos="680"/>
      </w:tabs>
      <w:spacing w:before="60" w:after="60"/>
    </w:pPr>
  </w:style>
  <w:style w:type="paragraph" w:customStyle="1" w:styleId="SubHeading2">
    <w:name w:val="SubHeading2"/>
    <w:basedOn w:val="HeadingBase"/>
    <w:rsid w:val="004D4B3C"/>
    <w:pPr>
      <w:spacing w:before="240" w:after="60"/>
    </w:pPr>
    <w:rPr>
      <w:sz w:val="20"/>
    </w:rPr>
  </w:style>
  <w:style w:type="paragraph" w:customStyle="1" w:styleId="SubHeading1">
    <w:name w:val="SubHeading1"/>
    <w:basedOn w:val="HeadingBase"/>
    <w:rsid w:val="004D4B3C"/>
    <w:pPr>
      <w:spacing w:before="240" w:after="60"/>
    </w:pPr>
    <w:rPr>
      <w:color w:val="918585"/>
      <w:sz w:val="22"/>
    </w:rPr>
  </w:style>
  <w:style w:type="paragraph" w:customStyle="1" w:styleId="SideHeading">
    <w:name w:val="Side Heading"/>
    <w:basedOn w:val="HeadingBase"/>
    <w:rsid w:val="004D4B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B3C"/>
    <w:pPr>
      <w:numPr>
        <w:numId w:val="9"/>
      </w:numPr>
    </w:pPr>
  </w:style>
  <w:style w:type="paragraph" w:styleId="PlainText">
    <w:name w:val="Plain Text"/>
    <w:basedOn w:val="Normal"/>
    <w:link w:val="PlainTextChar"/>
    <w:rsid w:val="004D4B3C"/>
    <w:rPr>
      <w:sz w:val="20"/>
    </w:rPr>
  </w:style>
  <w:style w:type="character" w:customStyle="1" w:styleId="PlainTextChar">
    <w:name w:val="Plain Text Char"/>
    <w:basedOn w:val="DefaultParagraphFont"/>
    <w:link w:val="PlainText"/>
    <w:rsid w:val="004D4B3C"/>
    <w:rPr>
      <w:rFonts w:ascii="Courier New" w:eastAsia="Times New Roman" w:hAnsi="Courier New" w:cs="Times New Roman"/>
      <w:sz w:val="20"/>
      <w:szCs w:val="20"/>
      <w:lang w:eastAsia="en-US"/>
    </w:rPr>
  </w:style>
  <w:style w:type="character" w:customStyle="1" w:styleId="MenuOption">
    <w:name w:val="Menu Option"/>
    <w:basedOn w:val="DefaultParagraphFont"/>
    <w:rsid w:val="004D4B3C"/>
    <w:rPr>
      <w:b/>
      <w:smallCaps/>
    </w:rPr>
  </w:style>
  <w:style w:type="paragraph" w:customStyle="1" w:styleId="TableListNumber">
    <w:name w:val="Table List Number"/>
    <w:basedOn w:val="ListNumber"/>
    <w:rsid w:val="004D4B3C"/>
    <w:pPr>
      <w:numPr>
        <w:numId w:val="0"/>
      </w:numPr>
    </w:pPr>
  </w:style>
  <w:style w:type="paragraph" w:styleId="TOC4">
    <w:name w:val="toc 4"/>
    <w:basedOn w:val="TOCBase"/>
    <w:next w:val="Normal"/>
    <w:semiHidden/>
    <w:rsid w:val="004D4B3C"/>
    <w:pPr>
      <w:tabs>
        <w:tab w:val="right" w:leader="dot" w:pos="9071"/>
      </w:tabs>
      <w:ind w:left="1701"/>
    </w:pPr>
  </w:style>
  <w:style w:type="paragraph" w:customStyle="1" w:styleId="ListAlpha">
    <w:name w:val="List Alpha"/>
    <w:basedOn w:val="List"/>
    <w:rsid w:val="004D4B3C"/>
    <w:pPr>
      <w:numPr>
        <w:numId w:val="7"/>
      </w:numPr>
    </w:pPr>
  </w:style>
  <w:style w:type="paragraph" w:customStyle="1" w:styleId="ListAlpha2">
    <w:name w:val="List Alpha 2"/>
    <w:basedOn w:val="List2"/>
    <w:rsid w:val="004D4B3C"/>
    <w:pPr>
      <w:numPr>
        <w:numId w:val="6"/>
      </w:numPr>
    </w:pPr>
  </w:style>
  <w:style w:type="paragraph" w:styleId="List2">
    <w:name w:val="List 2"/>
    <w:basedOn w:val="BodyText"/>
    <w:rsid w:val="004D4B3C"/>
    <w:pPr>
      <w:tabs>
        <w:tab w:val="left" w:pos="680"/>
      </w:tabs>
      <w:spacing w:before="60" w:after="60"/>
      <w:ind w:left="680" w:hanging="340"/>
    </w:pPr>
  </w:style>
  <w:style w:type="paragraph" w:styleId="List3">
    <w:name w:val="List 3"/>
    <w:basedOn w:val="BodyText"/>
    <w:rsid w:val="004D4B3C"/>
    <w:pPr>
      <w:tabs>
        <w:tab w:val="left" w:pos="1021"/>
      </w:tabs>
      <w:spacing w:before="60" w:after="60"/>
      <w:ind w:left="1020" w:hanging="340"/>
    </w:pPr>
  </w:style>
  <w:style w:type="paragraph" w:styleId="List4">
    <w:name w:val="List 4"/>
    <w:basedOn w:val="BodyText"/>
    <w:rsid w:val="004D4B3C"/>
    <w:pPr>
      <w:tabs>
        <w:tab w:val="left" w:pos="1361"/>
      </w:tabs>
      <w:spacing w:before="60" w:after="60"/>
      <w:ind w:left="1361" w:hanging="340"/>
    </w:pPr>
  </w:style>
  <w:style w:type="paragraph" w:styleId="List5">
    <w:name w:val="List 5"/>
    <w:basedOn w:val="BodyText"/>
    <w:rsid w:val="004D4B3C"/>
    <w:pPr>
      <w:tabs>
        <w:tab w:val="left" w:pos="1701"/>
      </w:tabs>
      <w:spacing w:before="60" w:after="60"/>
      <w:ind w:left="1701" w:hanging="340"/>
    </w:pPr>
  </w:style>
  <w:style w:type="paragraph" w:styleId="ListBullet3">
    <w:name w:val="List Bullet 3"/>
    <w:basedOn w:val="List3"/>
    <w:rsid w:val="004D4B3C"/>
    <w:pPr>
      <w:numPr>
        <w:numId w:val="12"/>
      </w:numPr>
      <w:tabs>
        <w:tab w:val="clear" w:pos="1021"/>
      </w:tabs>
      <w:ind w:left="1037" w:hanging="357"/>
    </w:pPr>
  </w:style>
  <w:style w:type="paragraph" w:styleId="ListBullet4">
    <w:name w:val="List Bullet 4"/>
    <w:basedOn w:val="List4"/>
    <w:rsid w:val="004D4B3C"/>
    <w:pPr>
      <w:numPr>
        <w:numId w:val="1"/>
      </w:numPr>
      <w:tabs>
        <w:tab w:val="clear" w:pos="1361"/>
      </w:tabs>
    </w:pPr>
  </w:style>
  <w:style w:type="paragraph" w:styleId="ListBullet5">
    <w:name w:val="List Bullet 5"/>
    <w:basedOn w:val="List5"/>
    <w:rsid w:val="004D4B3C"/>
    <w:pPr>
      <w:numPr>
        <w:numId w:val="2"/>
      </w:numPr>
    </w:pPr>
  </w:style>
  <w:style w:type="paragraph" w:styleId="ListContinue2">
    <w:name w:val="List Continue 2"/>
    <w:basedOn w:val="List2"/>
    <w:rsid w:val="004D4B3C"/>
    <w:pPr>
      <w:ind w:firstLine="0"/>
    </w:pPr>
  </w:style>
  <w:style w:type="paragraph" w:styleId="ListContinue3">
    <w:name w:val="List Continue 3"/>
    <w:basedOn w:val="List3"/>
    <w:rsid w:val="004D4B3C"/>
    <w:pPr>
      <w:ind w:left="1021" w:firstLine="0"/>
    </w:pPr>
  </w:style>
  <w:style w:type="paragraph" w:styleId="ListContinue4">
    <w:name w:val="List Continue 4"/>
    <w:basedOn w:val="List4"/>
    <w:rsid w:val="004D4B3C"/>
    <w:pPr>
      <w:ind w:firstLine="0"/>
    </w:pPr>
  </w:style>
  <w:style w:type="paragraph" w:styleId="ListContinue5">
    <w:name w:val="List Continue 5"/>
    <w:basedOn w:val="List5"/>
    <w:rsid w:val="004D4B3C"/>
    <w:pPr>
      <w:ind w:firstLine="0"/>
    </w:pPr>
  </w:style>
  <w:style w:type="paragraph" w:styleId="ListNumber3">
    <w:name w:val="List Number 3"/>
    <w:basedOn w:val="List3"/>
    <w:rsid w:val="004D4B3C"/>
    <w:pPr>
      <w:numPr>
        <w:numId w:val="3"/>
      </w:numPr>
    </w:pPr>
  </w:style>
  <w:style w:type="paragraph" w:styleId="ListNumber4">
    <w:name w:val="List Number 4"/>
    <w:basedOn w:val="List4"/>
    <w:rsid w:val="004D4B3C"/>
    <w:pPr>
      <w:numPr>
        <w:numId w:val="4"/>
      </w:numPr>
    </w:pPr>
  </w:style>
  <w:style w:type="paragraph" w:styleId="ListNumber5">
    <w:name w:val="List Number 5"/>
    <w:basedOn w:val="List5"/>
    <w:rsid w:val="004D4B3C"/>
    <w:pPr>
      <w:numPr>
        <w:numId w:val="5"/>
      </w:numPr>
    </w:pPr>
  </w:style>
  <w:style w:type="paragraph" w:styleId="BlockText">
    <w:name w:val="Block Text"/>
    <w:basedOn w:val="Normal"/>
    <w:rsid w:val="004D4B3C"/>
    <w:pPr>
      <w:spacing w:after="120"/>
      <w:ind w:left="1440" w:right="1440"/>
    </w:pPr>
  </w:style>
  <w:style w:type="character" w:customStyle="1" w:styleId="Subscript">
    <w:name w:val="Subscript"/>
    <w:basedOn w:val="DefaultParagraphFont"/>
    <w:rsid w:val="004D4B3C"/>
    <w:rPr>
      <w:sz w:val="16"/>
      <w:vertAlign w:val="subscript"/>
    </w:rPr>
  </w:style>
  <w:style w:type="character" w:customStyle="1" w:styleId="Superscript">
    <w:name w:val="Superscript"/>
    <w:basedOn w:val="DefaultParagraphFont"/>
    <w:rsid w:val="004D4B3C"/>
    <w:rPr>
      <w:sz w:val="16"/>
      <w:vertAlign w:val="superscript"/>
    </w:rPr>
  </w:style>
  <w:style w:type="character" w:customStyle="1" w:styleId="Symbols">
    <w:name w:val="Symbols"/>
    <w:basedOn w:val="DefaultParagraphFont"/>
    <w:rsid w:val="004D4B3C"/>
    <w:rPr>
      <w:rFonts w:ascii="Symbol" w:hAnsi="Symbol"/>
    </w:rPr>
  </w:style>
  <w:style w:type="character" w:customStyle="1" w:styleId="MenuOptions">
    <w:name w:val="Menu Options"/>
    <w:basedOn w:val="DefaultParagraphFont"/>
    <w:rsid w:val="004D4B3C"/>
    <w:rPr>
      <w:rFonts w:ascii="Arial Narrow" w:hAnsi="Arial Narrow"/>
      <w:smallCaps/>
    </w:rPr>
  </w:style>
  <w:style w:type="character" w:customStyle="1" w:styleId="Buttons">
    <w:name w:val="Buttons"/>
    <w:basedOn w:val="DefaultParagraphFont"/>
    <w:rsid w:val="004D4B3C"/>
    <w:rPr>
      <w:b/>
    </w:rPr>
  </w:style>
  <w:style w:type="character" w:customStyle="1" w:styleId="Underlined">
    <w:name w:val="Underlined"/>
    <w:basedOn w:val="DefaultParagraphFont"/>
    <w:rsid w:val="004D4B3C"/>
    <w:rPr>
      <w:u w:val="single"/>
    </w:rPr>
  </w:style>
  <w:style w:type="paragraph" w:customStyle="1" w:styleId="TableBodyTextRight">
    <w:name w:val="Table Body Text Right"/>
    <w:basedOn w:val="TableBodyText"/>
    <w:rsid w:val="004D4B3C"/>
    <w:pPr>
      <w:widowControl w:val="0"/>
      <w:autoSpaceDE w:val="0"/>
      <w:autoSpaceDN w:val="0"/>
      <w:adjustRightInd w:val="0"/>
      <w:jc w:val="right"/>
    </w:pPr>
    <w:rPr>
      <w:rFonts w:cs="Arial"/>
      <w:szCs w:val="18"/>
    </w:rPr>
  </w:style>
  <w:style w:type="paragraph" w:customStyle="1" w:styleId="CopyrightText">
    <w:name w:val="Copyright Text"/>
    <w:basedOn w:val="BodyText"/>
    <w:rsid w:val="004D4B3C"/>
    <w:rPr>
      <w:sz w:val="18"/>
    </w:rPr>
  </w:style>
  <w:style w:type="paragraph" w:customStyle="1" w:styleId="BodySmallRight">
    <w:name w:val="Body Small Right"/>
    <w:basedOn w:val="BodyTextRight"/>
    <w:rsid w:val="004D4B3C"/>
    <w:rPr>
      <w:sz w:val="18"/>
      <w:szCs w:val="18"/>
    </w:rPr>
  </w:style>
  <w:style w:type="paragraph" w:customStyle="1" w:styleId="MarginEdition">
    <w:name w:val="Margin Edition"/>
    <w:basedOn w:val="MarginNote"/>
    <w:rsid w:val="004D4B3C"/>
    <w:pPr>
      <w:spacing w:before="0" w:after="0"/>
    </w:pPr>
    <w:rPr>
      <w:rFonts w:ascii="Times New Roman" w:hAnsi="Times New Roman"/>
      <w:color w:val="999999"/>
    </w:rPr>
  </w:style>
  <w:style w:type="paragraph" w:customStyle="1" w:styleId="Spacer">
    <w:name w:val="Spacer"/>
    <w:basedOn w:val="Normal"/>
    <w:rsid w:val="004D4B3C"/>
    <w:rPr>
      <w:sz w:val="2"/>
      <w:szCs w:val="2"/>
    </w:rPr>
  </w:style>
  <w:style w:type="character" w:customStyle="1" w:styleId="Small">
    <w:name w:val="Small"/>
    <w:basedOn w:val="DefaultParagraphFont"/>
    <w:rsid w:val="004D4B3C"/>
    <w:rPr>
      <w:sz w:val="16"/>
    </w:rPr>
  </w:style>
  <w:style w:type="paragraph" w:customStyle="1" w:styleId="WideTable">
    <w:name w:val="Wide Table"/>
    <w:basedOn w:val="Normal"/>
    <w:rsid w:val="004D4B3C"/>
    <w:pPr>
      <w:ind w:left="-1418"/>
    </w:pPr>
    <w:rPr>
      <w:sz w:val="2"/>
      <w:szCs w:val="2"/>
    </w:rPr>
  </w:style>
  <w:style w:type="character" w:styleId="PageNumber">
    <w:name w:val="page number"/>
    <w:basedOn w:val="DefaultParagraphFont"/>
    <w:rsid w:val="004D4B3C"/>
  </w:style>
  <w:style w:type="paragraph" w:styleId="Quote">
    <w:name w:val="Quote"/>
    <w:basedOn w:val="Heading1"/>
    <w:link w:val="QuoteChar"/>
    <w:qFormat/>
    <w:rsid w:val="004D4B3C"/>
    <w:rPr>
      <w:b w:val="0"/>
      <w:sz w:val="72"/>
      <w:szCs w:val="72"/>
      <w:lang w:val="en-NZ"/>
    </w:rPr>
  </w:style>
  <w:style w:type="character" w:customStyle="1" w:styleId="QuoteChar">
    <w:name w:val="Quote Char"/>
    <w:basedOn w:val="DefaultParagraphFont"/>
    <w:link w:val="Quote"/>
    <w:rsid w:val="004D4B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B3C"/>
    <w:pPr>
      <w:pageBreakBefore/>
    </w:pPr>
  </w:style>
  <w:style w:type="paragraph" w:customStyle="1" w:styleId="Border">
    <w:name w:val="Border"/>
    <w:basedOn w:val="Normal"/>
    <w:qFormat/>
    <w:rsid w:val="004D4B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B3C"/>
    <w:rPr>
      <w:b/>
      <w:bCs/>
      <w:i/>
      <w:iCs/>
      <w:color w:val="auto"/>
    </w:rPr>
  </w:style>
  <w:style w:type="paragraph" w:styleId="IntenseQuote">
    <w:name w:val="Intense Quote"/>
    <w:basedOn w:val="Normal"/>
    <w:next w:val="Normal"/>
    <w:link w:val="IntenseQuoteChar"/>
    <w:uiPriority w:val="30"/>
    <w:qFormat/>
    <w:rsid w:val="004D4B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B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B3C"/>
    <w:rPr>
      <w:smallCaps/>
      <w:color w:val="auto"/>
      <w:u w:val="single"/>
    </w:rPr>
  </w:style>
  <w:style w:type="character" w:styleId="IntenseReference">
    <w:name w:val="Intense Reference"/>
    <w:basedOn w:val="DefaultParagraphFont"/>
    <w:uiPriority w:val="32"/>
    <w:qFormat/>
    <w:rsid w:val="004D4B3C"/>
    <w:rPr>
      <w:b/>
      <w:bCs/>
      <w:smallCaps/>
      <w:color w:val="auto"/>
      <w:spacing w:val="5"/>
      <w:u w:val="single"/>
    </w:rPr>
  </w:style>
  <w:style w:type="paragraph" w:customStyle="1" w:styleId="2ColumnHeading">
    <w:name w:val="2Column Heading"/>
    <w:basedOn w:val="BodyText"/>
    <w:qFormat/>
    <w:rsid w:val="004D4B3C"/>
    <w:pPr>
      <w:spacing w:after="60"/>
      <w:ind w:left="-2268"/>
    </w:pPr>
    <w:rPr>
      <w:b/>
    </w:rPr>
  </w:style>
  <w:style w:type="paragraph" w:customStyle="1" w:styleId="Heading1TOC">
    <w:name w:val="Heading1 TOC"/>
    <w:basedOn w:val="Normal"/>
    <w:qFormat/>
    <w:rsid w:val="004D4B3C"/>
    <w:pPr>
      <w:spacing w:before="240" w:after="120"/>
    </w:pPr>
    <w:rPr>
      <w:rFonts w:ascii="Times New Roman" w:hAnsi="Times New Roman"/>
      <w:b/>
      <w:sz w:val="32"/>
    </w:rPr>
  </w:style>
  <w:style w:type="paragraph" w:customStyle="1" w:styleId="Heading2TOC">
    <w:name w:val="Heading2 TOC"/>
    <w:basedOn w:val="Normal"/>
    <w:qFormat/>
    <w:rsid w:val="004D4B3C"/>
    <w:pPr>
      <w:spacing w:before="240" w:after="60"/>
    </w:pPr>
    <w:rPr>
      <w:rFonts w:ascii="Times New Roman" w:hAnsi="Times New Roman"/>
      <w:b/>
      <w:sz w:val="28"/>
    </w:rPr>
  </w:style>
  <w:style w:type="character" w:customStyle="1" w:styleId="Underline">
    <w:name w:val="Underline"/>
    <w:basedOn w:val="DefaultParagraphFont"/>
    <w:qFormat/>
    <w:rsid w:val="004D4B3C"/>
    <w:rPr>
      <w:u w:val="single"/>
    </w:rPr>
  </w:style>
  <w:style w:type="character" w:customStyle="1" w:styleId="BoldandItalics">
    <w:name w:val="Bold and Italics"/>
    <w:qFormat/>
    <w:rsid w:val="004D4B3C"/>
    <w:rPr>
      <w:b/>
      <w:i/>
      <w:u w:val="none"/>
    </w:rPr>
  </w:style>
  <w:style w:type="paragraph" w:styleId="BalloonText">
    <w:name w:val="Balloon Text"/>
    <w:basedOn w:val="Normal"/>
    <w:link w:val="BalloonTextChar"/>
    <w:rsid w:val="004D4B3C"/>
    <w:rPr>
      <w:rFonts w:ascii="Tahoma" w:hAnsi="Tahoma" w:cs="Tahoma"/>
      <w:sz w:val="16"/>
      <w:szCs w:val="16"/>
    </w:rPr>
  </w:style>
  <w:style w:type="character" w:customStyle="1" w:styleId="BalloonTextChar">
    <w:name w:val="Balloon Text Char"/>
    <w:basedOn w:val="DefaultParagraphFont"/>
    <w:link w:val="BalloonText"/>
    <w:rsid w:val="004D4B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B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4B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B3C"/>
    <w:rPr>
      <w:b/>
      <w:color w:val="660033"/>
      <w:spacing w:val="0"/>
    </w:rPr>
  </w:style>
  <w:style w:type="paragraph" w:customStyle="1" w:styleId="Nameditemlist">
    <w:name w:val="Named item list"/>
    <w:basedOn w:val="BodyText"/>
    <w:qFormat/>
    <w:rsid w:val="004D4B3C"/>
    <w:pPr>
      <w:tabs>
        <w:tab w:val="left" w:pos="2835"/>
      </w:tabs>
      <w:ind w:left="2835" w:hanging="2835"/>
    </w:pPr>
  </w:style>
  <w:style w:type="paragraph" w:customStyle="1" w:styleId="BodyTextnopadding">
    <w:name w:val="Body Text no padding"/>
    <w:basedOn w:val="BodyText"/>
    <w:qFormat/>
    <w:rsid w:val="004D4B3C"/>
    <w:pPr>
      <w:spacing w:before="0" w:after="0"/>
    </w:pPr>
  </w:style>
  <w:style w:type="paragraph" w:customStyle="1" w:styleId="BodyTextBold">
    <w:name w:val="Body Text Bold"/>
    <w:basedOn w:val="BodyText"/>
    <w:qFormat/>
    <w:rsid w:val="004D4B3C"/>
    <w:rPr>
      <w:b/>
    </w:rPr>
  </w:style>
  <w:style w:type="character" w:styleId="Hyperlink">
    <w:name w:val="Hyperlink"/>
    <w:basedOn w:val="DefaultParagraphFont"/>
    <w:uiPriority w:val="99"/>
    <w:unhideWhenUsed/>
    <w:rsid w:val="00B504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4175</Characters>
  <Application>Microsoft Office Word</Application>
  <DocSecurity>0</DocSecurity>
  <Lines>173</Lines>
  <Paragraphs>81</Paragraphs>
  <ScaleCrop>false</ScaleCrop>
  <Company>Author-it Software Corporation Ltd.</Company>
  <LinksUpToDate>false</LinksUpToDate>
  <CharactersWithSpaces>4712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CPPSSI6036 Monitor engineering structures</dc:title>
  <dc:subject>Approved</dc:subject>
  <dc:creator>Artibus Innovation</dc:creator>
  <cp:keywords>Release: 1</cp:keywords>
  <dc:description>Review Date: 12 April 2008</dc:description>
  <cp:lastModifiedBy>HSD_TPCMSd.prod</cp:lastModifiedBy>
  <cp:revision>3</cp:revision>
  <dcterms:created xsi:type="dcterms:W3CDTF">2022-12-19T06:29:00Z</dcterms:created>
  <dcterms:modified xsi:type="dcterms:W3CDTF">2022-12-19T06:29:00Z</dcterms:modified>
</cp:coreProperties>
</file>