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F5E09" w:rsidP="004F5E09">
      <w:pPr>
        <w:pStyle w:val="Title"/>
      </w:pPr>
      <w:r>
        <w:fldChar w:fldCharType="begin"/>
      </w:r>
      <w:r>
        <w:instrText xml:space="preserve"> TITLE   \* MERGEFORMAT </w:instrText>
      </w:r>
      <w:r>
        <w:fldChar w:fldCharType="separate"/>
      </w:r>
      <w:r>
        <w:t>CPPSSI6036 Monitor engineering structures</w:t>
      </w:r>
      <w:r>
        <w:fldChar w:fldCharType="end"/>
      </w:r>
    </w:p>
    <w:p w:rsidR="004F5E09" w:rsidP="004F5E09">
      <w:pPr>
        <w:pStyle w:val="Version"/>
        <w:sectPr w:rsidSect="004D3A0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D3A06" w:rsidP="004D3A06">
      <w:pPr>
        <w:pStyle w:val="SuperHeading"/>
      </w:pPr>
      <w:r w:rsidRPr="004D3A06">
        <w:t>CPPSSI6036 Monitor engineering structures</w:t>
      </w:r>
    </w:p>
    <w:p w:rsidR="00000000" w:rsidRPr="004D3A06" w:rsidP="004D3A06">
      <w:pPr>
        <w:pStyle w:val="Heading1"/>
      </w:pPr>
      <w:bookmarkStart w:id="1" w:name="O_1149301"/>
      <w:bookmarkEnd w:id="1"/>
      <w:r w:rsidRPr="004D3A06">
        <w:t>Modification History</w:t>
      </w:r>
    </w:p>
    <w:tbl>
      <w:tblPr>
        <w:tblW w:w="0" w:type="auto"/>
        <w:tblLayout w:type="fixed"/>
        <w:tblCellMar>
          <w:left w:w="62" w:type="dxa"/>
          <w:right w:w="62" w:type="dxa"/>
        </w:tblCellMar>
        <w:tblLook w:val="0000"/>
      </w:tblPr>
      <w:tblGrid>
        <w:gridCol w:w="1128"/>
        <w:gridCol w:w="7944"/>
      </w:tblGrid>
      <w:tr w:rsidTr="004D3A06">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4D3A06">
            <w:pPr>
              <w:pStyle w:val="BodyText"/>
              <w:rPr>
                <w:lang w:val="en-NZ"/>
              </w:rPr>
            </w:pPr>
            <w:r w:rsidRPr="004D3A06">
              <w:t>Release 1</w:t>
            </w:r>
          </w:p>
        </w:tc>
        <w:tc>
          <w:tcPr>
            <w:tcW w:w="7944" w:type="dxa"/>
            <w:tcBorders>
              <w:top w:val="nil"/>
              <w:left w:val="nil"/>
              <w:bottom w:val="nil"/>
              <w:right w:val="nil"/>
            </w:tcBorders>
            <w:tcMar>
              <w:top w:w="0" w:type="dxa"/>
              <w:left w:w="62" w:type="dxa"/>
              <w:bottom w:w="0" w:type="dxa"/>
              <w:right w:w="62" w:type="dxa"/>
            </w:tcMar>
          </w:tcPr>
          <w:p w:rsidR="00000000" w:rsidRPr="004D3A06" w:rsidP="004D3A06">
            <w:pPr>
              <w:pStyle w:val="BodyText"/>
            </w:pPr>
            <w:r w:rsidRPr="004D3A06">
              <w:t>This version first released with CPP Property Services Training Package Release 12.0.</w:t>
            </w:r>
          </w:p>
          <w:p w:rsidR="00000000" w:rsidRPr="004D3A06" w:rsidP="004D3A06">
            <w:pPr>
              <w:pStyle w:val="BodyText"/>
            </w:pPr>
            <w:r w:rsidRPr="004D3A06">
              <w:t>This unit supersedes and is equivalent to CPPSIS6036 Monitor engineering structures.</w:t>
            </w:r>
          </w:p>
        </w:tc>
      </w:tr>
    </w:tbl>
    <w:p w:rsidR="00000000" w:rsidRPr="004D3A06" w:rsidP="004D3A06">
      <w:pPr>
        <w:pStyle w:val="BodyText"/>
      </w:pPr>
    </w:p>
    <w:p w:rsidR="00000000" w:rsidRPr="004D3A06" w:rsidP="004D3A06">
      <w:pPr>
        <w:pStyle w:val="AllowPageBreak"/>
      </w:pPr>
    </w:p>
    <w:p w:rsidR="00000000" w:rsidRPr="004D3A06" w:rsidP="004D3A06">
      <w:pPr>
        <w:pStyle w:val="Heading1"/>
      </w:pPr>
      <w:bookmarkStart w:id="2" w:name="O_1149307"/>
      <w:bookmarkEnd w:id="2"/>
      <w:r w:rsidRPr="004D3A06">
        <w:t>Application</w:t>
      </w:r>
    </w:p>
    <w:p w:rsidR="00000000" w:rsidRPr="004D3A06" w:rsidP="004F5E09">
      <w:pPr>
        <w:pStyle w:val="BodyText"/>
      </w:pPr>
      <w:r w:rsidRPr="004D3A06">
        <w:t>This unit specifies t</w:t>
      </w:r>
      <w:r w:rsidRPr="004D3A06">
        <w:t>he skills and knowledge required to monitor engineering structures using surveying methods. It includes analysing project specifications and design information to identify components to be measured and monitored, and planning monitoring activities. The uni</w:t>
      </w:r>
      <w:r w:rsidRPr="004D3A06">
        <w:t xml:space="preserve">t also includes implementing risk management and reviewing work outcomes against specifications. It also includes setting up and using surveying equipment to measure, record and reduce surveying data using spatial coordinate and reference systems. </w:t>
      </w:r>
    </w:p>
    <w:p w:rsidR="00000000" w:rsidRPr="004D3A06" w:rsidP="004F5E09">
      <w:pPr>
        <w:pStyle w:val="BodyText"/>
      </w:pPr>
      <w:r w:rsidRPr="004D3A06">
        <w:t>This un</w:t>
      </w:r>
      <w:r w:rsidRPr="004D3A06">
        <w:t>it is suitable for surveyors who use broad theoretical and technical knowledge to analyse information as well as interpret and provide solutions to unpredictable and sometimes complex surveying/spatial information problems. The unit supports those who work</w:t>
      </w:r>
      <w:r w:rsidRPr="004D3A06">
        <w:t xml:space="preserve"> in a technical management role in a surveying team.</w:t>
      </w:r>
    </w:p>
    <w:p w:rsidR="00000000" w:rsidRPr="004D3A06" w:rsidP="004F5E09">
      <w:pPr>
        <w:pStyle w:val="BodyText"/>
      </w:pPr>
      <w:r w:rsidRPr="004D3A06">
        <w:t>All work must be carried out to comply with workplace procedures, in accordance with relevant state/territory regulations that govern surveying work, as well as work health and safety (WHS) legislation a</w:t>
      </w:r>
      <w:r w:rsidRPr="004D3A06">
        <w:t>nd regulations that apply to the workplace.</w:t>
      </w:r>
    </w:p>
    <w:p w:rsidR="00000000" w:rsidRPr="004D3A06" w:rsidP="004F5E09">
      <w:pPr>
        <w:pStyle w:val="BodyText"/>
      </w:pPr>
      <w:r w:rsidRPr="004D3A06">
        <w:t xml:space="preserve">Cadastral surveying must be undertaken under the supervision of a registered surveyor. Users must check with the relevant regulatory state/territory authority before delivery. </w:t>
      </w:r>
    </w:p>
    <w:p w:rsidR="00000000" w:rsidRPr="004D3A06" w:rsidP="004F5E09">
      <w:pPr>
        <w:pStyle w:val="BodyText"/>
      </w:pPr>
      <w:r w:rsidRPr="004D3A06">
        <w:t>Licensing, legislative or certifica</w:t>
      </w:r>
      <w:r w:rsidRPr="004D3A06">
        <w:t>tion requirements apply to this unit in some states/territories where mining surveying must be undertaken under the supervision of a registered surveyor. Relevant state and territory regulatory authorities should be consulted to confirm those requirements.</w:t>
      </w:r>
    </w:p>
    <w:p w:rsidR="00000000" w:rsidRPr="004D3A06" w:rsidP="004D3A06">
      <w:pPr>
        <w:pStyle w:val="Heading1"/>
      </w:pPr>
      <w:bookmarkStart w:id="3" w:name="O_1149306"/>
      <w:bookmarkEnd w:id="3"/>
      <w:r w:rsidRPr="004D3A06">
        <w:t>Pre-requisite Unit</w:t>
      </w:r>
    </w:p>
    <w:p w:rsidR="00000000" w:rsidRPr="004D3A06" w:rsidP="004F5E09">
      <w:pPr>
        <w:pStyle w:val="BodyText"/>
      </w:pPr>
      <w:r w:rsidRPr="004D3A06">
        <w:t>Nil.</w:t>
      </w:r>
    </w:p>
    <w:p w:rsidR="00000000" w:rsidRPr="004D3A06" w:rsidP="004D3A06">
      <w:pPr>
        <w:pStyle w:val="Heading1"/>
      </w:pPr>
      <w:bookmarkStart w:id="4" w:name="O_1149305"/>
      <w:bookmarkEnd w:id="4"/>
      <w:r w:rsidRPr="004D3A06">
        <w:t>Unit Sector</w:t>
      </w:r>
    </w:p>
    <w:p w:rsidR="00000000" w:rsidRPr="004D3A06" w:rsidP="004F5E09">
      <w:pPr>
        <w:pStyle w:val="BodyText"/>
      </w:pPr>
      <w:r w:rsidRPr="004D3A06">
        <w:t>Surveying and Spatial Information Services</w:t>
      </w:r>
    </w:p>
    <w:p w:rsidR="00000000" w:rsidRPr="004D3A06" w:rsidP="004D3A06">
      <w:pPr>
        <w:pStyle w:val="Heading1"/>
      </w:pPr>
      <w:bookmarkStart w:id="5" w:name="O_1149304"/>
      <w:bookmarkEnd w:id="5"/>
      <w:r w:rsidRPr="004D3A06">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4D3A06">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4D3A06">
            <w:pPr>
              <w:pStyle w:val="BodyText"/>
              <w:rPr>
                <w:lang w:val="en-NZ"/>
              </w:rPr>
            </w:pPr>
            <w:r w:rsidRPr="004D3A06">
              <w:t xml:space="preserve">Elements describe the </w:t>
            </w:r>
            <w:r w:rsidRPr="004D3A06">
              <w:t>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4D3A06">
            <w:pPr>
              <w:pStyle w:val="BodyText"/>
              <w:rPr>
                <w:lang w:val="en-NZ"/>
              </w:rPr>
            </w:pPr>
            <w:r w:rsidRPr="004D3A06">
              <w:t xml:space="preserve">Performance criteria describe what needs to be done to </w:t>
            </w:r>
            <w:r w:rsidRPr="004D3A06">
              <w:t>demonstrate achievement of the element.</w:t>
            </w:r>
          </w:p>
        </w:tc>
      </w:tr>
      <w:tr w:rsidTr="004D3A06">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4D3A06">
            <w:pPr>
              <w:pStyle w:val="BodyText"/>
              <w:rPr>
                <w:lang w:val="en-NZ"/>
              </w:rPr>
            </w:pPr>
            <w:r w:rsidRPr="004D3A06">
              <w:t>1</w:t>
            </w:r>
          </w:p>
        </w:tc>
        <w:tc>
          <w:tcPr>
            <w:tcW w:w="2357" w:type="dxa"/>
            <w:vMerge w:val="restart"/>
            <w:tcBorders>
              <w:top w:val="nil"/>
              <w:left w:val="nil"/>
              <w:bottom w:val="nil"/>
              <w:right w:val="nil"/>
            </w:tcBorders>
            <w:tcMar>
              <w:top w:w="0" w:type="dxa"/>
              <w:left w:w="62" w:type="dxa"/>
              <w:bottom w:w="0" w:type="dxa"/>
              <w:right w:w="62" w:type="dxa"/>
            </w:tcMar>
          </w:tcPr>
          <w:p w:rsidR="00000000" w:rsidP="004D3A06">
            <w:pPr>
              <w:pStyle w:val="BodyText"/>
              <w:rPr>
                <w:lang w:val="en-NZ"/>
              </w:rPr>
            </w:pPr>
            <w:r w:rsidRPr="004D3A06">
              <w:t>Prepare to monitor engineering structure.</w:t>
            </w:r>
          </w:p>
        </w:tc>
        <w:tc>
          <w:tcPr>
            <w:tcW w:w="804" w:type="dxa"/>
            <w:tcBorders>
              <w:top w:val="nil"/>
              <w:left w:val="nil"/>
              <w:bottom w:val="nil"/>
              <w:right w:val="nil"/>
            </w:tcBorders>
            <w:tcMar>
              <w:top w:w="0" w:type="dxa"/>
              <w:left w:w="62" w:type="dxa"/>
              <w:bottom w:w="0" w:type="dxa"/>
              <w:right w:w="62" w:type="dxa"/>
            </w:tcMar>
          </w:tcPr>
          <w:p w:rsidR="00000000" w:rsidP="004D3A06">
            <w:pPr>
              <w:pStyle w:val="BodyText"/>
              <w:rPr>
                <w:lang w:val="en-NZ"/>
              </w:rPr>
            </w:pPr>
            <w:r w:rsidRPr="004D3A06">
              <w:t>1.1</w:t>
            </w:r>
          </w:p>
        </w:tc>
        <w:tc>
          <w:tcPr>
            <w:tcW w:w="5659" w:type="dxa"/>
            <w:tcBorders>
              <w:top w:val="nil"/>
              <w:left w:val="nil"/>
              <w:bottom w:val="nil"/>
              <w:right w:val="nil"/>
            </w:tcBorders>
            <w:tcMar>
              <w:top w:w="0" w:type="dxa"/>
              <w:left w:w="62" w:type="dxa"/>
              <w:bottom w:w="0" w:type="dxa"/>
              <w:right w:w="62" w:type="dxa"/>
            </w:tcMar>
          </w:tcPr>
          <w:p w:rsidR="00000000" w:rsidP="004D3A06">
            <w:pPr>
              <w:pStyle w:val="BodyText"/>
              <w:rPr>
                <w:lang w:val="en-NZ"/>
              </w:rPr>
            </w:pPr>
            <w:r w:rsidRPr="004D3A06">
              <w:t>Interpret project specifications and engineering design information to identify components to be measured and a</w:t>
            </w:r>
            <w:r w:rsidRPr="004D3A06">
              <w:t>ccuracy and precision tolerances to be applied in consultation with appropriate persons.</w:t>
            </w:r>
          </w:p>
        </w:tc>
      </w:tr>
      <w:tr w:rsidTr="004D3A0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D3A06">
            <w:pPr>
              <w:pStyle w:val="BodyText"/>
              <w:rPr>
                <w:lang w:val="en-NZ"/>
              </w:rPr>
            </w:pPr>
            <w:r w:rsidRPr="004D3A06">
              <w:t>1.2</w:t>
            </w:r>
          </w:p>
        </w:tc>
        <w:tc>
          <w:tcPr>
            <w:tcW w:w="5659" w:type="dxa"/>
            <w:tcBorders>
              <w:top w:val="nil"/>
              <w:left w:val="nil"/>
              <w:bottom w:val="nil"/>
              <w:right w:val="nil"/>
            </w:tcBorders>
            <w:tcMar>
              <w:top w:w="0" w:type="dxa"/>
              <w:left w:w="62" w:type="dxa"/>
              <w:bottom w:w="0" w:type="dxa"/>
              <w:right w:w="62" w:type="dxa"/>
            </w:tcMar>
          </w:tcPr>
          <w:p w:rsidR="00000000" w:rsidP="004D3A06">
            <w:pPr>
              <w:pStyle w:val="BodyText"/>
              <w:rPr>
                <w:lang w:val="en-NZ"/>
              </w:rPr>
            </w:pPr>
            <w:r w:rsidRPr="004D3A06">
              <w:t>Identify site hazards, assess risks and implement control measures according to legislative requirements for working safely.</w:t>
            </w:r>
          </w:p>
        </w:tc>
      </w:tr>
      <w:tr w:rsidTr="004D3A0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D3A06">
            <w:pPr>
              <w:pStyle w:val="BodyText"/>
              <w:rPr>
                <w:lang w:val="en-NZ"/>
              </w:rPr>
            </w:pPr>
            <w:r w:rsidRPr="004D3A06">
              <w:t>1.3</w:t>
            </w:r>
          </w:p>
        </w:tc>
        <w:tc>
          <w:tcPr>
            <w:tcW w:w="5659" w:type="dxa"/>
            <w:tcBorders>
              <w:top w:val="nil"/>
              <w:left w:val="nil"/>
              <w:bottom w:val="nil"/>
              <w:right w:val="nil"/>
            </w:tcBorders>
            <w:tcMar>
              <w:top w:w="0" w:type="dxa"/>
              <w:left w:w="62" w:type="dxa"/>
              <w:bottom w:w="0" w:type="dxa"/>
              <w:right w:w="62" w:type="dxa"/>
            </w:tcMar>
          </w:tcPr>
          <w:p w:rsidR="00000000" w:rsidP="004D3A06">
            <w:pPr>
              <w:pStyle w:val="BodyText"/>
              <w:rPr>
                <w:lang w:val="en-NZ"/>
              </w:rPr>
            </w:pPr>
            <w:r w:rsidRPr="004D3A06">
              <w:t xml:space="preserve">Identify any special equipment and resource requirements according to project specifications and operating environment. </w:t>
            </w:r>
          </w:p>
        </w:tc>
      </w:tr>
      <w:tr w:rsidTr="004D3A0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D3A06">
            <w:pPr>
              <w:pStyle w:val="BodyText"/>
              <w:rPr>
                <w:lang w:val="en-NZ"/>
              </w:rPr>
            </w:pPr>
            <w:r w:rsidRPr="004D3A06">
              <w:t>1.4</w:t>
            </w:r>
          </w:p>
        </w:tc>
        <w:tc>
          <w:tcPr>
            <w:tcW w:w="5659" w:type="dxa"/>
            <w:tcBorders>
              <w:top w:val="nil"/>
              <w:left w:val="nil"/>
              <w:bottom w:val="nil"/>
              <w:right w:val="nil"/>
            </w:tcBorders>
            <w:tcMar>
              <w:top w:w="0" w:type="dxa"/>
              <w:left w:w="62" w:type="dxa"/>
              <w:bottom w:w="0" w:type="dxa"/>
              <w:right w:w="62" w:type="dxa"/>
            </w:tcMar>
          </w:tcPr>
          <w:p w:rsidR="00000000" w:rsidP="004D3A06">
            <w:pPr>
              <w:pStyle w:val="BodyText"/>
              <w:rPr>
                <w:lang w:val="en-NZ"/>
              </w:rPr>
            </w:pPr>
            <w:r w:rsidRPr="004D3A06">
              <w:t>Select and check data collection equipment is functioning correctly.</w:t>
            </w:r>
          </w:p>
        </w:tc>
      </w:tr>
      <w:tr w:rsidTr="004D3A0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D3A06">
            <w:pPr>
              <w:pStyle w:val="BodyText"/>
              <w:rPr>
                <w:lang w:val="en-NZ"/>
              </w:rPr>
            </w:pPr>
            <w:r w:rsidRPr="004D3A06">
              <w:t>1.5</w:t>
            </w:r>
          </w:p>
        </w:tc>
        <w:tc>
          <w:tcPr>
            <w:tcW w:w="5659" w:type="dxa"/>
            <w:tcBorders>
              <w:top w:val="nil"/>
              <w:left w:val="nil"/>
              <w:bottom w:val="nil"/>
              <w:right w:val="nil"/>
            </w:tcBorders>
            <w:tcMar>
              <w:top w:w="0" w:type="dxa"/>
              <w:left w:w="62" w:type="dxa"/>
              <w:bottom w:w="0" w:type="dxa"/>
              <w:right w:w="62" w:type="dxa"/>
            </w:tcMar>
          </w:tcPr>
          <w:p w:rsidR="00000000" w:rsidP="004D3A06">
            <w:pPr>
              <w:pStyle w:val="BodyText"/>
              <w:rPr>
                <w:lang w:val="en-NZ"/>
              </w:rPr>
            </w:pPr>
            <w:r w:rsidRPr="004D3A06">
              <w:t>Designate organisation of project resources, equipme</w:t>
            </w:r>
            <w:r w:rsidRPr="004D3A06">
              <w:t>nt, materials and transport to appropriate persons.</w:t>
            </w:r>
          </w:p>
        </w:tc>
      </w:tr>
      <w:tr w:rsidTr="004D3A06">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4D3A06">
            <w:pPr>
              <w:pStyle w:val="BodyText"/>
              <w:rPr>
                <w:lang w:val="en-NZ"/>
              </w:rPr>
            </w:pPr>
          </w:p>
        </w:tc>
      </w:tr>
      <w:tr w:rsidTr="004D3A06">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4D3A06">
            <w:pPr>
              <w:pStyle w:val="BodyText"/>
              <w:rPr>
                <w:lang w:val="en-NZ"/>
              </w:rPr>
            </w:pPr>
            <w:r w:rsidRPr="004D3A06">
              <w:t>2</w:t>
            </w:r>
          </w:p>
        </w:tc>
        <w:tc>
          <w:tcPr>
            <w:tcW w:w="2357" w:type="dxa"/>
            <w:vMerge w:val="restart"/>
            <w:tcBorders>
              <w:top w:val="nil"/>
              <w:left w:val="nil"/>
              <w:bottom w:val="nil"/>
              <w:right w:val="nil"/>
            </w:tcBorders>
            <w:tcMar>
              <w:top w:w="0" w:type="dxa"/>
              <w:left w:w="62" w:type="dxa"/>
              <w:bottom w:w="0" w:type="dxa"/>
              <w:right w:w="62" w:type="dxa"/>
            </w:tcMar>
          </w:tcPr>
          <w:p w:rsidR="00000000" w:rsidP="004D3A06">
            <w:pPr>
              <w:pStyle w:val="BodyText"/>
              <w:rPr>
                <w:lang w:val="en-NZ"/>
              </w:rPr>
            </w:pPr>
            <w:r w:rsidRPr="004D3A06">
              <w:t>Develop project plan to monitor engineering structure.</w:t>
            </w:r>
          </w:p>
        </w:tc>
        <w:tc>
          <w:tcPr>
            <w:tcW w:w="804" w:type="dxa"/>
            <w:tcBorders>
              <w:top w:val="nil"/>
              <w:left w:val="nil"/>
              <w:bottom w:val="nil"/>
              <w:right w:val="nil"/>
            </w:tcBorders>
            <w:tcMar>
              <w:top w:w="0" w:type="dxa"/>
              <w:left w:w="62" w:type="dxa"/>
              <w:bottom w:w="0" w:type="dxa"/>
              <w:right w:w="62" w:type="dxa"/>
            </w:tcMar>
          </w:tcPr>
          <w:p w:rsidR="00000000" w:rsidP="004D3A06">
            <w:pPr>
              <w:pStyle w:val="BodyText"/>
              <w:rPr>
                <w:lang w:val="en-NZ"/>
              </w:rPr>
            </w:pPr>
            <w:r w:rsidRPr="004D3A06">
              <w:t>2.1</w:t>
            </w:r>
          </w:p>
        </w:tc>
        <w:tc>
          <w:tcPr>
            <w:tcW w:w="5659" w:type="dxa"/>
            <w:tcBorders>
              <w:top w:val="nil"/>
              <w:left w:val="nil"/>
              <w:bottom w:val="nil"/>
              <w:right w:val="nil"/>
            </w:tcBorders>
            <w:tcMar>
              <w:top w:w="0" w:type="dxa"/>
              <w:left w:w="62" w:type="dxa"/>
              <w:bottom w:w="0" w:type="dxa"/>
              <w:right w:w="62" w:type="dxa"/>
            </w:tcMar>
          </w:tcPr>
          <w:p w:rsidR="00000000" w:rsidP="004D3A06">
            <w:pPr>
              <w:pStyle w:val="BodyText"/>
              <w:rPr>
                <w:lang w:val="en-NZ"/>
              </w:rPr>
            </w:pPr>
            <w:r w:rsidRPr="004D3A06">
              <w:t>Document project deliverables, principal work activities, resources required and any constraints according to project specifications.</w:t>
            </w:r>
          </w:p>
        </w:tc>
      </w:tr>
      <w:tr w:rsidTr="004D3A0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D3A06">
            <w:pPr>
              <w:pStyle w:val="BodyText"/>
              <w:rPr>
                <w:lang w:val="en-NZ"/>
              </w:rPr>
            </w:pPr>
            <w:r w:rsidRPr="004D3A06">
              <w:t>2.2</w:t>
            </w:r>
          </w:p>
        </w:tc>
        <w:tc>
          <w:tcPr>
            <w:tcW w:w="5659" w:type="dxa"/>
            <w:tcBorders>
              <w:top w:val="nil"/>
              <w:left w:val="nil"/>
              <w:bottom w:val="nil"/>
              <w:right w:val="nil"/>
            </w:tcBorders>
            <w:tcMar>
              <w:top w:w="0" w:type="dxa"/>
              <w:left w:w="62" w:type="dxa"/>
              <w:bottom w:w="0" w:type="dxa"/>
              <w:right w:w="62" w:type="dxa"/>
            </w:tcMar>
          </w:tcPr>
          <w:p w:rsidR="00000000" w:rsidP="004D3A06">
            <w:pPr>
              <w:pStyle w:val="BodyText"/>
              <w:rPr>
                <w:lang w:val="en-NZ"/>
              </w:rPr>
            </w:pPr>
            <w:r w:rsidRPr="004D3A06">
              <w:t>Document hazards, risks and control measures in project plan.</w:t>
            </w:r>
          </w:p>
        </w:tc>
      </w:tr>
      <w:tr w:rsidTr="004D3A0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D3A06">
            <w:pPr>
              <w:pStyle w:val="BodyText"/>
              <w:rPr>
                <w:lang w:val="en-NZ"/>
              </w:rPr>
            </w:pPr>
            <w:r w:rsidRPr="004D3A06">
              <w:t>2.3</w:t>
            </w:r>
          </w:p>
        </w:tc>
        <w:tc>
          <w:tcPr>
            <w:tcW w:w="5659" w:type="dxa"/>
            <w:tcBorders>
              <w:top w:val="nil"/>
              <w:left w:val="nil"/>
              <w:bottom w:val="nil"/>
              <w:right w:val="nil"/>
            </w:tcBorders>
            <w:tcMar>
              <w:top w:w="0" w:type="dxa"/>
              <w:left w:w="62" w:type="dxa"/>
              <w:bottom w:w="0" w:type="dxa"/>
              <w:right w:w="62" w:type="dxa"/>
            </w:tcMar>
          </w:tcPr>
          <w:p w:rsidR="00000000" w:rsidP="004D3A06">
            <w:pPr>
              <w:pStyle w:val="BodyText"/>
              <w:rPr>
                <w:lang w:val="en-NZ"/>
              </w:rPr>
            </w:pPr>
            <w:r w:rsidRPr="004D3A06">
              <w:t>Specify validation processes to verify integrity of required spatial data in project plan.</w:t>
            </w:r>
          </w:p>
        </w:tc>
      </w:tr>
      <w:tr w:rsidTr="004D3A0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D3A06">
            <w:pPr>
              <w:pStyle w:val="BodyText"/>
              <w:rPr>
                <w:lang w:val="en-NZ"/>
              </w:rPr>
            </w:pPr>
            <w:r w:rsidRPr="004D3A06">
              <w:t>2.4</w:t>
            </w:r>
          </w:p>
        </w:tc>
        <w:tc>
          <w:tcPr>
            <w:tcW w:w="5659" w:type="dxa"/>
            <w:tcBorders>
              <w:top w:val="nil"/>
              <w:left w:val="nil"/>
              <w:bottom w:val="nil"/>
              <w:right w:val="nil"/>
            </w:tcBorders>
            <w:tcMar>
              <w:top w:w="0" w:type="dxa"/>
              <w:left w:w="62" w:type="dxa"/>
              <w:bottom w:w="0" w:type="dxa"/>
              <w:right w:w="62" w:type="dxa"/>
            </w:tcMar>
          </w:tcPr>
          <w:p w:rsidR="00000000" w:rsidP="004D3A06">
            <w:pPr>
              <w:pStyle w:val="BodyText"/>
              <w:rPr>
                <w:lang w:val="en-NZ"/>
              </w:rPr>
            </w:pPr>
            <w:r w:rsidRPr="004D3A06">
              <w:t>Allocate work responsibilities and implement supervisory processes, checks and measures.</w:t>
            </w:r>
          </w:p>
        </w:tc>
      </w:tr>
      <w:tr w:rsidTr="004D3A06">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4D3A06">
            <w:pPr>
              <w:pStyle w:val="BodyText"/>
              <w:rPr>
                <w:lang w:val="en-NZ"/>
              </w:rPr>
            </w:pPr>
          </w:p>
        </w:tc>
      </w:tr>
      <w:tr w:rsidTr="004D3A06">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4D3A06">
            <w:pPr>
              <w:pStyle w:val="BodyText"/>
              <w:rPr>
                <w:lang w:val="en-NZ"/>
              </w:rPr>
            </w:pPr>
            <w:r w:rsidRPr="004D3A06">
              <w:t>3</w:t>
            </w:r>
          </w:p>
        </w:tc>
        <w:tc>
          <w:tcPr>
            <w:tcW w:w="2357" w:type="dxa"/>
            <w:vMerge w:val="restart"/>
            <w:tcBorders>
              <w:top w:val="nil"/>
              <w:left w:val="nil"/>
              <w:bottom w:val="nil"/>
              <w:right w:val="nil"/>
            </w:tcBorders>
            <w:tcMar>
              <w:top w:w="0" w:type="dxa"/>
              <w:left w:w="62" w:type="dxa"/>
              <w:bottom w:w="0" w:type="dxa"/>
              <w:right w:w="62" w:type="dxa"/>
            </w:tcMar>
          </w:tcPr>
          <w:p w:rsidR="00000000" w:rsidP="004D3A06">
            <w:pPr>
              <w:pStyle w:val="BodyText"/>
              <w:rPr>
                <w:lang w:val="en-NZ"/>
              </w:rPr>
            </w:pPr>
            <w:r w:rsidRPr="004D3A06">
              <w:t>Implement monitoring tasks.</w:t>
            </w:r>
          </w:p>
        </w:tc>
        <w:tc>
          <w:tcPr>
            <w:tcW w:w="804" w:type="dxa"/>
            <w:tcBorders>
              <w:top w:val="nil"/>
              <w:left w:val="nil"/>
              <w:bottom w:val="nil"/>
              <w:right w:val="nil"/>
            </w:tcBorders>
            <w:tcMar>
              <w:top w:w="0" w:type="dxa"/>
              <w:left w:w="62" w:type="dxa"/>
              <w:bottom w:w="0" w:type="dxa"/>
              <w:right w:w="62" w:type="dxa"/>
            </w:tcMar>
          </w:tcPr>
          <w:p w:rsidR="00000000" w:rsidP="004D3A06">
            <w:pPr>
              <w:pStyle w:val="BodyText"/>
              <w:rPr>
                <w:lang w:val="en-NZ"/>
              </w:rPr>
            </w:pPr>
            <w:r w:rsidRPr="004D3A06">
              <w:t>3.1</w:t>
            </w:r>
          </w:p>
        </w:tc>
        <w:tc>
          <w:tcPr>
            <w:tcW w:w="5659" w:type="dxa"/>
            <w:tcBorders>
              <w:top w:val="nil"/>
              <w:left w:val="nil"/>
              <w:bottom w:val="nil"/>
              <w:right w:val="nil"/>
            </w:tcBorders>
            <w:tcMar>
              <w:top w:w="0" w:type="dxa"/>
              <w:left w:w="62" w:type="dxa"/>
              <w:bottom w:w="0" w:type="dxa"/>
              <w:right w:w="62" w:type="dxa"/>
            </w:tcMar>
          </w:tcPr>
          <w:p w:rsidR="00000000" w:rsidP="004D3A06">
            <w:pPr>
              <w:pStyle w:val="BodyText"/>
              <w:rPr>
                <w:lang w:val="en-NZ"/>
              </w:rPr>
            </w:pPr>
            <w:r w:rsidRPr="004D3A06">
              <w:t>Control hazards and manage risks associated with monitoring activities to comply with legislative requirements.</w:t>
            </w:r>
          </w:p>
        </w:tc>
      </w:tr>
      <w:tr w:rsidTr="004D3A0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D3A06">
            <w:pPr>
              <w:pStyle w:val="BodyText"/>
              <w:rPr>
                <w:lang w:val="en-NZ"/>
              </w:rPr>
            </w:pPr>
            <w:r w:rsidRPr="004D3A06">
              <w:t>3.2</w:t>
            </w:r>
          </w:p>
        </w:tc>
        <w:tc>
          <w:tcPr>
            <w:tcW w:w="5659" w:type="dxa"/>
            <w:tcBorders>
              <w:top w:val="nil"/>
              <w:left w:val="nil"/>
              <w:bottom w:val="nil"/>
              <w:right w:val="nil"/>
            </w:tcBorders>
            <w:tcMar>
              <w:top w:w="0" w:type="dxa"/>
              <w:left w:w="62" w:type="dxa"/>
              <w:bottom w:w="0" w:type="dxa"/>
              <w:right w:w="62" w:type="dxa"/>
            </w:tcMar>
          </w:tcPr>
          <w:p w:rsidR="00000000" w:rsidP="004D3A06">
            <w:pPr>
              <w:pStyle w:val="BodyText"/>
              <w:rPr>
                <w:lang w:val="en-NZ"/>
              </w:rPr>
            </w:pPr>
            <w:r w:rsidRPr="004D3A06">
              <w:t>Apply industry-accepted standards for using surveying equipment and performing surveying measurements and computations.</w:t>
            </w:r>
          </w:p>
        </w:tc>
      </w:tr>
      <w:tr w:rsidTr="004D3A0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D3A06">
            <w:pPr>
              <w:pStyle w:val="BodyText"/>
              <w:rPr>
                <w:lang w:val="en-NZ"/>
              </w:rPr>
            </w:pPr>
            <w:r w:rsidRPr="004D3A06">
              <w:t>3.3</w:t>
            </w:r>
          </w:p>
        </w:tc>
        <w:tc>
          <w:tcPr>
            <w:tcW w:w="5659" w:type="dxa"/>
            <w:tcBorders>
              <w:top w:val="nil"/>
              <w:left w:val="nil"/>
              <w:bottom w:val="nil"/>
              <w:right w:val="nil"/>
            </w:tcBorders>
            <w:tcMar>
              <w:top w:w="0" w:type="dxa"/>
              <w:left w:w="62" w:type="dxa"/>
              <w:bottom w:w="0" w:type="dxa"/>
              <w:right w:w="62" w:type="dxa"/>
            </w:tcMar>
          </w:tcPr>
          <w:p w:rsidR="00000000" w:rsidP="004D3A06">
            <w:pPr>
              <w:pStyle w:val="BodyText"/>
              <w:rPr>
                <w:lang w:val="en-NZ"/>
              </w:rPr>
            </w:pPr>
            <w:r w:rsidRPr="004D3A06">
              <w:t xml:space="preserve">Reduce measured spatial data to project spatial reference </w:t>
            </w:r>
            <w:r w:rsidRPr="004D3A06">
              <w:t>system for comparison with design.</w:t>
            </w:r>
          </w:p>
        </w:tc>
      </w:tr>
      <w:tr w:rsidTr="004D3A0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D3A06">
            <w:pPr>
              <w:pStyle w:val="BodyText"/>
              <w:rPr>
                <w:lang w:val="en-NZ"/>
              </w:rPr>
            </w:pPr>
            <w:r w:rsidRPr="004D3A06">
              <w:t>3.4</w:t>
            </w:r>
          </w:p>
        </w:tc>
        <w:tc>
          <w:tcPr>
            <w:tcW w:w="5659" w:type="dxa"/>
            <w:tcBorders>
              <w:top w:val="nil"/>
              <w:left w:val="nil"/>
              <w:bottom w:val="nil"/>
              <w:right w:val="nil"/>
            </w:tcBorders>
            <w:tcMar>
              <w:top w:w="0" w:type="dxa"/>
              <w:left w:w="62" w:type="dxa"/>
              <w:bottom w:w="0" w:type="dxa"/>
              <w:right w:w="62" w:type="dxa"/>
            </w:tcMar>
          </w:tcPr>
          <w:p w:rsidR="00000000" w:rsidP="004D3A06">
            <w:pPr>
              <w:pStyle w:val="BodyText"/>
              <w:rPr>
                <w:lang w:val="en-NZ"/>
              </w:rPr>
            </w:pPr>
            <w:r w:rsidRPr="004D3A06">
              <w:t xml:space="preserve">Validate, record and process measurements according to industry-accepted standards. </w:t>
            </w:r>
          </w:p>
        </w:tc>
      </w:tr>
      <w:tr w:rsidTr="004D3A0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D3A06">
            <w:pPr>
              <w:pStyle w:val="BodyText"/>
              <w:rPr>
                <w:lang w:val="en-NZ"/>
              </w:rPr>
            </w:pPr>
            <w:r w:rsidRPr="004D3A06">
              <w:t>3.5</w:t>
            </w:r>
          </w:p>
        </w:tc>
        <w:tc>
          <w:tcPr>
            <w:tcW w:w="5659" w:type="dxa"/>
            <w:tcBorders>
              <w:top w:val="nil"/>
              <w:left w:val="nil"/>
              <w:bottom w:val="nil"/>
              <w:right w:val="nil"/>
            </w:tcBorders>
            <w:tcMar>
              <w:top w:w="0" w:type="dxa"/>
              <w:left w:w="62" w:type="dxa"/>
              <w:bottom w:w="0" w:type="dxa"/>
              <w:right w:w="62" w:type="dxa"/>
            </w:tcMar>
          </w:tcPr>
          <w:p w:rsidR="00000000" w:rsidP="004D3A06">
            <w:pPr>
              <w:pStyle w:val="BodyText"/>
              <w:rPr>
                <w:lang w:val="en-NZ"/>
              </w:rPr>
            </w:pPr>
            <w:r w:rsidRPr="004D3A06">
              <w:t>Identify and resolve non-conformities between engineering structure and project specifications and manage contingencies according to organisational requirements.</w:t>
            </w:r>
          </w:p>
        </w:tc>
      </w:tr>
      <w:tr w:rsidTr="004D3A06">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4D3A06">
            <w:pPr>
              <w:pStyle w:val="BodyText"/>
              <w:rPr>
                <w:lang w:val="en-NZ"/>
              </w:rPr>
            </w:pPr>
          </w:p>
        </w:tc>
      </w:tr>
      <w:tr w:rsidTr="004D3A06">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4D3A06">
            <w:pPr>
              <w:pStyle w:val="BodyText"/>
              <w:rPr>
                <w:lang w:val="en-NZ"/>
              </w:rPr>
            </w:pPr>
            <w:r w:rsidRPr="004D3A06">
              <w:t>4</w:t>
            </w:r>
          </w:p>
        </w:tc>
        <w:tc>
          <w:tcPr>
            <w:tcW w:w="2357" w:type="dxa"/>
            <w:vMerge w:val="restart"/>
            <w:tcBorders>
              <w:top w:val="nil"/>
              <w:left w:val="nil"/>
              <w:bottom w:val="nil"/>
              <w:right w:val="nil"/>
            </w:tcBorders>
            <w:tcMar>
              <w:top w:w="0" w:type="dxa"/>
              <w:left w:w="62" w:type="dxa"/>
              <w:bottom w:w="0" w:type="dxa"/>
              <w:right w:w="62" w:type="dxa"/>
            </w:tcMar>
          </w:tcPr>
          <w:p w:rsidR="00000000" w:rsidP="004D3A06">
            <w:pPr>
              <w:pStyle w:val="BodyText"/>
              <w:rPr>
                <w:lang w:val="en-NZ"/>
              </w:rPr>
            </w:pPr>
            <w:r w:rsidRPr="004D3A06">
              <w:t>Finalise and report monitoring results.</w:t>
            </w:r>
          </w:p>
        </w:tc>
        <w:tc>
          <w:tcPr>
            <w:tcW w:w="804" w:type="dxa"/>
            <w:tcBorders>
              <w:top w:val="nil"/>
              <w:left w:val="nil"/>
              <w:bottom w:val="nil"/>
              <w:right w:val="nil"/>
            </w:tcBorders>
            <w:tcMar>
              <w:top w:w="0" w:type="dxa"/>
              <w:left w:w="62" w:type="dxa"/>
              <w:bottom w:w="0" w:type="dxa"/>
              <w:right w:w="62" w:type="dxa"/>
            </w:tcMar>
          </w:tcPr>
          <w:p w:rsidR="00000000" w:rsidP="004D3A06">
            <w:pPr>
              <w:pStyle w:val="BodyText"/>
              <w:rPr>
                <w:lang w:val="en-NZ"/>
              </w:rPr>
            </w:pPr>
            <w:r w:rsidRPr="004D3A06">
              <w:t>4.1</w:t>
            </w:r>
          </w:p>
        </w:tc>
        <w:tc>
          <w:tcPr>
            <w:tcW w:w="5659" w:type="dxa"/>
            <w:tcBorders>
              <w:top w:val="nil"/>
              <w:left w:val="nil"/>
              <w:bottom w:val="nil"/>
              <w:right w:val="nil"/>
            </w:tcBorders>
            <w:tcMar>
              <w:top w:w="0" w:type="dxa"/>
              <w:left w:w="62" w:type="dxa"/>
              <w:bottom w:w="0" w:type="dxa"/>
              <w:right w:w="62" w:type="dxa"/>
            </w:tcMar>
          </w:tcPr>
          <w:p w:rsidR="00000000" w:rsidP="004D3A06">
            <w:pPr>
              <w:pStyle w:val="BodyText"/>
              <w:rPr>
                <w:lang w:val="en-NZ"/>
              </w:rPr>
            </w:pPr>
            <w:r w:rsidRPr="004D3A06">
              <w:t>Compile monitoring results and review against project specifications.</w:t>
            </w:r>
          </w:p>
        </w:tc>
      </w:tr>
      <w:tr w:rsidTr="004D3A0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D3A06">
            <w:pPr>
              <w:pStyle w:val="BodyText"/>
              <w:rPr>
                <w:lang w:val="en-NZ"/>
              </w:rPr>
            </w:pPr>
            <w:r w:rsidRPr="004D3A06">
              <w:t>4.2</w:t>
            </w:r>
          </w:p>
        </w:tc>
        <w:tc>
          <w:tcPr>
            <w:tcW w:w="5659" w:type="dxa"/>
            <w:tcBorders>
              <w:top w:val="nil"/>
              <w:left w:val="nil"/>
              <w:bottom w:val="nil"/>
              <w:right w:val="nil"/>
            </w:tcBorders>
            <w:tcMar>
              <w:top w:w="0" w:type="dxa"/>
              <w:left w:w="62" w:type="dxa"/>
              <w:bottom w:w="0" w:type="dxa"/>
              <w:right w:w="62" w:type="dxa"/>
            </w:tcMar>
          </w:tcPr>
          <w:p w:rsidR="00000000" w:rsidP="004D3A06">
            <w:pPr>
              <w:pStyle w:val="BodyText"/>
              <w:rPr>
                <w:lang w:val="en-NZ"/>
              </w:rPr>
            </w:pPr>
            <w:r w:rsidRPr="004D3A06">
              <w:t xml:space="preserve">Report findings to appropriate persons according to organisational requirements. </w:t>
            </w:r>
          </w:p>
        </w:tc>
      </w:tr>
      <w:tr w:rsidTr="004D3A0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D3A06">
            <w:pPr>
              <w:pStyle w:val="BodyText"/>
              <w:rPr>
                <w:lang w:val="en-NZ"/>
              </w:rPr>
            </w:pPr>
            <w:r w:rsidRPr="004D3A06">
              <w:t>4.3</w:t>
            </w:r>
          </w:p>
        </w:tc>
        <w:tc>
          <w:tcPr>
            <w:tcW w:w="5659" w:type="dxa"/>
            <w:tcBorders>
              <w:top w:val="nil"/>
              <w:left w:val="nil"/>
              <w:bottom w:val="nil"/>
              <w:right w:val="nil"/>
            </w:tcBorders>
            <w:tcMar>
              <w:top w:w="0" w:type="dxa"/>
              <w:left w:w="62" w:type="dxa"/>
              <w:bottom w:w="0" w:type="dxa"/>
              <w:right w:w="62" w:type="dxa"/>
            </w:tcMar>
          </w:tcPr>
          <w:p w:rsidR="00000000" w:rsidRPr="004D3A06" w:rsidP="004D3A06">
            <w:pPr>
              <w:pStyle w:val="BodyText"/>
            </w:pPr>
            <w:r w:rsidRPr="004D3A06">
              <w:t>Complete documentation and store spatial data according to organisational requirements.</w:t>
            </w:r>
          </w:p>
        </w:tc>
      </w:tr>
    </w:tbl>
    <w:p w:rsidR="00000000" w:rsidRPr="004D3A06" w:rsidP="004D3A06">
      <w:pPr>
        <w:pStyle w:val="BodyText"/>
      </w:pPr>
    </w:p>
    <w:p w:rsidR="00000000" w:rsidRPr="004D3A06" w:rsidP="004D3A06">
      <w:pPr>
        <w:pStyle w:val="AllowPageBreak"/>
      </w:pPr>
    </w:p>
    <w:p w:rsidR="00000000" w:rsidRPr="004D3A06" w:rsidP="004D3A06">
      <w:pPr>
        <w:pStyle w:val="Heading1"/>
      </w:pPr>
      <w:bookmarkStart w:id="6" w:name="O_1149303"/>
      <w:bookmarkEnd w:id="6"/>
      <w:r w:rsidRPr="004D3A06">
        <w:t>Foundation Skills</w:t>
      </w:r>
    </w:p>
    <w:p w:rsidR="00000000" w:rsidRPr="004D3A06" w:rsidP="004F5E09">
      <w:pPr>
        <w:pStyle w:val="BodyText"/>
      </w:pPr>
      <w:r w:rsidRPr="004D3A06">
        <w:t>Foundation skills essential to performance are explicit in the performance criteria of this unit of competency.</w:t>
      </w:r>
    </w:p>
    <w:p w:rsidR="00000000" w:rsidRPr="004D3A06" w:rsidP="004D3A06">
      <w:pPr>
        <w:pStyle w:val="Heading1"/>
      </w:pPr>
      <w:bookmarkStart w:id="7" w:name="O_1149302"/>
      <w:bookmarkEnd w:id="7"/>
      <w:r w:rsidRPr="004D3A06">
        <w:t>Unit Mapping Information</w:t>
      </w:r>
    </w:p>
    <w:p w:rsidR="00000000" w:rsidRPr="004D3A06" w:rsidP="004F5E09">
      <w:pPr>
        <w:pStyle w:val="BodyText"/>
      </w:pPr>
      <w:r w:rsidRPr="004D3A06">
        <w:t>Supersedes and is equivalent to CPPSIS6036 Monitor engineering structures.</w:t>
      </w:r>
    </w:p>
    <w:p w:rsidR="00000000" w:rsidRPr="004D3A06" w:rsidP="004D3A06">
      <w:pPr>
        <w:pStyle w:val="Heading1"/>
      </w:pPr>
      <w:bookmarkStart w:id="8" w:name="O_1149295"/>
      <w:bookmarkEnd w:id="8"/>
      <w:r w:rsidRPr="004D3A06">
        <w:t>Links</w:t>
      </w:r>
    </w:p>
    <w:p w:rsidR="00000000" w:rsidRPr="004D3A06" w:rsidP="004F5E09">
      <w:pPr>
        <w:pStyle w:val="BodyText"/>
      </w:pPr>
      <w:r w:rsidRPr="004D3A06">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C53C44">
        <w:rPr>
          <w:rStyle w:val="Hyperlink"/>
        </w:rPr>
        <w:t>https://vetnet.gov.au/Pages/TrainingDocs.aspx?q=6f3f9672-30e8-4835-b348-205dfcf13d9b</w:t>
      </w:r>
      <w:r>
        <w:fldChar w:fldCharType="end"/>
      </w:r>
    </w:p>
    <w:p w:rsidR="00000000" w:rsidRPr="004D3A06" w:rsidP="004F5E09">
      <w:pPr>
        <w:pStyle w:val="BodyText"/>
        <w:sectPr w:rsidSect="004D3A06">
          <w:headerReference w:type="default" r:id="rId10"/>
          <w:footerReference w:type="default" r:id="rId11"/>
          <w:pgSz w:w="11908" w:h="16833"/>
          <w:pgMar w:top="1702" w:right="1418" w:bottom="1702" w:left="1418" w:header="992" w:footer="992" w:gutter="0"/>
          <w:cols w:space="720"/>
          <w:noEndnote/>
          <w:docGrid w:linePitch="299"/>
        </w:sectPr>
      </w:pPr>
    </w:p>
    <w:p w:rsidR="00000000" w:rsidRPr="004D3A06" w:rsidP="004D3A06">
      <w:pPr>
        <w:pStyle w:val="SuperHeading"/>
      </w:pPr>
      <w:r w:rsidRPr="004D3A06">
        <w:t>Assessment Requirements for CPPSSI6036 Monitor engineering structures</w:t>
      </w:r>
    </w:p>
    <w:p w:rsidR="00000000" w:rsidRPr="004D3A06" w:rsidP="004D3A06">
      <w:pPr>
        <w:pStyle w:val="Heading1"/>
      </w:pPr>
      <w:bookmarkStart w:id="9" w:name="O_1149297"/>
      <w:bookmarkEnd w:id="9"/>
      <w:r w:rsidRPr="004D3A06">
        <w:t>Modification History</w:t>
      </w:r>
    </w:p>
    <w:tbl>
      <w:tblPr>
        <w:tblW w:w="0" w:type="auto"/>
        <w:tblLayout w:type="fixed"/>
        <w:tblCellMar>
          <w:left w:w="62" w:type="dxa"/>
          <w:right w:w="62" w:type="dxa"/>
        </w:tblCellMar>
        <w:tblLook w:val="0000"/>
      </w:tblPr>
      <w:tblGrid>
        <w:gridCol w:w="1128"/>
        <w:gridCol w:w="7944"/>
      </w:tblGrid>
      <w:tr w:rsidTr="004D3A06">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4D3A06">
            <w:pPr>
              <w:pStyle w:val="BodyText"/>
              <w:rPr>
                <w:lang w:val="en-NZ"/>
              </w:rPr>
            </w:pPr>
            <w:r w:rsidRPr="004D3A06">
              <w:t>Release 1</w:t>
            </w:r>
          </w:p>
        </w:tc>
        <w:tc>
          <w:tcPr>
            <w:tcW w:w="7944" w:type="dxa"/>
            <w:tcBorders>
              <w:top w:val="nil"/>
              <w:left w:val="nil"/>
              <w:bottom w:val="nil"/>
              <w:right w:val="nil"/>
            </w:tcBorders>
            <w:tcMar>
              <w:top w:w="0" w:type="dxa"/>
              <w:left w:w="62" w:type="dxa"/>
              <w:bottom w:w="0" w:type="dxa"/>
              <w:right w:w="62" w:type="dxa"/>
            </w:tcMar>
          </w:tcPr>
          <w:p w:rsidR="00000000" w:rsidRPr="004D3A06" w:rsidP="004D3A06">
            <w:pPr>
              <w:pStyle w:val="BodyText"/>
            </w:pPr>
            <w:r w:rsidRPr="004D3A06">
              <w:t xml:space="preserve">This version first released with CPP Property </w:t>
            </w:r>
            <w:r w:rsidRPr="004D3A06">
              <w:t>Services Training Package Release 12.0.</w:t>
            </w:r>
          </w:p>
          <w:p w:rsidR="00000000" w:rsidRPr="004D3A06" w:rsidP="004D3A06">
            <w:pPr>
              <w:pStyle w:val="BodyText"/>
            </w:pPr>
            <w:r w:rsidRPr="004D3A06">
              <w:t>This unit supersedes and is equivalent to CPPSIS6036 Monitor engineering structures.</w:t>
            </w:r>
          </w:p>
        </w:tc>
      </w:tr>
    </w:tbl>
    <w:p w:rsidR="00000000" w:rsidRPr="004D3A06" w:rsidP="004D3A06">
      <w:pPr>
        <w:pStyle w:val="BodyText"/>
      </w:pPr>
    </w:p>
    <w:p w:rsidR="00000000" w:rsidRPr="004D3A06" w:rsidP="004D3A06">
      <w:pPr>
        <w:pStyle w:val="AllowPageBreak"/>
      </w:pPr>
    </w:p>
    <w:p w:rsidR="00000000" w:rsidRPr="004D3A06" w:rsidP="004D3A06">
      <w:pPr>
        <w:pStyle w:val="Heading1"/>
      </w:pPr>
      <w:bookmarkStart w:id="10" w:name="O_1149300"/>
      <w:bookmarkEnd w:id="10"/>
      <w:r w:rsidRPr="004D3A06">
        <w:t>Performance Evidence</w:t>
      </w:r>
    </w:p>
    <w:p w:rsidR="00000000" w:rsidRPr="004D3A06" w:rsidP="004F5E09">
      <w:pPr>
        <w:pStyle w:val="BodyText"/>
      </w:pPr>
      <w:r w:rsidRPr="004D3A06">
        <w:t>To demonstrate competency a c</w:t>
      </w:r>
      <w:r w:rsidRPr="004D3A06">
        <w:t xml:space="preserve">andidate must meet the elements and performance criteria of this unit by monitoring engineering structures for two projects. </w:t>
      </w:r>
    </w:p>
    <w:p w:rsidR="00000000" w:rsidRPr="004D3A06" w:rsidP="004F5E09">
      <w:pPr>
        <w:pStyle w:val="BodyText"/>
      </w:pPr>
      <w:r w:rsidRPr="004D3A06">
        <w:t>For each project, the candidate must conduct measurements and calculations to meet engineering specifications using three of the f</w:t>
      </w:r>
      <w:r w:rsidRPr="004D3A06">
        <w:t>ollowing pieces of equipment:</w:t>
      </w:r>
    </w:p>
    <w:p w:rsidR="00000000" w:rsidRPr="004D3A06" w:rsidP="004D3A06">
      <w:pPr>
        <w:pStyle w:val="ListBullet"/>
      </w:pPr>
      <w:r w:rsidRPr="004D3A06">
        <w:t>current meter</w:t>
      </w:r>
    </w:p>
    <w:p w:rsidR="00000000" w:rsidRPr="004D3A06" w:rsidP="004D3A06">
      <w:pPr>
        <w:pStyle w:val="ListBullet"/>
      </w:pPr>
      <w:r w:rsidRPr="004D3A06">
        <w:t>global navigation satellite system (GNSS)</w:t>
      </w:r>
    </w:p>
    <w:p w:rsidR="00000000" w:rsidRPr="004D3A06" w:rsidP="004D3A06">
      <w:pPr>
        <w:pStyle w:val="ListBullet"/>
      </w:pPr>
      <w:r w:rsidRPr="004D3A06">
        <w:t>level</w:t>
      </w:r>
    </w:p>
    <w:p w:rsidR="00000000" w:rsidRPr="004D3A06" w:rsidP="004D3A06">
      <w:pPr>
        <w:pStyle w:val="ListBullet"/>
      </w:pPr>
      <w:r w:rsidRPr="004D3A06">
        <w:t>tape</w:t>
      </w:r>
    </w:p>
    <w:p w:rsidR="00000000" w:rsidRPr="004D3A06" w:rsidP="004D3A06">
      <w:pPr>
        <w:pStyle w:val="ListBullet"/>
      </w:pPr>
      <w:r w:rsidRPr="004D3A06">
        <w:t>theodolite</w:t>
      </w:r>
    </w:p>
    <w:p w:rsidR="00000000" w:rsidRPr="004D3A06" w:rsidP="004D3A06">
      <w:pPr>
        <w:pStyle w:val="ListBullet"/>
      </w:pPr>
      <w:r w:rsidRPr="004D3A06">
        <w:t>total station.</w:t>
      </w:r>
    </w:p>
    <w:p w:rsidR="00000000" w:rsidRPr="004D3A06" w:rsidP="004D3A06">
      <w:pPr>
        <w:pStyle w:val="AllowPageBreak"/>
      </w:pPr>
    </w:p>
    <w:p w:rsidR="00000000" w:rsidRPr="004D3A06" w:rsidP="004D3A06">
      <w:pPr>
        <w:pStyle w:val="Heading1"/>
      </w:pPr>
      <w:bookmarkStart w:id="11" w:name="O_1149299"/>
      <w:bookmarkEnd w:id="11"/>
      <w:r w:rsidRPr="004D3A06">
        <w:t>Knowledge Evidence</w:t>
      </w:r>
    </w:p>
    <w:p w:rsidR="00000000" w:rsidRPr="004D3A06" w:rsidP="004F5E09">
      <w:pPr>
        <w:pStyle w:val="BodyText"/>
      </w:pPr>
      <w:r w:rsidRPr="004D3A06">
        <w:t>To be competent in this unit a candidate must demonstrate knowledge of:</w:t>
      </w:r>
    </w:p>
    <w:p w:rsidR="00000000" w:rsidRPr="004D3A06" w:rsidP="004D3A06">
      <w:pPr>
        <w:pStyle w:val="ListBullet"/>
      </w:pPr>
      <w:r w:rsidRPr="004D3A06">
        <w:t>reference and coordinate systems for surveying data, including Australian Height Datum and Map Grid of Australia</w:t>
      </w:r>
    </w:p>
    <w:p w:rsidR="00000000" w:rsidRPr="004D3A06" w:rsidP="004D3A06">
      <w:pPr>
        <w:pStyle w:val="ListBullet"/>
      </w:pPr>
      <w:r w:rsidRPr="004D3A06">
        <w:t>project zone design</w:t>
      </w:r>
    </w:p>
    <w:p w:rsidR="00000000" w:rsidRPr="004D3A06" w:rsidP="004D3A06">
      <w:pPr>
        <w:pStyle w:val="ListBullet"/>
      </w:pPr>
      <w:r w:rsidRPr="004D3A06">
        <w:t>graphical and technical information in engineering plans</w:t>
      </w:r>
    </w:p>
    <w:p w:rsidR="00000000" w:rsidRPr="004D3A06" w:rsidP="004D3A06">
      <w:pPr>
        <w:pStyle w:val="ListBullet"/>
      </w:pPr>
      <w:r w:rsidRPr="004D3A06">
        <w:t>accuracy and precision requirements and tolerances for engineering</w:t>
      </w:r>
      <w:r w:rsidRPr="004D3A06">
        <w:t xml:space="preserve"> structures </w:t>
      </w:r>
    </w:p>
    <w:p w:rsidR="00000000" w:rsidRPr="004D3A06" w:rsidP="004D3A06">
      <w:pPr>
        <w:pStyle w:val="ListBullet"/>
      </w:pPr>
      <w:r w:rsidRPr="004D3A06">
        <w:t>data formatting, processing and reduction techniques</w:t>
      </w:r>
    </w:p>
    <w:p w:rsidR="00000000" w:rsidRPr="004D3A06" w:rsidP="004D3A06">
      <w:pPr>
        <w:pStyle w:val="ListBullet"/>
      </w:pPr>
      <w:r w:rsidRPr="004D3A06">
        <w:t>industry-accepted standards and methods for validating data to identify errors and discrepancies</w:t>
      </w:r>
    </w:p>
    <w:p w:rsidR="00000000" w:rsidRPr="004D3A06" w:rsidP="004D3A06">
      <w:pPr>
        <w:pStyle w:val="ListBullet"/>
      </w:pPr>
      <w:r w:rsidRPr="004D3A06">
        <w:t>legislative requirements and industry standards relating to monitoring engineering structures</w:t>
      </w:r>
    </w:p>
    <w:p w:rsidR="00000000" w:rsidRPr="004D3A06" w:rsidP="004D3A06">
      <w:pPr>
        <w:pStyle w:val="ListBullet"/>
      </w:pPr>
      <w:r w:rsidRPr="004D3A06">
        <w:t>work health and safety (WHS) relating to survey activities and work on construction sites</w:t>
      </w:r>
    </w:p>
    <w:p w:rsidR="00000000" w:rsidRPr="004D3A06" w:rsidP="004D3A06">
      <w:pPr>
        <w:pStyle w:val="ListBullet"/>
      </w:pPr>
      <w:r w:rsidRPr="004D3A06">
        <w:t>processes to establish and use high-level survey control</w:t>
      </w:r>
    </w:p>
    <w:p w:rsidR="00000000" w:rsidRPr="004D3A06" w:rsidP="004D3A06">
      <w:pPr>
        <w:pStyle w:val="ListBullet"/>
      </w:pPr>
      <w:r w:rsidRPr="004D3A06">
        <w:t>use and application of network and traverse adjustments</w:t>
      </w:r>
    </w:p>
    <w:p w:rsidR="00000000" w:rsidRPr="004D3A06" w:rsidP="004D3A06">
      <w:pPr>
        <w:pStyle w:val="ListBullet"/>
      </w:pPr>
      <w:r w:rsidRPr="004D3A06">
        <w:t>methods for calculating surveying data and verifying</w:t>
      </w:r>
      <w:r w:rsidRPr="004D3A06">
        <w:t xml:space="preserve"> its accuracy using spatial reference systems</w:t>
      </w:r>
    </w:p>
    <w:p w:rsidR="00000000" w:rsidRPr="004D3A06" w:rsidP="004D3A06">
      <w:pPr>
        <w:pStyle w:val="ListBullet"/>
      </w:pPr>
      <w:r w:rsidRPr="004D3A06">
        <w:t>methods for connecting equipment to coordinate systems</w:t>
      </w:r>
    </w:p>
    <w:p w:rsidR="00000000" w:rsidRPr="004D3A06" w:rsidP="004D3A06">
      <w:pPr>
        <w:pStyle w:val="ListBullet"/>
      </w:pPr>
      <w:r w:rsidRPr="004D3A06">
        <w:t>methods for setting up, levelling and calibrating surveying equipment</w:t>
      </w:r>
    </w:p>
    <w:p w:rsidR="00000000" w:rsidRPr="004D3A06" w:rsidP="004D3A06">
      <w:pPr>
        <w:pStyle w:val="ListBullet"/>
      </w:pPr>
      <w:r w:rsidRPr="004D3A06">
        <w:t>methods for identifying and reporting non-conformities.</w:t>
      </w:r>
    </w:p>
    <w:p w:rsidR="00000000" w:rsidRPr="004D3A06" w:rsidP="004D3A06">
      <w:pPr>
        <w:pStyle w:val="AllowPageBreak"/>
      </w:pPr>
    </w:p>
    <w:p w:rsidR="00000000" w:rsidRPr="004D3A06" w:rsidP="004D3A06">
      <w:pPr>
        <w:pStyle w:val="Heading1"/>
      </w:pPr>
      <w:bookmarkStart w:id="12" w:name="O_1149298"/>
      <w:bookmarkEnd w:id="12"/>
      <w:r w:rsidRPr="004D3A06">
        <w:t>Assessment</w:t>
      </w:r>
      <w:r w:rsidRPr="004D3A06">
        <w:t xml:space="preserve"> Conditions</w:t>
      </w:r>
    </w:p>
    <w:p w:rsidR="00000000" w:rsidRPr="004D3A06" w:rsidP="004F5E09">
      <w:pPr>
        <w:pStyle w:val="BodyText"/>
      </w:pPr>
      <w:r w:rsidRPr="004D3A06">
        <w:t xml:space="preserve">Assessors must meet the requirements for assessors contained in the Standards for Registered Training Organisations. </w:t>
      </w:r>
    </w:p>
    <w:p w:rsidR="00000000" w:rsidRPr="004D3A06" w:rsidP="004F5E09">
      <w:pPr>
        <w:pStyle w:val="BodyText"/>
      </w:pPr>
      <w:r w:rsidRPr="004D3A06">
        <w:t>Competency is to be assessed in the workplace or a simulated environment that accurately reflects performance in a real workpl</w:t>
      </w:r>
      <w:r w:rsidRPr="004D3A06">
        <w:t>ace setting where these skills and knowledge would be performed.</w:t>
      </w:r>
    </w:p>
    <w:p w:rsidR="00000000" w:rsidRPr="004D3A06" w:rsidP="004F5E09">
      <w:pPr>
        <w:pStyle w:val="BodyText"/>
      </w:pPr>
      <w:r w:rsidRPr="004D3A06">
        <w:t>Candidates must have access to:</w:t>
      </w:r>
    </w:p>
    <w:p w:rsidR="00000000" w:rsidRPr="004D3A06" w:rsidP="004D3A06">
      <w:pPr>
        <w:pStyle w:val="ListBullet"/>
      </w:pPr>
      <w:r w:rsidRPr="004D3A06">
        <w:t>equipment for monitoring engineering structures</w:t>
      </w:r>
    </w:p>
    <w:p w:rsidR="00000000" w:rsidRPr="004D3A06" w:rsidP="004D3A06">
      <w:pPr>
        <w:pStyle w:val="ListBullet"/>
      </w:pPr>
      <w:r w:rsidRPr="004D3A06">
        <w:t>survey specifications, including relevant engineering plans and drawings.</w:t>
      </w:r>
    </w:p>
    <w:p w:rsidR="00000000" w:rsidRPr="004D3A06" w:rsidP="004D3A06">
      <w:pPr>
        <w:pStyle w:val="AllowPageBreak"/>
      </w:pPr>
    </w:p>
    <w:p w:rsidR="00000000" w:rsidRPr="004D3A06" w:rsidP="004D3A06">
      <w:pPr>
        <w:pStyle w:val="Heading1"/>
      </w:pPr>
      <w:bookmarkStart w:id="13" w:name="O_1149296"/>
      <w:bookmarkEnd w:id="13"/>
      <w:r w:rsidRPr="004D3A06">
        <w:t>Links</w:t>
      </w:r>
    </w:p>
    <w:p w:rsidR="00000000" w:rsidRPr="004D3A06" w:rsidP="004F5E09">
      <w:pPr>
        <w:pStyle w:val="BodyText"/>
      </w:pPr>
      <w:r w:rsidRPr="004D3A06">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C53C44">
        <w:rPr>
          <w:rStyle w:val="Hyperlink"/>
        </w:rPr>
        <w:t>https://vetnet.gov.au/Pages/TrainingDocs.aspx?q=6f3f9672-30e8-4835-b348-205dfcf13d9b</w:t>
      </w:r>
      <w:r>
        <w:fldChar w:fldCharType="end"/>
      </w:r>
    </w:p>
    <w:p w:rsidR="00000000" w:rsidRPr="004D3A06" w:rsidP="004D3A06"/>
    <w:sectPr w:rsidSect="004D3A0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3A0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3A06" w:rsidRPr="004F5E09" w:rsidP="004F5E0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3A0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5E09" w:rsidP="004D3A0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F5E09" w:rsidP="004D3A0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4F5E09" w:rsidP="004D3A0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3A06" w:rsidP="004D3A06">
    <w:pPr>
      <w:pStyle w:val="Footer"/>
      <w:framePr w:wrap="around"/>
    </w:pPr>
    <w:r>
      <w:fldChar w:fldCharType="begin"/>
    </w:r>
    <w:r>
      <w:instrText xml:space="preserve"> DOCPROPERTY  Subject  \* MERGEFORMAT </w:instrText>
    </w:r>
    <w:r>
      <w:fldChar w:fldCharType="separate"/>
    </w:r>
    <w:r w:rsidR="004F5E09">
      <w:t>Approved</w:t>
    </w:r>
    <w:r w:rsidR="004F5E09">
      <w:fldChar w:fldCharType="end"/>
    </w:r>
    <w:r>
      <w:tab/>
      <w:t xml:space="preserve">Page </w:t>
    </w:r>
    <w:r>
      <w:fldChar w:fldCharType="begin"/>
    </w:r>
    <w:r>
      <w:instrText xml:space="preserve"> PAGE  \* Arabic  \* MERGEFORMAT </w:instrText>
    </w:r>
    <w:r>
      <w:fldChar w:fldCharType="separate"/>
    </w:r>
    <w:r w:rsidR="004F5E0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F5E09">
      <w:rPr>
        <w:noProof/>
      </w:rPr>
      <w:t>4</w:t>
    </w:r>
    <w:r>
      <w:rPr>
        <w:noProof/>
      </w:rPr>
      <w:fldChar w:fldCharType="end"/>
    </w:r>
  </w:p>
  <w:p w:rsidR="004D3A06" w:rsidP="004D3A06">
    <w:pPr>
      <w:pStyle w:val="Footer"/>
      <w:framePr w:wrap="around"/>
    </w:pPr>
    <w:r>
      <w:t xml:space="preserve">© Commonwealth of Australia, </w:t>
    </w:r>
    <w:r>
      <w:fldChar w:fldCharType="begin"/>
    </w:r>
    <w:r>
      <w:instrText xml:space="preserve"> DATE  \@ "yyyy"  \* MERGEFORMAT </w:instrText>
    </w:r>
    <w:r>
      <w:fldChar w:fldCharType="separate"/>
    </w:r>
    <w:r w:rsidR="004F5E09">
      <w:rPr>
        <w:noProof/>
      </w:rPr>
      <w:t>2025</w:t>
    </w:r>
    <w:r>
      <w:fldChar w:fldCharType="end"/>
    </w:r>
    <w:r>
      <w:tab/>
    </w:r>
    <w:r>
      <w:fldChar w:fldCharType="begin"/>
    </w:r>
    <w:r>
      <w:instrText xml:space="preserve"> DOCPROPERTY  Author  \* MERGEFORMAT </w:instrText>
    </w:r>
    <w:r>
      <w:fldChar w:fldCharType="separate"/>
    </w:r>
    <w:r w:rsidR="004F5E09">
      <w:t>BuildSkills Australia</w:t>
    </w:r>
    <w:r w:rsidR="004F5E09">
      <w:fldChar w:fldCharType="end"/>
    </w:r>
  </w:p>
  <w:p w:rsidR="004D3A06" w:rsidP="004D3A0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3A0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5E0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D3A06" w:rsidRPr="004F5E09" w:rsidP="004F5E0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3A0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5E09" w:rsidRPr="002D2AF8" w:rsidP="004D3A06">
    <w:pPr>
      <w:pStyle w:val="Header"/>
      <w:framePr w:wrap="around"/>
    </w:pPr>
    <w:r>
      <w:fldChar w:fldCharType="begin"/>
    </w:r>
    <w:r>
      <w:instrText xml:space="preserve"> TITLE   \* MERGEFORMAT </w:instrText>
    </w:r>
    <w:r>
      <w:fldChar w:fldCharType="separate"/>
    </w:r>
    <w:r>
      <w:t>CPPSSI6036 Monitor engineering structures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4F5E09" w:rsidP="004D3A0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3A06" w:rsidRPr="002D2AF8" w:rsidP="004D3A06">
    <w:pPr>
      <w:pStyle w:val="Header"/>
      <w:framePr w:wrap="around"/>
    </w:pPr>
    <w:r>
      <w:fldChar w:fldCharType="begin"/>
    </w:r>
    <w:r>
      <w:instrText xml:space="preserve"> TITLE   \* MERGEFORMAT </w:instrText>
    </w:r>
    <w:r>
      <w:fldChar w:fldCharType="separate"/>
    </w:r>
    <w:r w:rsidR="004F5E09">
      <w:t>CPPSSI6036 Monitor engineering structures</w:t>
    </w:r>
    <w:r w:rsidR="004F5E09">
      <w:fldChar w:fldCharType="end"/>
    </w:r>
    <w:r>
      <w:tab/>
      <w:t xml:space="preserve">Date this document was generated: </w:t>
    </w:r>
    <w:r>
      <w:fldChar w:fldCharType="begin"/>
    </w:r>
    <w:r>
      <w:instrText xml:space="preserve"> CREATEDATE  \@ "d MMMM yyyy"  \* MERGEFORMAT </w:instrText>
    </w:r>
    <w:r>
      <w:fldChar w:fldCharType="separate"/>
    </w:r>
    <w:r w:rsidR="004F5E09">
      <w:rPr>
        <w:noProof/>
      </w:rPr>
      <w:t>1 March 2025</w:t>
    </w:r>
    <w:r>
      <w:fldChar w:fldCharType="end"/>
    </w:r>
  </w:p>
  <w:p w:rsidR="004D3A06" w:rsidP="004D3A0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ACCF01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AF0E5B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3A0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D3A06"/>
    <w:pPr>
      <w:spacing w:before="360" w:after="60"/>
      <w:outlineLvl w:val="0"/>
    </w:pPr>
    <w:rPr>
      <w:sz w:val="32"/>
    </w:rPr>
  </w:style>
  <w:style w:type="paragraph" w:styleId="Heading2">
    <w:name w:val="heading 2"/>
    <w:basedOn w:val="HeadingBase"/>
    <w:next w:val="BodyText"/>
    <w:link w:val="Heading2Char"/>
    <w:qFormat/>
    <w:rsid w:val="004D3A06"/>
    <w:pPr>
      <w:keepLines/>
      <w:spacing w:before="240" w:after="120"/>
      <w:outlineLvl w:val="1"/>
    </w:pPr>
    <w:rPr>
      <w:sz w:val="28"/>
      <w:szCs w:val="40"/>
    </w:rPr>
  </w:style>
  <w:style w:type="paragraph" w:styleId="Heading3">
    <w:name w:val="heading 3"/>
    <w:basedOn w:val="HeadingBase"/>
    <w:next w:val="BodyText"/>
    <w:link w:val="Heading3Char"/>
    <w:qFormat/>
    <w:rsid w:val="004D3A06"/>
    <w:pPr>
      <w:spacing w:before="180" w:after="120"/>
      <w:outlineLvl w:val="2"/>
    </w:pPr>
    <w:rPr>
      <w:spacing w:val="-10"/>
      <w:kern w:val="32"/>
    </w:rPr>
  </w:style>
  <w:style w:type="paragraph" w:styleId="Heading4">
    <w:name w:val="heading 4"/>
    <w:basedOn w:val="HeadingBase"/>
    <w:next w:val="BodyText"/>
    <w:link w:val="Heading4Char"/>
    <w:qFormat/>
    <w:rsid w:val="004D3A06"/>
    <w:pPr>
      <w:spacing w:before="160" w:after="120"/>
      <w:outlineLvl w:val="3"/>
    </w:pPr>
    <w:rPr>
      <w:sz w:val="22"/>
    </w:rPr>
  </w:style>
  <w:style w:type="paragraph" w:styleId="Heading5">
    <w:name w:val="heading 5"/>
    <w:basedOn w:val="HeadingBase"/>
    <w:next w:val="Normal"/>
    <w:link w:val="Heading5Char"/>
    <w:qFormat/>
    <w:rsid w:val="004D3A06"/>
    <w:pPr>
      <w:spacing w:before="80"/>
      <w:outlineLvl w:val="4"/>
    </w:pPr>
    <w:rPr>
      <w:color w:val="918585"/>
      <w:sz w:val="20"/>
    </w:rPr>
  </w:style>
  <w:style w:type="paragraph" w:styleId="Heading6">
    <w:name w:val="heading 6"/>
    <w:basedOn w:val="HeadingBase"/>
    <w:next w:val="Normal"/>
    <w:link w:val="Heading6Char"/>
    <w:qFormat/>
    <w:rsid w:val="004D3A06"/>
    <w:pPr>
      <w:spacing w:before="60"/>
      <w:outlineLvl w:val="5"/>
    </w:pPr>
    <w:rPr>
      <w:color w:val="918585"/>
      <w:sz w:val="20"/>
    </w:rPr>
  </w:style>
  <w:style w:type="paragraph" w:styleId="Heading7">
    <w:name w:val="heading 7"/>
    <w:basedOn w:val="Normal"/>
    <w:next w:val="Normal"/>
    <w:link w:val="Heading7Char"/>
    <w:qFormat/>
    <w:rsid w:val="004D3A06"/>
    <w:pPr>
      <w:ind w:left="720"/>
      <w:outlineLvl w:val="6"/>
    </w:pPr>
    <w:rPr>
      <w:i/>
    </w:rPr>
  </w:style>
  <w:style w:type="paragraph" w:styleId="Heading8">
    <w:name w:val="heading 8"/>
    <w:basedOn w:val="Normal"/>
    <w:next w:val="Normal"/>
    <w:link w:val="Heading8Char"/>
    <w:qFormat/>
    <w:rsid w:val="004D3A06"/>
    <w:pPr>
      <w:ind w:left="720"/>
      <w:outlineLvl w:val="7"/>
    </w:pPr>
    <w:rPr>
      <w:i/>
    </w:rPr>
  </w:style>
  <w:style w:type="paragraph" w:styleId="Heading9">
    <w:name w:val="heading 9"/>
    <w:basedOn w:val="Normal"/>
    <w:next w:val="Normal"/>
    <w:link w:val="Heading9Char"/>
    <w:qFormat/>
    <w:rsid w:val="004D3A06"/>
    <w:pPr>
      <w:ind w:left="720"/>
      <w:outlineLvl w:val="8"/>
    </w:pPr>
    <w:rPr>
      <w:i/>
    </w:rPr>
  </w:style>
  <w:style w:type="character" w:default="1" w:styleId="DefaultParagraphFont">
    <w:name w:val="Default Paragraph Font"/>
    <w:uiPriority w:val="1"/>
    <w:unhideWhenUsed/>
    <w:rsid w:val="004D3A0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D3A06"/>
  </w:style>
  <w:style w:type="character" w:customStyle="1" w:styleId="Heading1Char">
    <w:name w:val="Heading 1 Char"/>
    <w:basedOn w:val="DefaultParagraphFont"/>
    <w:link w:val="Heading1"/>
    <w:rsid w:val="004D3A06"/>
    <w:rPr>
      <w:rFonts w:ascii="Times New Roman" w:eastAsia="Times New Roman" w:hAnsi="Times New Roman" w:cs="Times New Roman"/>
      <w:b/>
      <w:sz w:val="32"/>
      <w:szCs w:val="20"/>
      <w:lang w:eastAsia="en-US"/>
    </w:rPr>
  </w:style>
  <w:style w:type="paragraph" w:styleId="BodyText">
    <w:name w:val="Body Text"/>
    <w:basedOn w:val="Normal"/>
    <w:link w:val="BodyTextChar"/>
    <w:rsid w:val="004D3A0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D3A06"/>
    <w:rPr>
      <w:rFonts w:ascii="Times New Roman" w:eastAsia="Times New Roman" w:hAnsi="Times New Roman" w:cs="Times New Roman"/>
      <w:sz w:val="24"/>
      <w:lang w:eastAsia="en-US"/>
    </w:rPr>
  </w:style>
  <w:style w:type="paragraph" w:styleId="ListBullet">
    <w:name w:val="List Bullet"/>
    <w:basedOn w:val="List"/>
    <w:rsid w:val="004D3A06"/>
    <w:pPr>
      <w:numPr>
        <w:numId w:val="11"/>
      </w:numPr>
      <w:tabs>
        <w:tab w:val="clear" w:pos="340"/>
      </w:tabs>
      <w:spacing w:before="40" w:after="40"/>
    </w:pPr>
  </w:style>
  <w:style w:type="paragraph" w:customStyle="1" w:styleId="SuperHeading">
    <w:name w:val="SuperHeading"/>
    <w:basedOn w:val="Normal"/>
    <w:rsid w:val="004D3A06"/>
    <w:pPr>
      <w:spacing w:before="240" w:after="120"/>
      <w:outlineLvl w:val="0"/>
    </w:pPr>
    <w:rPr>
      <w:rFonts w:ascii="Times New Roman" w:hAnsi="Times New Roman"/>
      <w:b/>
      <w:sz w:val="32"/>
    </w:rPr>
  </w:style>
  <w:style w:type="paragraph" w:customStyle="1" w:styleId="AllowPageBreak">
    <w:name w:val="AllowPageBreak"/>
    <w:rsid w:val="004D3A0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D3A0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D3A0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D3A0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D3A0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D3A0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D3A0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D3A0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D3A06"/>
    <w:rPr>
      <w:rFonts w:ascii="Courier New" w:eastAsia="Times New Roman" w:hAnsi="Courier New" w:cs="Times New Roman"/>
      <w:i/>
      <w:szCs w:val="20"/>
      <w:lang w:eastAsia="en-US"/>
    </w:rPr>
  </w:style>
  <w:style w:type="paragraph" w:customStyle="1" w:styleId="HeadingBase">
    <w:name w:val="Heading Base"/>
    <w:rsid w:val="004D3A0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D3A06"/>
    <w:pPr>
      <w:tabs>
        <w:tab w:val="right" w:leader="dot" w:pos="9072"/>
      </w:tabs>
      <w:ind w:left="567"/>
    </w:pPr>
    <w:rPr>
      <w:szCs w:val="22"/>
    </w:rPr>
  </w:style>
  <w:style w:type="paragraph" w:customStyle="1" w:styleId="TOCBase">
    <w:name w:val="TOC Base"/>
    <w:rsid w:val="004D3A0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D3A06"/>
    <w:pPr>
      <w:tabs>
        <w:tab w:val="right" w:leader="dot" w:pos="9072"/>
      </w:tabs>
      <w:spacing w:before="40" w:after="40"/>
      <w:ind w:left="284"/>
    </w:pPr>
    <w:rPr>
      <w:rFonts w:ascii="Times New Roman" w:hAnsi="Times New Roman"/>
    </w:rPr>
  </w:style>
  <w:style w:type="paragraph" w:styleId="TOC1">
    <w:name w:val="toc 1"/>
    <w:basedOn w:val="TOCBase"/>
    <w:next w:val="Normal"/>
    <w:rsid w:val="004D3A0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D3A0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D3A06"/>
    <w:rPr>
      <w:rFonts w:ascii="Times New Roman" w:eastAsia="Times New Roman" w:hAnsi="Times New Roman" w:cs="Times New Roman"/>
      <w:sz w:val="16"/>
      <w:lang w:eastAsia="en-US"/>
    </w:rPr>
  </w:style>
  <w:style w:type="paragraph" w:styleId="Title">
    <w:name w:val="Title"/>
    <w:basedOn w:val="HeadingBase"/>
    <w:link w:val="TitleChar"/>
    <w:qFormat/>
    <w:rsid w:val="004D3A06"/>
    <w:pPr>
      <w:spacing w:before="5040"/>
      <w:jc w:val="center"/>
    </w:pPr>
    <w:rPr>
      <w:sz w:val="48"/>
      <w:szCs w:val="72"/>
      <w:lang w:val="en-US"/>
    </w:rPr>
  </w:style>
  <w:style w:type="character" w:customStyle="1" w:styleId="TitleChar">
    <w:name w:val="Title Char"/>
    <w:basedOn w:val="DefaultParagraphFont"/>
    <w:link w:val="Title"/>
    <w:rsid w:val="004D3A0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D3A06"/>
    <w:pPr>
      <w:tabs>
        <w:tab w:val="left" w:pos="3600"/>
        <w:tab w:val="left" w:pos="3958"/>
      </w:tabs>
    </w:pPr>
  </w:style>
  <w:style w:type="paragraph" w:styleId="List">
    <w:name w:val="List"/>
    <w:basedOn w:val="BodyText"/>
    <w:next w:val="BodyText"/>
    <w:rsid w:val="004D3A06"/>
    <w:pPr>
      <w:tabs>
        <w:tab w:val="left" w:pos="340"/>
      </w:tabs>
      <w:spacing w:before="60" w:after="60"/>
      <w:ind w:left="340" w:hanging="340"/>
    </w:pPr>
  </w:style>
  <w:style w:type="paragraph" w:customStyle="1" w:styleId="Note">
    <w:name w:val="Note"/>
    <w:basedOn w:val="BodyText"/>
    <w:rsid w:val="004D3A0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D3A06"/>
    <w:rPr>
      <w:b/>
      <w:spacing w:val="0"/>
    </w:rPr>
  </w:style>
  <w:style w:type="paragraph" w:customStyle="1" w:styleId="SuperTitle">
    <w:name w:val="SuperTitle"/>
    <w:basedOn w:val="Title"/>
    <w:rsid w:val="004D3A06"/>
    <w:pPr>
      <w:framePr w:wrap="auto" w:hAnchor="text" w:y="6049"/>
    </w:pPr>
    <w:rPr>
      <w:color w:val="000000"/>
      <w:sz w:val="40"/>
    </w:rPr>
  </w:style>
  <w:style w:type="paragraph" w:customStyle="1" w:styleId="TOCTitle">
    <w:name w:val="TOCTitle"/>
    <w:basedOn w:val="Heading1"/>
    <w:rsid w:val="004D3A06"/>
    <w:pPr>
      <w:spacing w:after="240"/>
      <w:jc w:val="center"/>
      <w:outlineLvl w:val="9"/>
    </w:pPr>
    <w:rPr>
      <w:caps/>
    </w:rPr>
  </w:style>
  <w:style w:type="paragraph" w:customStyle="1" w:styleId="Version">
    <w:name w:val="Version"/>
    <w:rsid w:val="004D3A0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D3A06"/>
    <w:pPr>
      <w:numPr>
        <w:numId w:val="12"/>
      </w:numPr>
      <w:tabs>
        <w:tab w:val="clear" w:pos="680"/>
      </w:tabs>
    </w:pPr>
  </w:style>
  <w:style w:type="paragraph" w:styleId="Index1">
    <w:name w:val="index 1"/>
    <w:basedOn w:val="Normal"/>
    <w:next w:val="Normal"/>
    <w:semiHidden/>
    <w:rsid w:val="004D3A06"/>
    <w:pPr>
      <w:keepNext w:val="0"/>
      <w:tabs>
        <w:tab w:val="right" w:pos="4176"/>
      </w:tabs>
      <w:ind w:left="198" w:hanging="198"/>
    </w:pPr>
    <w:rPr>
      <w:rFonts w:ascii="Garamond" w:hAnsi="Garamond"/>
    </w:rPr>
  </w:style>
  <w:style w:type="paragraph" w:styleId="IndexHeading">
    <w:name w:val="index heading"/>
    <w:basedOn w:val="Normal"/>
    <w:next w:val="Index1"/>
    <w:semiHidden/>
    <w:rsid w:val="004D3A06"/>
    <w:pPr>
      <w:spacing w:before="120" w:after="120"/>
    </w:pPr>
    <w:rPr>
      <w:rFonts w:ascii="Arial" w:hAnsi="Arial"/>
      <w:b/>
      <w:color w:val="918585"/>
      <w:sz w:val="24"/>
    </w:rPr>
  </w:style>
  <w:style w:type="paragraph" w:styleId="Header">
    <w:name w:val="header"/>
    <w:basedOn w:val="Normal"/>
    <w:link w:val="HeaderChar"/>
    <w:rsid w:val="004D3A0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D3A06"/>
    <w:rPr>
      <w:rFonts w:ascii="Times New Roman" w:eastAsia="Times New Roman" w:hAnsi="Times New Roman" w:cs="Times New Roman"/>
      <w:sz w:val="16"/>
      <w:szCs w:val="20"/>
      <w:lang w:val="en-GB" w:eastAsia="en-US"/>
    </w:rPr>
  </w:style>
  <w:style w:type="paragraph" w:customStyle="1" w:styleId="Chapter">
    <w:name w:val="Chapter"/>
    <w:basedOn w:val="Normal"/>
    <w:rsid w:val="004D3A06"/>
    <w:pPr>
      <w:spacing w:before="240"/>
    </w:pPr>
    <w:rPr>
      <w:rFonts w:ascii="Times New Roman" w:hAnsi="Times New Roman"/>
      <w:smallCaps/>
      <w:spacing w:val="80"/>
      <w:sz w:val="28"/>
    </w:rPr>
  </w:style>
  <w:style w:type="paragraph" w:customStyle="1" w:styleId="InChapter">
    <w:name w:val="InChapter"/>
    <w:basedOn w:val="Heading3"/>
    <w:rsid w:val="004D3A06"/>
    <w:pPr>
      <w:spacing w:after="240"/>
      <w:outlineLvl w:val="9"/>
    </w:pPr>
    <w:rPr>
      <w:noProof/>
    </w:rPr>
  </w:style>
  <w:style w:type="paragraph" w:styleId="Index2">
    <w:name w:val="index 2"/>
    <w:basedOn w:val="Normal"/>
    <w:next w:val="Normal"/>
    <w:semiHidden/>
    <w:rsid w:val="004D3A06"/>
    <w:pPr>
      <w:tabs>
        <w:tab w:val="right" w:pos="4176"/>
      </w:tabs>
      <w:ind w:left="568" w:hanging="284"/>
    </w:pPr>
    <w:rPr>
      <w:rFonts w:ascii="Garamond" w:hAnsi="Garamond"/>
    </w:rPr>
  </w:style>
  <w:style w:type="paragraph" w:customStyle="1" w:styleId="Byline">
    <w:name w:val="Byline"/>
    <w:rsid w:val="004D3A0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D3A06"/>
    <w:pPr>
      <w:tabs>
        <w:tab w:val="clear" w:pos="3600"/>
        <w:tab w:val="clear" w:pos="3958"/>
      </w:tabs>
      <w:jc w:val="right"/>
    </w:pPr>
  </w:style>
  <w:style w:type="character" w:styleId="Emphasis">
    <w:name w:val="Emphasis"/>
    <w:basedOn w:val="DefaultParagraphFont"/>
    <w:qFormat/>
    <w:rsid w:val="004D3A06"/>
    <w:rPr>
      <w:i/>
    </w:rPr>
  </w:style>
  <w:style w:type="paragraph" w:styleId="Caption">
    <w:name w:val="caption"/>
    <w:basedOn w:val="BodyText"/>
    <w:next w:val="Normal"/>
    <w:qFormat/>
    <w:rsid w:val="004D3A06"/>
    <w:pPr>
      <w:framePr w:w="2268" w:hSpace="181" w:vSpace="181" w:wrap="around" w:vAnchor="text" w:hAnchor="page" w:x="1135" w:y="285" w:anchorLock="1"/>
    </w:pPr>
    <w:rPr>
      <w:i/>
    </w:rPr>
  </w:style>
  <w:style w:type="paragraph" w:customStyle="1" w:styleId="MiniTOCTitle">
    <w:name w:val="MiniTOCTitle"/>
    <w:basedOn w:val="Heading4"/>
    <w:rsid w:val="004D3A06"/>
    <w:pPr>
      <w:spacing w:before="240"/>
      <w:outlineLvl w:val="9"/>
    </w:pPr>
    <w:rPr>
      <w:noProof/>
      <w:sz w:val="24"/>
    </w:rPr>
  </w:style>
  <w:style w:type="paragraph" w:customStyle="1" w:styleId="MiniTOCItem">
    <w:name w:val="MiniTOCItem"/>
    <w:basedOn w:val="ListBullet"/>
    <w:rsid w:val="004D3A06"/>
    <w:pPr>
      <w:numPr>
        <w:numId w:val="0"/>
      </w:numPr>
      <w:tabs>
        <w:tab w:val="right" w:leader="dot" w:pos="6521"/>
      </w:tabs>
      <w:spacing w:before="0" w:after="0"/>
    </w:pPr>
  </w:style>
  <w:style w:type="paragraph" w:customStyle="1" w:styleId="TOFTitle">
    <w:name w:val="TOFTitle"/>
    <w:basedOn w:val="TOCTitle"/>
    <w:rsid w:val="004D3A06"/>
  </w:style>
  <w:style w:type="paragraph" w:styleId="TableofFigures">
    <w:name w:val="table of figures"/>
    <w:basedOn w:val="Normal"/>
    <w:next w:val="Normal"/>
    <w:semiHidden/>
    <w:rsid w:val="004D3A06"/>
    <w:pPr>
      <w:tabs>
        <w:tab w:val="right" w:leader="dot" w:pos="9072"/>
      </w:tabs>
      <w:ind w:left="970" w:hanging="403"/>
    </w:pPr>
    <w:rPr>
      <w:rFonts w:ascii="Times New Roman" w:hAnsi="Times New Roman"/>
      <w:b/>
    </w:rPr>
  </w:style>
  <w:style w:type="paragraph" w:styleId="ListNumber">
    <w:name w:val="List Number"/>
    <w:basedOn w:val="List"/>
    <w:rsid w:val="004D3A06"/>
    <w:pPr>
      <w:numPr>
        <w:numId w:val="14"/>
      </w:numPr>
      <w:tabs>
        <w:tab w:val="clear" w:pos="340"/>
      </w:tabs>
    </w:pPr>
  </w:style>
  <w:style w:type="character" w:customStyle="1" w:styleId="WingdingSymbols">
    <w:name w:val="Wingding Symbols"/>
    <w:rsid w:val="004D3A06"/>
    <w:rPr>
      <w:rFonts w:ascii="Wingdings" w:hAnsi="Wingdings"/>
    </w:rPr>
  </w:style>
  <w:style w:type="paragraph" w:customStyle="1" w:styleId="TableHeading">
    <w:name w:val="Table Heading"/>
    <w:basedOn w:val="HeadingBase"/>
    <w:rsid w:val="004D3A06"/>
    <w:pPr>
      <w:keepLines/>
      <w:pBdr>
        <w:bottom w:val="single" w:sz="6" w:space="1" w:color="918585"/>
      </w:pBdr>
      <w:spacing w:before="240"/>
    </w:pPr>
  </w:style>
  <w:style w:type="character" w:customStyle="1" w:styleId="HotSpot">
    <w:name w:val="HotSpot"/>
    <w:rsid w:val="004D3A06"/>
    <w:rPr>
      <w:color w:val="0033CC"/>
      <w:u w:val="none"/>
    </w:rPr>
  </w:style>
  <w:style w:type="paragraph" w:customStyle="1" w:styleId="BodyTextRight">
    <w:name w:val="Body Text Right"/>
    <w:basedOn w:val="BodyText"/>
    <w:rsid w:val="004D3A06"/>
    <w:pPr>
      <w:spacing w:before="0" w:after="0"/>
      <w:jc w:val="right"/>
    </w:pPr>
  </w:style>
  <w:style w:type="paragraph" w:styleId="Index3">
    <w:name w:val="index 3"/>
    <w:basedOn w:val="ListNumber2"/>
    <w:next w:val="Normal"/>
    <w:semiHidden/>
    <w:rsid w:val="004D3A06"/>
    <w:pPr>
      <w:numPr>
        <w:numId w:val="0"/>
      </w:numPr>
      <w:tabs>
        <w:tab w:val="right" w:leader="dot" w:pos="4176"/>
      </w:tabs>
    </w:pPr>
  </w:style>
  <w:style w:type="paragraph" w:styleId="ListNumber2">
    <w:name w:val="List Number 2"/>
    <w:basedOn w:val="List2"/>
    <w:rsid w:val="004D3A06"/>
    <w:pPr>
      <w:numPr>
        <w:numId w:val="9"/>
      </w:numPr>
      <w:tabs>
        <w:tab w:val="clear" w:pos="1060"/>
      </w:tabs>
    </w:pPr>
  </w:style>
  <w:style w:type="paragraph" w:customStyle="1" w:styleId="MarginNote">
    <w:name w:val="Margin Note"/>
    <w:basedOn w:val="BodyText"/>
    <w:rsid w:val="004D3A0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D3A0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D3A0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D3A06"/>
    <w:rPr>
      <w:sz w:val="32"/>
    </w:rPr>
  </w:style>
  <w:style w:type="paragraph" w:customStyle="1" w:styleId="HeadingProcedure">
    <w:name w:val="Heading Procedure"/>
    <w:basedOn w:val="HeadingBase"/>
    <w:next w:val="Normal"/>
    <w:rsid w:val="004D3A06"/>
    <w:pPr>
      <w:tabs>
        <w:tab w:val="left" w:pos="0"/>
      </w:tabs>
      <w:spacing w:before="120" w:after="60"/>
    </w:pPr>
    <w:rPr>
      <w:i/>
      <w:color w:val="918585"/>
      <w:sz w:val="22"/>
    </w:rPr>
  </w:style>
  <w:style w:type="paragraph" w:customStyle="1" w:styleId="TableBodyText">
    <w:name w:val="Table Body Text"/>
    <w:basedOn w:val="BodyText"/>
    <w:rsid w:val="004D3A06"/>
    <w:pPr>
      <w:spacing w:before="60" w:after="60"/>
    </w:pPr>
  </w:style>
  <w:style w:type="paragraph" w:styleId="ListContinue">
    <w:name w:val="List Continue"/>
    <w:basedOn w:val="List"/>
    <w:rsid w:val="004D3A06"/>
    <w:pPr>
      <w:ind w:firstLine="0"/>
    </w:pPr>
  </w:style>
  <w:style w:type="paragraph" w:customStyle="1" w:styleId="ListNote">
    <w:name w:val="List Note"/>
    <w:basedOn w:val="List"/>
    <w:rsid w:val="004D3A06"/>
    <w:pPr>
      <w:pBdr>
        <w:top w:val="single" w:sz="6" w:space="2" w:color="918585"/>
        <w:bottom w:val="single" w:sz="6" w:space="2" w:color="918585"/>
      </w:pBdr>
      <w:tabs>
        <w:tab w:val="left" w:pos="1021"/>
      </w:tabs>
      <w:ind w:firstLine="0"/>
    </w:pPr>
  </w:style>
  <w:style w:type="paragraph" w:customStyle="1" w:styleId="Warning">
    <w:name w:val="Warning"/>
    <w:basedOn w:val="BodyText"/>
    <w:rsid w:val="004D3A06"/>
    <w:pPr>
      <w:shd w:val="clear" w:color="auto" w:fill="D9D9D9"/>
      <w:tabs>
        <w:tab w:val="left" w:pos="992"/>
      </w:tabs>
      <w:ind w:left="119" w:right="119"/>
    </w:pPr>
    <w:rPr>
      <w:sz w:val="20"/>
    </w:rPr>
  </w:style>
  <w:style w:type="paragraph" w:customStyle="1" w:styleId="MarginIcons">
    <w:name w:val="Margin Icons"/>
    <w:basedOn w:val="BodyText"/>
    <w:rsid w:val="004D3A0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D3A06"/>
    <w:rPr>
      <w:rFonts w:ascii="Courier New" w:hAnsi="Courier New"/>
    </w:rPr>
  </w:style>
  <w:style w:type="paragraph" w:customStyle="1" w:styleId="NoteBullet">
    <w:name w:val="Note Bullet"/>
    <w:basedOn w:val="Note"/>
    <w:rsid w:val="004D3A06"/>
    <w:pPr>
      <w:tabs>
        <w:tab w:val="clear" w:pos="680"/>
      </w:tabs>
      <w:spacing w:before="60" w:after="60"/>
    </w:pPr>
  </w:style>
  <w:style w:type="paragraph" w:customStyle="1" w:styleId="SubHeading2">
    <w:name w:val="SubHeading2"/>
    <w:basedOn w:val="HeadingBase"/>
    <w:rsid w:val="004D3A06"/>
    <w:pPr>
      <w:spacing w:before="240" w:after="60"/>
    </w:pPr>
    <w:rPr>
      <w:sz w:val="20"/>
    </w:rPr>
  </w:style>
  <w:style w:type="paragraph" w:customStyle="1" w:styleId="SubHeading1">
    <w:name w:val="SubHeading1"/>
    <w:basedOn w:val="HeadingBase"/>
    <w:rsid w:val="004D3A06"/>
    <w:pPr>
      <w:spacing w:before="240" w:after="60"/>
    </w:pPr>
    <w:rPr>
      <w:color w:val="918585"/>
      <w:sz w:val="22"/>
    </w:rPr>
  </w:style>
  <w:style w:type="paragraph" w:customStyle="1" w:styleId="SideHeading">
    <w:name w:val="Side Heading"/>
    <w:basedOn w:val="HeadingBase"/>
    <w:rsid w:val="004D3A0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D3A06"/>
    <w:pPr>
      <w:numPr>
        <w:numId w:val="10"/>
      </w:numPr>
    </w:pPr>
  </w:style>
  <w:style w:type="paragraph" w:styleId="PlainText">
    <w:name w:val="Plain Text"/>
    <w:basedOn w:val="Normal"/>
    <w:link w:val="PlainTextChar"/>
    <w:rsid w:val="004D3A06"/>
    <w:rPr>
      <w:sz w:val="20"/>
    </w:rPr>
  </w:style>
  <w:style w:type="character" w:customStyle="1" w:styleId="PlainTextChar">
    <w:name w:val="Plain Text Char"/>
    <w:basedOn w:val="DefaultParagraphFont"/>
    <w:link w:val="PlainText"/>
    <w:rsid w:val="004D3A06"/>
    <w:rPr>
      <w:rFonts w:ascii="Courier New" w:eastAsia="Times New Roman" w:hAnsi="Courier New" w:cs="Times New Roman"/>
      <w:sz w:val="20"/>
      <w:szCs w:val="20"/>
      <w:lang w:eastAsia="en-US"/>
    </w:rPr>
  </w:style>
  <w:style w:type="character" w:customStyle="1" w:styleId="MenuOption">
    <w:name w:val="Menu Option"/>
    <w:basedOn w:val="DefaultParagraphFont"/>
    <w:rsid w:val="004D3A06"/>
    <w:rPr>
      <w:b/>
      <w:smallCaps/>
    </w:rPr>
  </w:style>
  <w:style w:type="paragraph" w:customStyle="1" w:styleId="TableListNumber">
    <w:name w:val="Table List Number"/>
    <w:basedOn w:val="ListNumber"/>
    <w:rsid w:val="004D3A06"/>
    <w:pPr>
      <w:numPr>
        <w:numId w:val="0"/>
      </w:numPr>
    </w:pPr>
  </w:style>
  <w:style w:type="paragraph" w:styleId="TOC4">
    <w:name w:val="toc 4"/>
    <w:basedOn w:val="TOCBase"/>
    <w:next w:val="Normal"/>
    <w:semiHidden/>
    <w:rsid w:val="004D3A06"/>
    <w:pPr>
      <w:tabs>
        <w:tab w:val="right" w:leader="dot" w:pos="9071"/>
      </w:tabs>
      <w:ind w:left="1701"/>
    </w:pPr>
  </w:style>
  <w:style w:type="paragraph" w:customStyle="1" w:styleId="ListAlpha">
    <w:name w:val="List Alpha"/>
    <w:basedOn w:val="List"/>
    <w:rsid w:val="004D3A06"/>
    <w:pPr>
      <w:numPr>
        <w:numId w:val="8"/>
      </w:numPr>
    </w:pPr>
  </w:style>
  <w:style w:type="paragraph" w:customStyle="1" w:styleId="ListAlpha2">
    <w:name w:val="List Alpha 2"/>
    <w:basedOn w:val="List2"/>
    <w:rsid w:val="004D3A06"/>
    <w:pPr>
      <w:numPr>
        <w:numId w:val="7"/>
      </w:numPr>
    </w:pPr>
  </w:style>
  <w:style w:type="paragraph" w:styleId="List2">
    <w:name w:val="List 2"/>
    <w:basedOn w:val="BodyText"/>
    <w:rsid w:val="004D3A06"/>
    <w:pPr>
      <w:tabs>
        <w:tab w:val="left" w:pos="680"/>
      </w:tabs>
      <w:spacing w:before="60" w:after="60"/>
      <w:ind w:left="680" w:hanging="340"/>
    </w:pPr>
  </w:style>
  <w:style w:type="paragraph" w:styleId="List3">
    <w:name w:val="List 3"/>
    <w:basedOn w:val="BodyText"/>
    <w:rsid w:val="004D3A06"/>
    <w:pPr>
      <w:tabs>
        <w:tab w:val="left" w:pos="1021"/>
      </w:tabs>
      <w:spacing w:before="60" w:after="60"/>
      <w:ind w:left="1020" w:hanging="340"/>
    </w:pPr>
  </w:style>
  <w:style w:type="paragraph" w:styleId="List4">
    <w:name w:val="List 4"/>
    <w:basedOn w:val="BodyText"/>
    <w:rsid w:val="004D3A06"/>
    <w:pPr>
      <w:tabs>
        <w:tab w:val="left" w:pos="1361"/>
      </w:tabs>
      <w:spacing w:before="60" w:after="60"/>
      <w:ind w:left="1361" w:hanging="340"/>
    </w:pPr>
  </w:style>
  <w:style w:type="paragraph" w:styleId="List5">
    <w:name w:val="List 5"/>
    <w:basedOn w:val="BodyText"/>
    <w:rsid w:val="004D3A06"/>
    <w:pPr>
      <w:tabs>
        <w:tab w:val="left" w:pos="1701"/>
      </w:tabs>
      <w:spacing w:before="60" w:after="60"/>
      <w:ind w:left="1701" w:hanging="340"/>
    </w:pPr>
  </w:style>
  <w:style w:type="paragraph" w:styleId="ListBullet3">
    <w:name w:val="List Bullet 3"/>
    <w:basedOn w:val="List3"/>
    <w:rsid w:val="004D3A06"/>
    <w:pPr>
      <w:numPr>
        <w:numId w:val="13"/>
      </w:numPr>
      <w:tabs>
        <w:tab w:val="clear" w:pos="1021"/>
      </w:tabs>
      <w:ind w:left="1037" w:hanging="357"/>
    </w:pPr>
  </w:style>
  <w:style w:type="paragraph" w:styleId="ListBullet4">
    <w:name w:val="List Bullet 4"/>
    <w:basedOn w:val="List4"/>
    <w:rsid w:val="004D3A06"/>
    <w:pPr>
      <w:numPr>
        <w:numId w:val="2"/>
      </w:numPr>
      <w:tabs>
        <w:tab w:val="clear" w:pos="1361"/>
      </w:tabs>
    </w:pPr>
  </w:style>
  <w:style w:type="paragraph" w:styleId="ListBullet5">
    <w:name w:val="List Bullet 5"/>
    <w:basedOn w:val="List5"/>
    <w:rsid w:val="004D3A06"/>
    <w:pPr>
      <w:numPr>
        <w:numId w:val="3"/>
      </w:numPr>
    </w:pPr>
  </w:style>
  <w:style w:type="paragraph" w:styleId="ListContinue2">
    <w:name w:val="List Continue 2"/>
    <w:basedOn w:val="List2"/>
    <w:rsid w:val="004D3A06"/>
    <w:pPr>
      <w:ind w:firstLine="0"/>
    </w:pPr>
  </w:style>
  <w:style w:type="paragraph" w:styleId="ListContinue3">
    <w:name w:val="List Continue 3"/>
    <w:basedOn w:val="List3"/>
    <w:rsid w:val="004D3A06"/>
    <w:pPr>
      <w:ind w:left="1021" w:firstLine="0"/>
    </w:pPr>
  </w:style>
  <w:style w:type="paragraph" w:styleId="ListContinue4">
    <w:name w:val="List Continue 4"/>
    <w:basedOn w:val="List4"/>
    <w:rsid w:val="004D3A06"/>
    <w:pPr>
      <w:ind w:firstLine="0"/>
    </w:pPr>
  </w:style>
  <w:style w:type="paragraph" w:styleId="ListContinue5">
    <w:name w:val="List Continue 5"/>
    <w:basedOn w:val="List5"/>
    <w:rsid w:val="004D3A06"/>
    <w:pPr>
      <w:ind w:firstLine="0"/>
    </w:pPr>
  </w:style>
  <w:style w:type="paragraph" w:styleId="ListNumber3">
    <w:name w:val="List Number 3"/>
    <w:basedOn w:val="List3"/>
    <w:rsid w:val="004D3A06"/>
    <w:pPr>
      <w:numPr>
        <w:numId w:val="4"/>
      </w:numPr>
    </w:pPr>
  </w:style>
  <w:style w:type="paragraph" w:styleId="ListNumber4">
    <w:name w:val="List Number 4"/>
    <w:basedOn w:val="List4"/>
    <w:rsid w:val="004D3A06"/>
    <w:pPr>
      <w:numPr>
        <w:numId w:val="5"/>
      </w:numPr>
    </w:pPr>
  </w:style>
  <w:style w:type="paragraph" w:styleId="ListNumber5">
    <w:name w:val="List Number 5"/>
    <w:basedOn w:val="List5"/>
    <w:rsid w:val="004D3A06"/>
    <w:pPr>
      <w:numPr>
        <w:numId w:val="6"/>
      </w:numPr>
    </w:pPr>
  </w:style>
  <w:style w:type="paragraph" w:styleId="BlockText">
    <w:name w:val="Block Text"/>
    <w:basedOn w:val="Normal"/>
    <w:rsid w:val="004D3A06"/>
    <w:pPr>
      <w:spacing w:after="120"/>
      <w:ind w:left="1440" w:right="1440"/>
    </w:pPr>
  </w:style>
  <w:style w:type="character" w:customStyle="1" w:styleId="Subscript">
    <w:name w:val="Subscript"/>
    <w:basedOn w:val="DefaultParagraphFont"/>
    <w:rsid w:val="004D3A06"/>
    <w:rPr>
      <w:sz w:val="16"/>
      <w:vertAlign w:val="subscript"/>
    </w:rPr>
  </w:style>
  <w:style w:type="character" w:customStyle="1" w:styleId="Superscript">
    <w:name w:val="Superscript"/>
    <w:basedOn w:val="DefaultParagraphFont"/>
    <w:rsid w:val="004D3A06"/>
    <w:rPr>
      <w:sz w:val="16"/>
      <w:vertAlign w:val="superscript"/>
    </w:rPr>
  </w:style>
  <w:style w:type="character" w:customStyle="1" w:styleId="Symbols">
    <w:name w:val="Symbols"/>
    <w:basedOn w:val="DefaultParagraphFont"/>
    <w:rsid w:val="004D3A06"/>
    <w:rPr>
      <w:rFonts w:ascii="Symbol" w:hAnsi="Symbol"/>
    </w:rPr>
  </w:style>
  <w:style w:type="character" w:customStyle="1" w:styleId="MenuOptions">
    <w:name w:val="Menu Options"/>
    <w:basedOn w:val="DefaultParagraphFont"/>
    <w:rsid w:val="004D3A06"/>
    <w:rPr>
      <w:rFonts w:ascii="Arial Narrow" w:hAnsi="Arial Narrow"/>
      <w:smallCaps/>
    </w:rPr>
  </w:style>
  <w:style w:type="character" w:customStyle="1" w:styleId="Buttons">
    <w:name w:val="Buttons"/>
    <w:basedOn w:val="DefaultParagraphFont"/>
    <w:rsid w:val="004D3A06"/>
    <w:rPr>
      <w:b/>
    </w:rPr>
  </w:style>
  <w:style w:type="character" w:customStyle="1" w:styleId="Underlined">
    <w:name w:val="Underlined"/>
    <w:basedOn w:val="DefaultParagraphFont"/>
    <w:rsid w:val="004D3A06"/>
    <w:rPr>
      <w:u w:val="single"/>
    </w:rPr>
  </w:style>
  <w:style w:type="paragraph" w:customStyle="1" w:styleId="TableBodyTextRight">
    <w:name w:val="Table Body Text Right"/>
    <w:basedOn w:val="TableBodyText"/>
    <w:rsid w:val="004D3A06"/>
    <w:pPr>
      <w:widowControl w:val="0"/>
      <w:autoSpaceDE w:val="0"/>
      <w:autoSpaceDN w:val="0"/>
      <w:adjustRightInd w:val="0"/>
      <w:jc w:val="right"/>
    </w:pPr>
    <w:rPr>
      <w:rFonts w:cs="Arial"/>
      <w:szCs w:val="18"/>
    </w:rPr>
  </w:style>
  <w:style w:type="paragraph" w:customStyle="1" w:styleId="CopyrightText">
    <w:name w:val="Copyright Text"/>
    <w:basedOn w:val="BodyText"/>
    <w:rsid w:val="004D3A06"/>
    <w:rPr>
      <w:sz w:val="18"/>
    </w:rPr>
  </w:style>
  <w:style w:type="paragraph" w:customStyle="1" w:styleId="BodySmallRight">
    <w:name w:val="Body Small Right"/>
    <w:basedOn w:val="BodyTextRight"/>
    <w:rsid w:val="004D3A06"/>
    <w:rPr>
      <w:sz w:val="18"/>
      <w:szCs w:val="18"/>
    </w:rPr>
  </w:style>
  <w:style w:type="paragraph" w:customStyle="1" w:styleId="MarginEdition">
    <w:name w:val="Margin Edition"/>
    <w:basedOn w:val="MarginNote"/>
    <w:rsid w:val="004D3A06"/>
    <w:pPr>
      <w:spacing w:before="0" w:after="0"/>
    </w:pPr>
    <w:rPr>
      <w:rFonts w:ascii="Times New Roman" w:hAnsi="Times New Roman"/>
      <w:color w:val="999999"/>
    </w:rPr>
  </w:style>
  <w:style w:type="paragraph" w:customStyle="1" w:styleId="Spacer">
    <w:name w:val="Spacer"/>
    <w:basedOn w:val="Normal"/>
    <w:rsid w:val="004D3A06"/>
    <w:rPr>
      <w:sz w:val="2"/>
      <w:szCs w:val="2"/>
    </w:rPr>
  </w:style>
  <w:style w:type="character" w:customStyle="1" w:styleId="Small">
    <w:name w:val="Small"/>
    <w:basedOn w:val="DefaultParagraphFont"/>
    <w:rsid w:val="004D3A06"/>
    <w:rPr>
      <w:sz w:val="16"/>
    </w:rPr>
  </w:style>
  <w:style w:type="paragraph" w:customStyle="1" w:styleId="WideTable">
    <w:name w:val="Wide Table"/>
    <w:basedOn w:val="Normal"/>
    <w:rsid w:val="004D3A06"/>
    <w:pPr>
      <w:ind w:left="-1418"/>
    </w:pPr>
    <w:rPr>
      <w:sz w:val="2"/>
      <w:szCs w:val="2"/>
    </w:rPr>
  </w:style>
  <w:style w:type="character" w:styleId="PageNumber">
    <w:name w:val="page number"/>
    <w:basedOn w:val="DefaultParagraphFont"/>
    <w:rsid w:val="004D3A06"/>
  </w:style>
  <w:style w:type="paragraph" w:styleId="Quote">
    <w:name w:val="Quote"/>
    <w:basedOn w:val="Heading1"/>
    <w:link w:val="QuoteChar"/>
    <w:qFormat/>
    <w:rsid w:val="004D3A06"/>
    <w:rPr>
      <w:b w:val="0"/>
      <w:sz w:val="72"/>
      <w:szCs w:val="72"/>
      <w:lang w:val="en-NZ"/>
    </w:rPr>
  </w:style>
  <w:style w:type="character" w:customStyle="1" w:styleId="QuoteChar">
    <w:name w:val="Quote Char"/>
    <w:basedOn w:val="DefaultParagraphFont"/>
    <w:link w:val="Quote"/>
    <w:rsid w:val="004D3A0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D3A06"/>
    <w:pPr>
      <w:pageBreakBefore/>
    </w:pPr>
  </w:style>
  <w:style w:type="paragraph" w:customStyle="1" w:styleId="Border">
    <w:name w:val="Border"/>
    <w:basedOn w:val="Normal"/>
    <w:qFormat/>
    <w:rsid w:val="004D3A0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D3A06"/>
    <w:rPr>
      <w:b/>
      <w:bCs/>
      <w:i/>
      <w:iCs/>
      <w:color w:val="auto"/>
    </w:rPr>
  </w:style>
  <w:style w:type="paragraph" w:styleId="IntenseQuote">
    <w:name w:val="Intense Quote"/>
    <w:basedOn w:val="Normal"/>
    <w:next w:val="Normal"/>
    <w:link w:val="IntenseQuoteChar"/>
    <w:uiPriority w:val="30"/>
    <w:qFormat/>
    <w:rsid w:val="004D3A0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D3A0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D3A06"/>
    <w:rPr>
      <w:smallCaps/>
      <w:color w:val="auto"/>
      <w:u w:val="single"/>
    </w:rPr>
  </w:style>
  <w:style w:type="character" w:styleId="IntenseReference">
    <w:name w:val="Intense Reference"/>
    <w:basedOn w:val="DefaultParagraphFont"/>
    <w:uiPriority w:val="32"/>
    <w:qFormat/>
    <w:rsid w:val="004D3A06"/>
    <w:rPr>
      <w:b/>
      <w:bCs/>
      <w:smallCaps/>
      <w:color w:val="auto"/>
      <w:spacing w:val="5"/>
      <w:u w:val="single"/>
    </w:rPr>
  </w:style>
  <w:style w:type="paragraph" w:customStyle="1" w:styleId="2ColumnHeading">
    <w:name w:val="2Column Heading"/>
    <w:basedOn w:val="BodyText"/>
    <w:qFormat/>
    <w:rsid w:val="004D3A06"/>
    <w:pPr>
      <w:spacing w:after="60"/>
      <w:ind w:left="-2268"/>
    </w:pPr>
    <w:rPr>
      <w:b/>
    </w:rPr>
  </w:style>
  <w:style w:type="paragraph" w:customStyle="1" w:styleId="Heading1TOC">
    <w:name w:val="Heading1 TOC"/>
    <w:basedOn w:val="Normal"/>
    <w:qFormat/>
    <w:rsid w:val="004D3A06"/>
    <w:pPr>
      <w:spacing w:before="240" w:after="120"/>
    </w:pPr>
    <w:rPr>
      <w:rFonts w:ascii="Times New Roman" w:hAnsi="Times New Roman"/>
      <w:b/>
      <w:sz w:val="32"/>
    </w:rPr>
  </w:style>
  <w:style w:type="paragraph" w:customStyle="1" w:styleId="Heading2TOC">
    <w:name w:val="Heading2 TOC"/>
    <w:basedOn w:val="Normal"/>
    <w:qFormat/>
    <w:rsid w:val="004D3A06"/>
    <w:pPr>
      <w:spacing w:before="240" w:after="60"/>
    </w:pPr>
    <w:rPr>
      <w:rFonts w:ascii="Times New Roman" w:hAnsi="Times New Roman"/>
      <w:b/>
      <w:sz w:val="28"/>
    </w:rPr>
  </w:style>
  <w:style w:type="character" w:customStyle="1" w:styleId="Underline">
    <w:name w:val="Underline"/>
    <w:basedOn w:val="DefaultParagraphFont"/>
    <w:qFormat/>
    <w:rsid w:val="004D3A06"/>
    <w:rPr>
      <w:u w:val="single"/>
    </w:rPr>
  </w:style>
  <w:style w:type="character" w:customStyle="1" w:styleId="BoldandItalics">
    <w:name w:val="Bold and Italics"/>
    <w:qFormat/>
    <w:rsid w:val="004D3A06"/>
    <w:rPr>
      <w:b/>
      <w:i/>
      <w:u w:val="none"/>
    </w:rPr>
  </w:style>
  <w:style w:type="paragraph" w:styleId="BalloonText">
    <w:name w:val="Balloon Text"/>
    <w:basedOn w:val="Normal"/>
    <w:link w:val="BalloonTextChar"/>
    <w:rsid w:val="004D3A06"/>
    <w:rPr>
      <w:rFonts w:ascii="Tahoma" w:hAnsi="Tahoma" w:cs="Tahoma"/>
      <w:sz w:val="16"/>
      <w:szCs w:val="16"/>
    </w:rPr>
  </w:style>
  <w:style w:type="character" w:customStyle="1" w:styleId="BalloonTextChar">
    <w:name w:val="Balloon Text Char"/>
    <w:basedOn w:val="DefaultParagraphFont"/>
    <w:link w:val="BalloonText"/>
    <w:rsid w:val="004D3A0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D3A0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D3A0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D3A06"/>
    <w:rPr>
      <w:b/>
      <w:color w:val="660033"/>
      <w:spacing w:val="0"/>
    </w:rPr>
  </w:style>
  <w:style w:type="paragraph" w:customStyle="1" w:styleId="Nameditemlist">
    <w:name w:val="Named item list"/>
    <w:basedOn w:val="BodyText"/>
    <w:qFormat/>
    <w:rsid w:val="004D3A06"/>
    <w:pPr>
      <w:tabs>
        <w:tab w:val="left" w:pos="2835"/>
      </w:tabs>
      <w:ind w:left="2835" w:hanging="2835"/>
    </w:pPr>
  </w:style>
  <w:style w:type="paragraph" w:customStyle="1" w:styleId="BodyTextnopadding">
    <w:name w:val="Body Text no padding"/>
    <w:basedOn w:val="BodyText"/>
    <w:qFormat/>
    <w:rsid w:val="004D3A06"/>
    <w:pPr>
      <w:spacing w:before="0" w:after="0"/>
    </w:pPr>
  </w:style>
  <w:style w:type="paragraph" w:customStyle="1" w:styleId="BodyTextBold">
    <w:name w:val="Body Text Bold"/>
    <w:basedOn w:val="BodyText"/>
    <w:qFormat/>
    <w:rsid w:val="004D3A06"/>
    <w:rPr>
      <w:b/>
    </w:rPr>
  </w:style>
  <w:style w:type="character" w:styleId="Hyperlink">
    <w:name w:val="Hyperlink"/>
    <w:basedOn w:val="DefaultParagraphFont"/>
    <w:uiPriority w:val="99"/>
    <w:unhideWhenUsed/>
    <w:rsid w:val="004F5E0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942</Words>
  <Characters>6403</Characters>
  <Application>Microsoft Office Word</Application>
  <DocSecurity>0</DocSecurity>
  <Lines>228</Lines>
  <Paragraphs>126</Paragraphs>
  <ScaleCrop>false</ScaleCrop>
  <Company>Author-it Software Corporation Ltd.</Company>
  <LinksUpToDate>false</LinksUpToDate>
  <CharactersWithSpaces>7219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CPPSSI6036 Monitor engineering structures</dc:title>
  <dc:subject>Approved</dc:subject>
  <dc:creator>BuildSkills Australia</dc:creator>
  <cp:keywords>Release: 1</cp:keywords>
  <dc:description>Review Date: 12 April 2008</dc:description>
  <cp:lastModifiedBy>HSD_TPCMSd.prod</cp:lastModifiedBy>
  <cp:revision>3</cp:revision>
  <dcterms:created xsi:type="dcterms:W3CDTF">2025-03-01T08:45:00Z</dcterms:created>
  <dcterms:modified xsi:type="dcterms:W3CDTF">2025-03-01T08:45:00Z</dcterms:modified>
</cp:coreProperties>
</file>