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E40" w:rsidP="00DA6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CPPSSI6036 Monitor engineering structures</w:t>
      </w:r>
      <w:r>
        <w:fldChar w:fldCharType="end"/>
      </w:r>
    </w:p>
    <w:p w:rsidR="00DA6E40" w:rsidP="00DA6E40">
      <w:pPr>
        <w:pStyle w:val="Version"/>
        <w:sectPr w:rsidSect="00772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4BC" w:rsidP="007724BC">
      <w:pPr>
        <w:pStyle w:val="SuperHeading"/>
      </w:pPr>
      <w:r w:rsidRPr="007724BC">
        <w:t>Assessment Requirements for CPPSSI6036 Monitor engineer</w:t>
      </w:r>
      <w:r w:rsidRPr="007724BC">
        <w:t>ing structures</w:t>
      </w:r>
    </w:p>
    <w:p w:rsidR="00000000" w:rsidRPr="007724BC" w:rsidP="007724BC">
      <w:pPr>
        <w:pStyle w:val="Heading1"/>
      </w:pPr>
      <w:bookmarkStart w:id="1" w:name="O_1149297"/>
      <w:bookmarkEnd w:id="1"/>
      <w:r w:rsidRPr="007724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72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4BC">
            <w:pPr>
              <w:pStyle w:val="BodyText"/>
              <w:rPr>
                <w:lang w:val="en-NZ"/>
              </w:rPr>
            </w:pPr>
            <w:r w:rsidRPr="007724B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4BC" w:rsidP="007724BC">
            <w:pPr>
              <w:pStyle w:val="BodyText"/>
            </w:pPr>
            <w:r w:rsidRPr="007724BC">
              <w:t>This version first released with CPP Property Services Training Package Release 12.0.</w:t>
            </w:r>
          </w:p>
          <w:p w:rsidR="00000000" w:rsidRPr="007724BC" w:rsidP="007724BC">
            <w:pPr>
              <w:pStyle w:val="BodyText"/>
            </w:pPr>
            <w:r w:rsidRPr="007724BC">
              <w:t>This unit supersedes and is equivalent to CPPSIS6036 Monitor engineering structures.</w:t>
            </w:r>
          </w:p>
        </w:tc>
      </w:tr>
    </w:tbl>
    <w:p w:rsidR="00000000" w:rsidRPr="007724BC" w:rsidP="007724BC">
      <w:pPr>
        <w:pStyle w:val="BodyText"/>
      </w:pPr>
    </w:p>
    <w:p w:rsidR="00000000" w:rsidRPr="007724BC" w:rsidP="007724BC">
      <w:pPr>
        <w:pStyle w:val="AllowPageBreak"/>
      </w:pPr>
    </w:p>
    <w:p w:rsidR="00000000" w:rsidRPr="007724BC" w:rsidP="007724BC">
      <w:pPr>
        <w:pStyle w:val="Heading1"/>
      </w:pPr>
      <w:bookmarkStart w:id="2" w:name="O_1149300"/>
      <w:bookmarkEnd w:id="2"/>
      <w:r w:rsidRPr="007724BC">
        <w:t>Performance Evidence</w:t>
      </w:r>
    </w:p>
    <w:p w:rsidR="00000000" w:rsidRPr="007724BC" w:rsidP="00DA6E40">
      <w:pPr>
        <w:pStyle w:val="BodyText"/>
      </w:pPr>
      <w:r w:rsidRPr="007724BC">
        <w:t xml:space="preserve">To demonstrate competency a candidate must meet the elements and performance criteria of this unit by monitoring engineering structures for two projects. </w:t>
      </w:r>
    </w:p>
    <w:p w:rsidR="00000000" w:rsidRPr="007724BC" w:rsidP="00DA6E40">
      <w:pPr>
        <w:pStyle w:val="BodyText"/>
      </w:pPr>
      <w:r w:rsidRPr="007724BC">
        <w:t>For each project, the candidate must conduct measurements and calculations to me</w:t>
      </w:r>
      <w:r w:rsidRPr="007724BC">
        <w:t>et engineering specifications using three of the following pieces of equipment:</w:t>
      </w:r>
    </w:p>
    <w:p w:rsidR="00000000" w:rsidRPr="007724BC" w:rsidP="007724BC">
      <w:pPr>
        <w:pStyle w:val="ListBullet"/>
      </w:pPr>
      <w:r w:rsidRPr="007724BC">
        <w:t>current meter</w:t>
      </w:r>
    </w:p>
    <w:p w:rsidR="00000000" w:rsidRPr="007724BC" w:rsidP="007724BC">
      <w:pPr>
        <w:pStyle w:val="ListBullet"/>
      </w:pPr>
      <w:r w:rsidRPr="007724BC">
        <w:t>global navigation satellite system (GNSS)</w:t>
      </w:r>
    </w:p>
    <w:p w:rsidR="00000000" w:rsidRPr="007724BC" w:rsidP="007724BC">
      <w:pPr>
        <w:pStyle w:val="ListBullet"/>
      </w:pPr>
      <w:r w:rsidRPr="007724BC">
        <w:t>level</w:t>
      </w:r>
    </w:p>
    <w:p w:rsidR="00000000" w:rsidRPr="007724BC" w:rsidP="007724BC">
      <w:pPr>
        <w:pStyle w:val="ListBullet"/>
      </w:pPr>
      <w:r w:rsidRPr="007724BC">
        <w:t>tape</w:t>
      </w:r>
    </w:p>
    <w:p w:rsidR="00000000" w:rsidRPr="007724BC" w:rsidP="007724BC">
      <w:pPr>
        <w:pStyle w:val="ListBullet"/>
      </w:pPr>
      <w:r w:rsidRPr="007724BC">
        <w:t>theodolite</w:t>
      </w:r>
    </w:p>
    <w:p w:rsidR="00000000" w:rsidRPr="007724BC" w:rsidP="007724BC">
      <w:pPr>
        <w:pStyle w:val="ListBullet"/>
      </w:pPr>
      <w:r w:rsidRPr="007724BC">
        <w:t>total station.</w:t>
      </w:r>
    </w:p>
    <w:p w:rsidR="00000000" w:rsidRPr="007724BC" w:rsidP="007724BC">
      <w:pPr>
        <w:pStyle w:val="AllowPageBreak"/>
      </w:pPr>
    </w:p>
    <w:p w:rsidR="00000000" w:rsidRPr="007724BC" w:rsidP="007724BC">
      <w:pPr>
        <w:pStyle w:val="Heading1"/>
      </w:pPr>
      <w:bookmarkStart w:id="3" w:name="O_1149299"/>
      <w:bookmarkEnd w:id="3"/>
      <w:r w:rsidRPr="007724BC">
        <w:t>Knowledge Evidence</w:t>
      </w:r>
    </w:p>
    <w:p w:rsidR="00000000" w:rsidRPr="007724BC" w:rsidP="00DA6E40">
      <w:pPr>
        <w:pStyle w:val="BodyText"/>
      </w:pPr>
      <w:r w:rsidRPr="007724BC">
        <w:t>To be</w:t>
      </w:r>
      <w:r w:rsidRPr="007724BC">
        <w:t xml:space="preserve"> competent in this unit a candidate must demonstrate knowledge of:</w:t>
      </w:r>
    </w:p>
    <w:p w:rsidR="00000000" w:rsidRPr="007724BC" w:rsidP="007724BC">
      <w:pPr>
        <w:pStyle w:val="ListBullet"/>
      </w:pPr>
      <w:r w:rsidRPr="007724BC">
        <w:t>reference and coordinate systems for surveying data, including Australian Height Datum and Map Grid of Australia</w:t>
      </w:r>
    </w:p>
    <w:p w:rsidR="00000000" w:rsidRPr="007724BC" w:rsidP="007724BC">
      <w:pPr>
        <w:pStyle w:val="ListBullet"/>
      </w:pPr>
      <w:r w:rsidRPr="007724BC">
        <w:t>project zone design</w:t>
      </w:r>
    </w:p>
    <w:p w:rsidR="00000000" w:rsidRPr="007724BC" w:rsidP="007724BC">
      <w:pPr>
        <w:pStyle w:val="ListBullet"/>
      </w:pPr>
      <w:r w:rsidRPr="007724BC">
        <w:t>graphical and technical information in engineering plan</w:t>
      </w:r>
      <w:r w:rsidRPr="007724BC">
        <w:t>s</w:t>
      </w:r>
    </w:p>
    <w:p w:rsidR="00000000" w:rsidRPr="007724BC" w:rsidP="007724BC">
      <w:pPr>
        <w:pStyle w:val="ListBullet"/>
      </w:pPr>
      <w:r w:rsidRPr="007724BC">
        <w:t xml:space="preserve">accuracy and precision requirements and tolerances for engineering structures </w:t>
      </w:r>
    </w:p>
    <w:p w:rsidR="00000000" w:rsidRPr="007724BC" w:rsidP="007724BC">
      <w:pPr>
        <w:pStyle w:val="ListBullet"/>
      </w:pPr>
      <w:r w:rsidRPr="007724BC">
        <w:t>data formatting, processing and reduction techniques</w:t>
      </w:r>
    </w:p>
    <w:p w:rsidR="00000000" w:rsidRPr="007724BC" w:rsidP="007724BC">
      <w:pPr>
        <w:pStyle w:val="ListBullet"/>
      </w:pPr>
      <w:r w:rsidRPr="007724BC">
        <w:t>industry-accepted standards and methods for validating data to identify errors and discrepancies</w:t>
      </w:r>
    </w:p>
    <w:p w:rsidR="00000000" w:rsidRPr="007724BC" w:rsidP="007724BC">
      <w:pPr>
        <w:pStyle w:val="ListBullet"/>
      </w:pPr>
      <w:r w:rsidRPr="007724BC">
        <w:t xml:space="preserve">legislative requirements </w:t>
      </w:r>
      <w:r w:rsidRPr="007724BC">
        <w:t>and industry standards relating to monitoring engineering structures</w:t>
      </w:r>
    </w:p>
    <w:p w:rsidR="00000000" w:rsidRPr="007724BC" w:rsidP="007724BC">
      <w:pPr>
        <w:pStyle w:val="ListBullet"/>
      </w:pPr>
      <w:r w:rsidRPr="007724BC">
        <w:t>work health and safety (WHS) relating to survey activities and work on construction sites</w:t>
      </w:r>
    </w:p>
    <w:p w:rsidR="00000000" w:rsidRPr="007724BC" w:rsidP="007724BC">
      <w:pPr>
        <w:pStyle w:val="ListBullet"/>
      </w:pPr>
      <w:r w:rsidRPr="007724BC">
        <w:t>processes to establish and use high-level survey control</w:t>
      </w:r>
    </w:p>
    <w:p w:rsidR="00000000" w:rsidRPr="007724BC" w:rsidP="007724BC">
      <w:pPr>
        <w:pStyle w:val="ListBullet"/>
      </w:pPr>
      <w:r w:rsidRPr="007724BC">
        <w:t>use and application of network and trave</w:t>
      </w:r>
      <w:r w:rsidRPr="007724BC">
        <w:t>rse adjustments</w:t>
      </w:r>
    </w:p>
    <w:p w:rsidR="00000000" w:rsidRPr="007724BC" w:rsidP="007724BC">
      <w:pPr>
        <w:pStyle w:val="ListBullet"/>
      </w:pPr>
      <w:r w:rsidRPr="007724BC">
        <w:t>methods for calculating surveying data and verifying its accuracy using spatial reference systems</w:t>
      </w:r>
    </w:p>
    <w:p w:rsidR="00000000" w:rsidRPr="007724BC" w:rsidP="007724BC">
      <w:pPr>
        <w:pStyle w:val="ListBullet"/>
      </w:pPr>
      <w:r w:rsidRPr="007724BC">
        <w:t>methods for connecting equipment to coordinate systems</w:t>
      </w:r>
    </w:p>
    <w:p w:rsidR="00000000" w:rsidRPr="007724BC" w:rsidP="007724BC">
      <w:pPr>
        <w:pStyle w:val="ListBullet"/>
      </w:pPr>
      <w:r w:rsidRPr="007724BC">
        <w:t>methods for setting up, levelling and calibrating surveying equipment</w:t>
      </w:r>
    </w:p>
    <w:p w:rsidR="00000000" w:rsidRPr="007724BC" w:rsidP="007724BC">
      <w:pPr>
        <w:pStyle w:val="ListBullet"/>
      </w:pPr>
      <w:r w:rsidRPr="007724BC">
        <w:t>methods for ident</w:t>
      </w:r>
      <w:r w:rsidRPr="007724BC">
        <w:t>ifying and reporting non-conformities.</w:t>
      </w:r>
    </w:p>
    <w:p w:rsidR="00000000" w:rsidRPr="007724BC" w:rsidP="007724BC">
      <w:pPr>
        <w:pStyle w:val="AllowPageBreak"/>
      </w:pPr>
    </w:p>
    <w:p w:rsidR="00000000" w:rsidRPr="007724BC" w:rsidP="007724BC">
      <w:pPr>
        <w:pStyle w:val="Heading1"/>
      </w:pPr>
      <w:bookmarkStart w:id="4" w:name="O_1149298"/>
      <w:bookmarkEnd w:id="4"/>
      <w:r w:rsidRPr="007724BC">
        <w:t>Assessment Conditions</w:t>
      </w:r>
    </w:p>
    <w:p w:rsidR="00000000" w:rsidRPr="007724BC" w:rsidP="00DA6E40">
      <w:pPr>
        <w:pStyle w:val="BodyText"/>
      </w:pPr>
      <w:r w:rsidRPr="007724BC">
        <w:t xml:space="preserve">Assessors must meet the requirements for assessors contained in the Standards for Registered Training Organisations. </w:t>
      </w:r>
    </w:p>
    <w:p w:rsidR="00000000" w:rsidRPr="007724BC" w:rsidP="00DA6E40">
      <w:pPr>
        <w:pStyle w:val="BodyText"/>
      </w:pPr>
      <w:r w:rsidRPr="007724BC">
        <w:t>Competency is to be assessed in the workplace or a simulated environment that accurately reflects performance in a real workplace setting where these skills and knowledge would be performed.</w:t>
      </w:r>
    </w:p>
    <w:p w:rsidR="00000000" w:rsidRPr="007724BC" w:rsidP="00DA6E40">
      <w:pPr>
        <w:pStyle w:val="BodyText"/>
      </w:pPr>
      <w:r w:rsidRPr="007724BC">
        <w:t>Candidates must have access to:</w:t>
      </w:r>
    </w:p>
    <w:p w:rsidR="00000000" w:rsidRPr="007724BC" w:rsidP="007724BC">
      <w:pPr>
        <w:pStyle w:val="ListBullet"/>
      </w:pPr>
      <w:r w:rsidRPr="007724BC">
        <w:t>equipment for monitoring enginee</w:t>
      </w:r>
      <w:r w:rsidRPr="007724BC">
        <w:t>ring structures</w:t>
      </w:r>
    </w:p>
    <w:p w:rsidR="00000000" w:rsidRPr="007724BC" w:rsidP="007724BC">
      <w:pPr>
        <w:pStyle w:val="ListBullet"/>
      </w:pPr>
      <w:r w:rsidRPr="007724BC">
        <w:t>survey specifications, including relevant engineering plans and drawings.</w:t>
      </w:r>
    </w:p>
    <w:p w:rsidR="00000000" w:rsidRPr="007724BC" w:rsidP="007724BC">
      <w:pPr>
        <w:pStyle w:val="AllowPageBreak"/>
      </w:pPr>
    </w:p>
    <w:p w:rsidR="00000000" w:rsidRPr="007724BC" w:rsidP="007724BC">
      <w:pPr>
        <w:pStyle w:val="Heading1"/>
      </w:pPr>
      <w:bookmarkStart w:id="5" w:name="O_1149296"/>
      <w:bookmarkEnd w:id="5"/>
      <w:r w:rsidRPr="007724BC">
        <w:t>Links</w:t>
      </w:r>
    </w:p>
    <w:p w:rsidR="00000000" w:rsidRPr="007724BC" w:rsidP="00DA6E40">
      <w:pPr>
        <w:pStyle w:val="BodyText"/>
      </w:pPr>
      <w:r w:rsidRPr="007724B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A3AF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724BC" w:rsidP="007724BC"/>
    <w:sectPr w:rsidSect="007724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C" w:rsidRPr="00DA6E40" w:rsidP="00DA6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40" w:rsidP="00772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6E40" w:rsidP="00772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A6E40" w:rsidP="00772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4BC" w:rsidRPr="00DA6E40" w:rsidP="00DA6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40" w:rsidRPr="002D2AF8" w:rsidP="00772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CPPSSI6036 Monitor engineering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A6E40" w:rsidP="00772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FAC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87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4BC"/>
  </w:style>
  <w:style w:type="character" w:customStyle="1" w:styleId="Heading1Char">
    <w:name w:val="Heading 1 Char"/>
    <w:basedOn w:val="DefaultParagraphFont"/>
    <w:link w:val="Heading1"/>
    <w:rsid w:val="00772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4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2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4BC"/>
    <w:rPr>
      <w:b/>
      <w:spacing w:val="0"/>
    </w:rPr>
  </w:style>
  <w:style w:type="paragraph" w:customStyle="1" w:styleId="SuperTitle">
    <w:name w:val="SuperTitle"/>
    <w:basedOn w:val="Title"/>
    <w:rsid w:val="00772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4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4BC"/>
    <w:rPr>
      <w:i/>
    </w:rPr>
  </w:style>
  <w:style w:type="paragraph" w:styleId="Caption">
    <w:name w:val="caption"/>
    <w:basedOn w:val="BodyText"/>
    <w:next w:val="Normal"/>
    <w:qFormat/>
    <w:rsid w:val="00772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4BC"/>
  </w:style>
  <w:style w:type="paragraph" w:styleId="TableofFigures">
    <w:name w:val="table of figures"/>
    <w:basedOn w:val="Normal"/>
    <w:next w:val="Normal"/>
    <w:semiHidden/>
    <w:rsid w:val="00772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4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4BC"/>
    <w:rPr>
      <w:rFonts w:ascii="Wingdings" w:hAnsi="Wingdings"/>
    </w:rPr>
  </w:style>
  <w:style w:type="paragraph" w:customStyle="1" w:styleId="TableHeading">
    <w:name w:val="Table Heading"/>
    <w:basedOn w:val="HeadingBase"/>
    <w:rsid w:val="00772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4BC"/>
    <w:rPr>
      <w:color w:val="0033CC"/>
      <w:u w:val="none"/>
    </w:rPr>
  </w:style>
  <w:style w:type="paragraph" w:customStyle="1" w:styleId="BodyTextRight">
    <w:name w:val="Body Text Right"/>
    <w:basedOn w:val="BodyText"/>
    <w:rsid w:val="00772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4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4BC"/>
    <w:rPr>
      <w:sz w:val="32"/>
    </w:rPr>
  </w:style>
  <w:style w:type="paragraph" w:customStyle="1" w:styleId="HeadingProcedure">
    <w:name w:val="Heading Procedure"/>
    <w:basedOn w:val="HeadingBase"/>
    <w:next w:val="Normal"/>
    <w:rsid w:val="00772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4BC"/>
    <w:pPr>
      <w:spacing w:before="60" w:after="60"/>
    </w:pPr>
  </w:style>
  <w:style w:type="paragraph" w:styleId="ListContinue">
    <w:name w:val="List Continue"/>
    <w:basedOn w:val="List"/>
    <w:rsid w:val="007724BC"/>
    <w:pPr>
      <w:ind w:firstLine="0"/>
    </w:pPr>
  </w:style>
  <w:style w:type="paragraph" w:customStyle="1" w:styleId="ListNote">
    <w:name w:val="List Note"/>
    <w:basedOn w:val="List"/>
    <w:rsid w:val="00772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4BC"/>
    <w:rPr>
      <w:rFonts w:ascii="Courier New" w:hAnsi="Courier New"/>
    </w:rPr>
  </w:style>
  <w:style w:type="paragraph" w:customStyle="1" w:styleId="NoteBullet">
    <w:name w:val="Note Bullet"/>
    <w:basedOn w:val="Note"/>
    <w:rsid w:val="00772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4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4BC"/>
    <w:rPr>
      <w:b/>
      <w:smallCaps/>
    </w:rPr>
  </w:style>
  <w:style w:type="paragraph" w:customStyle="1" w:styleId="TableListNumber">
    <w:name w:val="Table List Number"/>
    <w:basedOn w:val="ListNumber"/>
    <w:rsid w:val="00772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4BC"/>
    <w:pPr>
      <w:numPr>
        <w:numId w:val="8"/>
      </w:numPr>
    </w:pPr>
  </w:style>
  <w:style w:type="paragraph" w:customStyle="1" w:styleId="ListAlpha2">
    <w:name w:val="List Alpha 2"/>
    <w:basedOn w:val="List2"/>
    <w:rsid w:val="007724BC"/>
    <w:pPr>
      <w:numPr>
        <w:numId w:val="7"/>
      </w:numPr>
    </w:pPr>
  </w:style>
  <w:style w:type="paragraph" w:styleId="List2">
    <w:name w:val="List 2"/>
    <w:basedOn w:val="BodyText"/>
    <w:rsid w:val="00772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4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4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4BC"/>
    <w:pPr>
      <w:numPr>
        <w:numId w:val="3"/>
      </w:numPr>
    </w:pPr>
  </w:style>
  <w:style w:type="paragraph" w:styleId="ListContinue2">
    <w:name w:val="List Continue 2"/>
    <w:basedOn w:val="List2"/>
    <w:rsid w:val="007724BC"/>
    <w:pPr>
      <w:ind w:firstLine="0"/>
    </w:pPr>
  </w:style>
  <w:style w:type="paragraph" w:styleId="ListContinue3">
    <w:name w:val="List Continue 3"/>
    <w:basedOn w:val="List3"/>
    <w:rsid w:val="007724BC"/>
    <w:pPr>
      <w:ind w:left="1021" w:firstLine="0"/>
    </w:pPr>
  </w:style>
  <w:style w:type="paragraph" w:styleId="ListContinue4">
    <w:name w:val="List Continue 4"/>
    <w:basedOn w:val="List4"/>
    <w:rsid w:val="007724BC"/>
    <w:pPr>
      <w:ind w:firstLine="0"/>
    </w:pPr>
  </w:style>
  <w:style w:type="paragraph" w:styleId="ListContinue5">
    <w:name w:val="List Continue 5"/>
    <w:basedOn w:val="List5"/>
    <w:rsid w:val="007724BC"/>
    <w:pPr>
      <w:ind w:firstLine="0"/>
    </w:pPr>
  </w:style>
  <w:style w:type="paragraph" w:styleId="ListNumber3">
    <w:name w:val="List Number 3"/>
    <w:basedOn w:val="List3"/>
    <w:rsid w:val="007724BC"/>
    <w:pPr>
      <w:numPr>
        <w:numId w:val="4"/>
      </w:numPr>
    </w:pPr>
  </w:style>
  <w:style w:type="paragraph" w:styleId="ListNumber4">
    <w:name w:val="List Number 4"/>
    <w:basedOn w:val="List4"/>
    <w:rsid w:val="007724BC"/>
    <w:pPr>
      <w:numPr>
        <w:numId w:val="5"/>
      </w:numPr>
    </w:pPr>
  </w:style>
  <w:style w:type="paragraph" w:styleId="ListNumber5">
    <w:name w:val="List Number 5"/>
    <w:basedOn w:val="List5"/>
    <w:rsid w:val="007724BC"/>
    <w:pPr>
      <w:numPr>
        <w:numId w:val="6"/>
      </w:numPr>
    </w:pPr>
  </w:style>
  <w:style w:type="paragraph" w:styleId="BlockText">
    <w:name w:val="Block Text"/>
    <w:basedOn w:val="Normal"/>
    <w:rsid w:val="00772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4BC"/>
    <w:rPr>
      <w:sz w:val="16"/>
      <w:vertAlign w:val="superscript"/>
    </w:rPr>
  </w:style>
  <w:style w:type="character" w:customStyle="1" w:styleId="Symbols">
    <w:name w:val="Symbols"/>
    <w:basedOn w:val="DefaultParagraphFont"/>
    <w:rsid w:val="007724BC"/>
    <w:rPr>
      <w:rFonts w:ascii="Symbol" w:hAnsi="Symbol"/>
    </w:rPr>
  </w:style>
  <w:style w:type="character" w:customStyle="1" w:styleId="MenuOptions">
    <w:name w:val="Menu Options"/>
    <w:basedOn w:val="DefaultParagraphFont"/>
    <w:rsid w:val="00772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4BC"/>
    <w:rPr>
      <w:b/>
    </w:rPr>
  </w:style>
  <w:style w:type="character" w:customStyle="1" w:styleId="Underlined">
    <w:name w:val="Underlined"/>
    <w:basedOn w:val="DefaultParagraphFont"/>
    <w:rsid w:val="007724BC"/>
    <w:rPr>
      <w:u w:val="single"/>
    </w:rPr>
  </w:style>
  <w:style w:type="paragraph" w:customStyle="1" w:styleId="TableBodyTextRight">
    <w:name w:val="Table Body Text Right"/>
    <w:basedOn w:val="TableBodyText"/>
    <w:rsid w:val="00772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4BC"/>
    <w:rPr>
      <w:sz w:val="18"/>
    </w:rPr>
  </w:style>
  <w:style w:type="paragraph" w:customStyle="1" w:styleId="BodySmallRight">
    <w:name w:val="Body Small Right"/>
    <w:basedOn w:val="BodyTextRight"/>
    <w:rsid w:val="007724BC"/>
    <w:rPr>
      <w:sz w:val="18"/>
      <w:szCs w:val="18"/>
    </w:rPr>
  </w:style>
  <w:style w:type="paragraph" w:customStyle="1" w:styleId="MarginEdition">
    <w:name w:val="Margin Edition"/>
    <w:basedOn w:val="MarginNote"/>
    <w:rsid w:val="00772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4BC"/>
    <w:rPr>
      <w:sz w:val="2"/>
      <w:szCs w:val="2"/>
    </w:rPr>
  </w:style>
  <w:style w:type="character" w:customStyle="1" w:styleId="Small">
    <w:name w:val="Small"/>
    <w:basedOn w:val="DefaultParagraphFont"/>
    <w:rsid w:val="007724BC"/>
    <w:rPr>
      <w:sz w:val="16"/>
    </w:rPr>
  </w:style>
  <w:style w:type="paragraph" w:customStyle="1" w:styleId="WideTable">
    <w:name w:val="Wide Table"/>
    <w:basedOn w:val="Normal"/>
    <w:rsid w:val="00772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4BC"/>
  </w:style>
  <w:style w:type="paragraph" w:styleId="Quote">
    <w:name w:val="Quote"/>
    <w:basedOn w:val="Heading1"/>
    <w:link w:val="QuoteChar"/>
    <w:qFormat/>
    <w:rsid w:val="00772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4BC"/>
    <w:pPr>
      <w:pageBreakBefore/>
    </w:pPr>
  </w:style>
  <w:style w:type="paragraph" w:customStyle="1" w:styleId="Border">
    <w:name w:val="Border"/>
    <w:basedOn w:val="Normal"/>
    <w:qFormat/>
    <w:rsid w:val="00772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4BC"/>
    <w:rPr>
      <w:u w:val="single"/>
    </w:rPr>
  </w:style>
  <w:style w:type="character" w:customStyle="1" w:styleId="BoldandItalics">
    <w:name w:val="Bold and Italics"/>
    <w:qFormat/>
    <w:rsid w:val="007724BC"/>
    <w:rPr>
      <w:b/>
      <w:i/>
      <w:u w:val="none"/>
    </w:rPr>
  </w:style>
  <w:style w:type="paragraph" w:styleId="BalloonText">
    <w:name w:val="Balloon Text"/>
    <w:basedOn w:val="Normal"/>
    <w:link w:val="BalloonTextChar"/>
    <w:rsid w:val="00772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4BC"/>
    <w:pPr>
      <w:spacing w:before="0" w:after="0"/>
    </w:pPr>
  </w:style>
  <w:style w:type="paragraph" w:customStyle="1" w:styleId="BodyTextBold">
    <w:name w:val="Body Text Bold"/>
    <w:basedOn w:val="BodyText"/>
    <w:qFormat/>
    <w:rsid w:val="007724BC"/>
    <w:rPr>
      <w:b/>
    </w:rPr>
  </w:style>
  <w:style w:type="character" w:styleId="Hyperlink">
    <w:name w:val="Hyperlink"/>
    <w:basedOn w:val="DefaultParagraphFont"/>
    <w:uiPriority w:val="99"/>
    <w:unhideWhenUsed/>
    <w:rsid w:val="00DA6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2360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CPPSSI6036 Monitor engineering structures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