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2156" w:rsidP="001F21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CPPSSI5053 Perform complex surveying computations</w:t>
      </w:r>
      <w:r>
        <w:fldChar w:fldCharType="end"/>
      </w:r>
    </w:p>
    <w:p w:rsidR="001F2156" w:rsidP="001F2156">
      <w:pPr>
        <w:pStyle w:val="Version"/>
        <w:sectPr w:rsidSect="00BA4A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4A98" w:rsidP="00BA4A98">
      <w:pPr>
        <w:pStyle w:val="SuperHeading"/>
      </w:pPr>
      <w:r w:rsidRPr="00BA4A98">
        <w:t>CPPSSI5053 Perform complex surveying computations</w:t>
      </w:r>
    </w:p>
    <w:p w:rsidR="00000000" w:rsidRPr="00BA4A98" w:rsidP="00BA4A98">
      <w:pPr>
        <w:pStyle w:val="Heading1"/>
      </w:pPr>
      <w:bookmarkStart w:id="1" w:name="O_1148963"/>
      <w:bookmarkEnd w:id="1"/>
      <w:r w:rsidRPr="00BA4A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A4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98">
            <w:pPr>
              <w:pStyle w:val="BodyText"/>
              <w:rPr>
                <w:lang w:val="en-NZ"/>
              </w:rPr>
            </w:pPr>
            <w:r w:rsidRPr="00BA4A9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A98" w:rsidP="00BA4A98">
            <w:pPr>
              <w:pStyle w:val="BodyText"/>
            </w:pPr>
            <w:r w:rsidRPr="00BA4A98">
              <w:t>This version first released with CPP Property Services Training Package Release 12.0.</w:t>
            </w:r>
          </w:p>
          <w:p w:rsidR="00000000" w:rsidRPr="00BA4A98" w:rsidP="00BA4A98">
            <w:pPr>
              <w:pStyle w:val="BodyText"/>
            </w:pPr>
            <w:r w:rsidRPr="00BA4A98">
              <w:t>This unit supersedes and is equivalent to CPPSIS5053 Perform advanced surveying computations.</w:t>
            </w:r>
          </w:p>
        </w:tc>
      </w:tr>
    </w:tbl>
    <w:p w:rsidR="00000000" w:rsidRPr="00BA4A98" w:rsidP="00BA4A98">
      <w:pPr>
        <w:pStyle w:val="BodyText"/>
      </w:pPr>
    </w:p>
    <w:p w:rsidR="00000000" w:rsidRPr="00BA4A98" w:rsidP="00BA4A98">
      <w:pPr>
        <w:pStyle w:val="AllowPageBreak"/>
      </w:pPr>
    </w:p>
    <w:p w:rsidR="00000000" w:rsidRPr="00BA4A98" w:rsidP="00BA4A98">
      <w:pPr>
        <w:pStyle w:val="Heading1"/>
      </w:pPr>
      <w:bookmarkStart w:id="2" w:name="O_1148969"/>
      <w:bookmarkEnd w:id="2"/>
      <w:r w:rsidRPr="00BA4A98">
        <w:t>Application</w:t>
      </w:r>
    </w:p>
    <w:p w:rsidR="00000000" w:rsidRPr="00BA4A98" w:rsidP="001F2156">
      <w:pPr>
        <w:pStyle w:val="BodyText"/>
      </w:pPr>
      <w:r w:rsidRPr="00BA4A98">
        <w:t>Thi</w:t>
      </w:r>
      <w:r w:rsidRPr="00BA4A98">
        <w:t>s unit specifies the skills and knowledge required to perform advanced surveying computations to solve a range of surveying and simple engineering-related problems. It includes the application of mathematical concepts, computations and conversions relating</w:t>
      </w:r>
      <w:r w:rsidRPr="00BA4A98">
        <w:t xml:space="preserve"> to algebra, statistics, geometry and trigonometry. The unit also includes identifying errors and missing elements. It includes developing appropriate </w:t>
      </w:r>
      <w:r w:rsidRPr="00BA4A98">
        <w:rPr>
          <w:rStyle w:val="Emphasis"/>
        </w:rPr>
        <w:t>a priori</w:t>
      </w:r>
      <w:r w:rsidRPr="00BA4A98">
        <w:t xml:space="preserve"> and </w:t>
      </w:r>
      <w:r w:rsidRPr="00BA4A98">
        <w:rPr>
          <w:rStyle w:val="Emphasis"/>
        </w:rPr>
        <w:t>a posteriori</w:t>
      </w:r>
      <w:r w:rsidRPr="00BA4A98">
        <w:t xml:space="preserve"> uncertainty values to support compliance with surveying industry standards.</w:t>
      </w:r>
    </w:p>
    <w:p w:rsidR="00000000" w:rsidRPr="00BA4A98" w:rsidP="001F2156">
      <w:pPr>
        <w:pStyle w:val="BodyText"/>
      </w:pPr>
      <w:r w:rsidRPr="00BA4A98">
        <w:t>Thi</w:t>
      </w:r>
      <w:r w:rsidRPr="00BA4A98">
        <w:t>s unit is suitable for skilled surveying technicians and skilled spatial information system (SIS) technicians who use a broad range of cognitive, technical and communication skills to select and apply methods and technologies to analyse information and pro</w:t>
      </w:r>
      <w:r w:rsidRPr="00BA4A98">
        <w:t>vide solutions to sometimes complex surveying/spatial information problems</w:t>
      </w:r>
      <w:r w:rsidRPr="00BA4A98">
        <w:rPr>
          <w:rStyle w:val="Emphasis"/>
        </w:rPr>
        <w:t xml:space="preserve">. </w:t>
      </w:r>
    </w:p>
    <w:p w:rsidR="00000000" w:rsidRPr="00BA4A98" w:rsidP="001F2156">
      <w:pPr>
        <w:pStyle w:val="BodyText"/>
      </w:pPr>
      <w:r w:rsidRPr="00BA4A98">
        <w:t>Surveying and spatial information skills are applied in a range of industry contexts, including town planning, civil construction, mining, engineering, health, agriculture and def</w:t>
      </w:r>
      <w:r w:rsidRPr="00BA4A98">
        <w:t>ence.  </w:t>
      </w:r>
    </w:p>
    <w:p w:rsidR="00000000" w:rsidRPr="00BA4A98" w:rsidP="001F2156">
      <w:pPr>
        <w:pStyle w:val="BodyText"/>
      </w:pPr>
      <w:r w:rsidRPr="00BA4A98">
        <w:t>All work must be carried out to comply with workplace procedures, in accordance with relevant State/territory regulations that govern surveying work, as well as work health and safety (WHS) legislation and regulations that apply to the workplace.</w:t>
      </w:r>
    </w:p>
    <w:p w:rsidR="00000000" w:rsidRPr="00BA4A98" w:rsidP="001F2156">
      <w:pPr>
        <w:pStyle w:val="BodyText"/>
      </w:pPr>
      <w:r w:rsidRPr="00BA4A98">
        <w:t>N</w:t>
      </w:r>
      <w:r w:rsidRPr="00BA4A98">
        <w:t>o licensing, legislative or certification requirements apply to this unit at the time of publication.</w:t>
      </w:r>
    </w:p>
    <w:p w:rsidR="00000000" w:rsidRPr="00BA4A98" w:rsidP="00BA4A98">
      <w:pPr>
        <w:pStyle w:val="Heading1"/>
      </w:pPr>
      <w:bookmarkStart w:id="3" w:name="O_1148968"/>
      <w:bookmarkEnd w:id="3"/>
      <w:r w:rsidRPr="00BA4A98">
        <w:t>Pre-requisite Unit</w:t>
      </w:r>
    </w:p>
    <w:p w:rsidR="00000000" w:rsidRPr="00BA4A98" w:rsidP="001F2156">
      <w:pPr>
        <w:pStyle w:val="BodyText"/>
      </w:pPr>
      <w:r w:rsidRPr="00BA4A98">
        <w:t>Nil.</w:t>
      </w:r>
    </w:p>
    <w:p w:rsidR="00000000" w:rsidRPr="00BA4A98" w:rsidP="00BA4A98">
      <w:pPr>
        <w:pStyle w:val="Heading1"/>
      </w:pPr>
      <w:bookmarkStart w:id="4" w:name="O_1148967"/>
      <w:bookmarkEnd w:id="4"/>
      <w:r w:rsidRPr="00BA4A98">
        <w:t>Unit Sector</w:t>
      </w:r>
    </w:p>
    <w:p w:rsidR="00000000" w:rsidRPr="00BA4A98" w:rsidP="001F2156">
      <w:pPr>
        <w:pStyle w:val="BodyText"/>
      </w:pPr>
      <w:r w:rsidRPr="00BA4A98">
        <w:t>Surveying and Spatial Information Services</w:t>
      </w:r>
    </w:p>
    <w:p w:rsidR="00000000" w:rsidRPr="00BA4A98" w:rsidP="00BA4A98">
      <w:pPr>
        <w:pStyle w:val="Heading1"/>
      </w:pPr>
      <w:bookmarkStart w:id="5" w:name="O_1148966"/>
      <w:bookmarkEnd w:id="5"/>
      <w:r w:rsidRPr="00BA4A98">
        <w:t>Elements and Perfo</w:t>
      </w:r>
      <w:r w:rsidRPr="00BA4A98">
        <w:t>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BA4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98">
            <w:pPr>
              <w:pStyle w:val="BodyText"/>
              <w:rPr>
                <w:lang w:val="en-NZ"/>
              </w:rPr>
            </w:pPr>
            <w:r w:rsidRPr="00BA4A98">
              <w:t xml:space="preserve">Elements describe the </w:t>
            </w:r>
            <w:r w:rsidRPr="00BA4A98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98">
            <w:pPr>
              <w:pStyle w:val="BodyText"/>
              <w:rPr>
                <w:lang w:val="en-NZ"/>
              </w:rPr>
            </w:pPr>
            <w:r w:rsidRPr="00BA4A98">
              <w:t xml:space="preserve">Performance criteria describe what needs to be done to </w:t>
            </w:r>
            <w:r w:rsidRPr="00BA4A98">
              <w:t>demonstrate achievement of the element.</w:t>
            </w:r>
          </w:p>
        </w:tc>
      </w:tr>
      <w:tr w:rsidTr="00BA4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98">
            <w:pPr>
              <w:pStyle w:val="BodyText"/>
              <w:rPr>
                <w:lang w:val="en-NZ"/>
              </w:rPr>
            </w:pPr>
            <w:r w:rsidRPr="00BA4A98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98">
            <w:pPr>
              <w:pStyle w:val="BodyText"/>
              <w:rPr>
                <w:lang w:val="en-NZ"/>
              </w:rPr>
            </w:pPr>
            <w:r w:rsidRPr="00BA4A98">
              <w:t>Prepare for surveying computations.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98">
            <w:pPr>
              <w:pStyle w:val="BodyText"/>
              <w:rPr>
                <w:lang w:val="en-NZ"/>
              </w:rPr>
            </w:pPr>
            <w:r w:rsidRPr="00BA4A98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98">
            <w:pPr>
              <w:pStyle w:val="BodyText"/>
              <w:rPr>
                <w:lang w:val="en-NZ"/>
              </w:rPr>
            </w:pPr>
            <w:r w:rsidRPr="00BA4A98">
              <w:t>Identify task requirements in consultation with appropriate persons.</w:t>
            </w:r>
          </w:p>
        </w:tc>
      </w:tr>
      <w:tr w:rsidTr="00BA4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98">
            <w:pPr>
              <w:pStyle w:val="BodyText"/>
              <w:rPr>
                <w:lang w:val="en-NZ"/>
              </w:rPr>
            </w:pPr>
            <w:r w:rsidRPr="00BA4A98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98">
            <w:pPr>
              <w:pStyle w:val="BodyText"/>
              <w:rPr>
                <w:lang w:val="en-NZ"/>
              </w:rPr>
            </w:pPr>
            <w:r w:rsidRPr="00BA4A98">
              <w:t xml:space="preserve">Identify requirements for accuracy and tolerances according to industry-accepted practices. </w:t>
            </w:r>
          </w:p>
        </w:tc>
      </w:tr>
      <w:tr w:rsidTr="00BA4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98">
            <w:pPr>
              <w:pStyle w:val="BodyText"/>
              <w:rPr>
                <w:lang w:val="en-NZ"/>
              </w:rPr>
            </w:pPr>
            <w:r w:rsidRPr="00BA4A98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98">
            <w:pPr>
              <w:pStyle w:val="BodyText"/>
              <w:rPr>
                <w:lang w:val="en-NZ"/>
              </w:rPr>
            </w:pPr>
            <w:r w:rsidRPr="00BA4A98">
              <w:t>Select computational equipment to perform advanced surveying computations according to task and organisational requirements.</w:t>
            </w:r>
          </w:p>
        </w:tc>
      </w:tr>
      <w:tr w:rsidTr="00BA4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98">
            <w:pPr>
              <w:pStyle w:val="BodyText"/>
              <w:rPr>
                <w:lang w:val="en-NZ"/>
              </w:rPr>
            </w:pPr>
          </w:p>
        </w:tc>
      </w:tr>
      <w:tr w:rsidTr="00BA4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98">
            <w:pPr>
              <w:pStyle w:val="BodyText"/>
              <w:rPr>
                <w:lang w:val="en-NZ"/>
              </w:rPr>
            </w:pPr>
            <w:r w:rsidRPr="00BA4A98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98">
            <w:pPr>
              <w:pStyle w:val="BodyText"/>
              <w:rPr>
                <w:lang w:val="en-NZ"/>
              </w:rPr>
            </w:pPr>
            <w:r w:rsidRPr="00BA4A98">
              <w:t>Solve advanced computation problems.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98">
            <w:pPr>
              <w:pStyle w:val="BodyText"/>
              <w:rPr>
                <w:lang w:val="en-NZ"/>
              </w:rPr>
            </w:pPr>
            <w:r w:rsidRPr="00BA4A98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98">
            <w:pPr>
              <w:pStyle w:val="BodyText"/>
              <w:rPr>
                <w:lang w:val="en-NZ"/>
              </w:rPr>
            </w:pPr>
            <w:r w:rsidRPr="00BA4A98">
              <w:t xml:space="preserve">Compute the coordinates of a traverse and adjust and compute missing elements and </w:t>
            </w:r>
            <w:r w:rsidRPr="00BA4A98">
              <w:t>coordinates.</w:t>
            </w:r>
          </w:p>
        </w:tc>
      </w:tr>
      <w:tr w:rsidTr="00BA4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98">
            <w:pPr>
              <w:pStyle w:val="BodyText"/>
              <w:rPr>
                <w:lang w:val="en-NZ"/>
              </w:rPr>
            </w:pPr>
            <w:r w:rsidRPr="00BA4A98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98">
            <w:pPr>
              <w:pStyle w:val="BodyText"/>
              <w:rPr>
                <w:lang w:val="en-NZ"/>
              </w:rPr>
            </w:pPr>
            <w:r w:rsidRPr="00BA4A98">
              <w:t xml:space="preserve">Reduce traverse information and simplify to requirements for single horizontal and vertical angle. </w:t>
            </w:r>
          </w:p>
        </w:tc>
      </w:tr>
      <w:tr w:rsidTr="00BA4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98">
            <w:pPr>
              <w:pStyle w:val="BodyText"/>
              <w:rPr>
                <w:lang w:val="en-NZ"/>
              </w:rPr>
            </w:pPr>
            <w:r w:rsidRPr="00BA4A98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98">
            <w:pPr>
              <w:pStyle w:val="BodyText"/>
              <w:rPr>
                <w:lang w:val="en-NZ"/>
              </w:rPr>
            </w:pPr>
            <w:r w:rsidRPr="00BA4A98">
              <w:t>Identify and solve problems involving linear figures of parallel, constant or different width according to standards.</w:t>
            </w:r>
          </w:p>
        </w:tc>
      </w:tr>
      <w:tr w:rsidTr="00BA4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98">
            <w:pPr>
              <w:pStyle w:val="BodyText"/>
              <w:rPr>
                <w:lang w:val="en-NZ"/>
              </w:rPr>
            </w:pPr>
            <w:r w:rsidRPr="00BA4A98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98">
            <w:pPr>
              <w:pStyle w:val="BodyText"/>
              <w:rPr>
                <w:lang w:val="en-NZ"/>
              </w:rPr>
            </w:pPr>
            <w:r w:rsidRPr="00BA4A98">
              <w:t>Solve road intersection problems by calculating the bearing and distance from a relevant point with different road widths according to requirements.</w:t>
            </w:r>
          </w:p>
        </w:tc>
      </w:tr>
      <w:tr w:rsidTr="00BA4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98">
            <w:pPr>
              <w:pStyle w:val="BodyText"/>
              <w:rPr>
                <w:lang w:val="en-NZ"/>
              </w:rPr>
            </w:pPr>
            <w:r w:rsidRPr="00BA4A98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98">
            <w:pPr>
              <w:pStyle w:val="BodyText"/>
              <w:rPr>
                <w:lang w:val="en-NZ"/>
              </w:rPr>
            </w:pPr>
            <w:r w:rsidRPr="00BA4A98">
              <w:t>Perform computations to maintain areas of closed figures according to industry-accepted standards.</w:t>
            </w:r>
          </w:p>
        </w:tc>
      </w:tr>
      <w:tr w:rsidTr="00BA4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98">
            <w:pPr>
              <w:pStyle w:val="BodyText"/>
              <w:rPr>
                <w:lang w:val="en-NZ"/>
              </w:rPr>
            </w:pPr>
            <w:r w:rsidRPr="00BA4A98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98">
            <w:pPr>
              <w:pStyle w:val="BodyText"/>
              <w:rPr>
                <w:lang w:val="en-NZ"/>
              </w:rPr>
            </w:pPr>
            <w:r w:rsidRPr="00BA4A98">
              <w:t>Research and use equipment accuracy information in uncertainty calculations.</w:t>
            </w:r>
          </w:p>
        </w:tc>
      </w:tr>
      <w:tr w:rsidTr="00BA4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98">
            <w:pPr>
              <w:pStyle w:val="BodyText"/>
              <w:rPr>
                <w:lang w:val="en-NZ"/>
              </w:rPr>
            </w:pPr>
            <w:r w:rsidRPr="00BA4A98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98">
            <w:pPr>
              <w:pStyle w:val="BodyText"/>
              <w:rPr>
                <w:lang w:val="en-NZ"/>
              </w:rPr>
            </w:pPr>
            <w:r w:rsidRPr="00BA4A98">
              <w:t xml:space="preserve">Calculate </w:t>
            </w:r>
            <w:r w:rsidRPr="00BA4A98">
              <w:rPr>
                <w:rStyle w:val="Emphasis"/>
              </w:rPr>
              <w:t>a priori</w:t>
            </w:r>
            <w:r w:rsidRPr="00BA4A98">
              <w:t xml:space="preserve"> and </w:t>
            </w:r>
            <w:r w:rsidRPr="00BA4A98">
              <w:rPr>
                <w:rStyle w:val="Emphasis"/>
              </w:rPr>
              <w:t>a posteriori</w:t>
            </w:r>
            <w:r w:rsidRPr="00BA4A98">
              <w:t xml:space="preserve"> uncertainty values to demonstrate compliance of data with industry-accepted standards.</w:t>
            </w:r>
          </w:p>
        </w:tc>
      </w:tr>
      <w:tr w:rsidTr="00BA4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98">
            <w:pPr>
              <w:pStyle w:val="BodyText"/>
              <w:rPr>
                <w:lang w:val="en-NZ"/>
              </w:rPr>
            </w:pPr>
            <w:r w:rsidRPr="00BA4A98">
              <w:t>2.8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98">
            <w:pPr>
              <w:pStyle w:val="BodyText"/>
              <w:rPr>
                <w:lang w:val="en-NZ"/>
              </w:rPr>
            </w:pPr>
            <w:r w:rsidRPr="00BA4A98">
              <w:t>Perform computations on all elements</w:t>
            </w:r>
            <w:r w:rsidRPr="00BA4A98">
              <w:t xml:space="preserve"> of complex circular and reverse curves and solve missing elements by checking for precision and accuracy according to organisational requirements.</w:t>
            </w:r>
          </w:p>
        </w:tc>
      </w:tr>
      <w:tr w:rsidTr="00BA4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98">
            <w:pPr>
              <w:pStyle w:val="BodyText"/>
              <w:rPr>
                <w:lang w:val="en-NZ"/>
              </w:rPr>
            </w:pPr>
          </w:p>
        </w:tc>
      </w:tr>
      <w:tr w:rsidTr="00BA4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98">
            <w:pPr>
              <w:pStyle w:val="BodyText"/>
              <w:rPr>
                <w:lang w:val="en-NZ"/>
              </w:rPr>
            </w:pPr>
            <w:r w:rsidRPr="00BA4A98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98">
            <w:pPr>
              <w:pStyle w:val="BodyText"/>
              <w:rPr>
                <w:lang w:val="en-NZ"/>
              </w:rPr>
            </w:pPr>
            <w:r w:rsidRPr="00BA4A98">
              <w:t>Finalise computations.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98">
            <w:pPr>
              <w:pStyle w:val="BodyText"/>
              <w:rPr>
                <w:lang w:val="en-NZ"/>
              </w:rPr>
            </w:pPr>
            <w:r w:rsidRPr="00BA4A98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98">
            <w:pPr>
              <w:pStyle w:val="BodyText"/>
              <w:rPr>
                <w:lang w:val="en-NZ"/>
              </w:rPr>
            </w:pPr>
            <w:r w:rsidRPr="00BA4A98">
              <w:t xml:space="preserve">Apply rigorous checking procedures to identify errors in computational results. </w:t>
            </w:r>
          </w:p>
        </w:tc>
      </w:tr>
      <w:tr w:rsidTr="00BA4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98">
            <w:pPr>
              <w:pStyle w:val="BodyText"/>
              <w:rPr>
                <w:lang w:val="en-NZ"/>
              </w:rPr>
            </w:pPr>
            <w:r w:rsidRPr="00BA4A98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98">
            <w:pPr>
              <w:pStyle w:val="BodyText"/>
              <w:rPr>
                <w:lang w:val="en-NZ"/>
              </w:rPr>
            </w:pPr>
            <w:r w:rsidRPr="00BA4A98">
              <w:t xml:space="preserve">Adjust checked measurements and computations as required according to industry-accepted standards and </w:t>
            </w:r>
            <w:r w:rsidRPr="00BA4A98">
              <w:t>task requirements.</w:t>
            </w:r>
          </w:p>
        </w:tc>
      </w:tr>
      <w:tr w:rsidTr="00BA4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98">
            <w:pPr>
              <w:pStyle w:val="BodyText"/>
              <w:rPr>
                <w:lang w:val="en-NZ"/>
              </w:rPr>
            </w:pPr>
            <w:r w:rsidRPr="00BA4A98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A98" w:rsidP="00BA4A98">
            <w:pPr>
              <w:pStyle w:val="BodyText"/>
            </w:pPr>
            <w:r w:rsidRPr="00BA4A98">
              <w:t>Finalise and record computations using industry-accepted templates and formats according to organisational requirements.</w:t>
            </w:r>
          </w:p>
        </w:tc>
      </w:tr>
    </w:tbl>
    <w:p w:rsidR="00000000" w:rsidRPr="00BA4A98" w:rsidP="00BA4A98">
      <w:pPr>
        <w:pStyle w:val="BodyText"/>
      </w:pPr>
    </w:p>
    <w:p w:rsidR="00000000" w:rsidRPr="00BA4A98" w:rsidP="00BA4A98">
      <w:pPr>
        <w:pStyle w:val="AllowPageBreak"/>
      </w:pPr>
    </w:p>
    <w:p w:rsidR="00000000" w:rsidRPr="00BA4A98" w:rsidP="00BA4A98">
      <w:pPr>
        <w:pStyle w:val="Heading1"/>
      </w:pPr>
      <w:bookmarkStart w:id="6" w:name="O_1148965"/>
      <w:bookmarkEnd w:id="6"/>
      <w:r w:rsidRPr="00BA4A98">
        <w:t>Foundation Skills</w:t>
      </w:r>
    </w:p>
    <w:p w:rsidR="00000000" w:rsidRPr="00BA4A98" w:rsidP="001F2156">
      <w:pPr>
        <w:pStyle w:val="BodyText"/>
      </w:pPr>
      <w:r w:rsidRPr="00BA4A98">
        <w:t>Foundation skills essential to performance are explicit in the performance criteria of this unit</w:t>
      </w:r>
      <w:r w:rsidRPr="00BA4A98">
        <w:t xml:space="preserve"> of competency.</w:t>
      </w:r>
    </w:p>
    <w:p w:rsidR="00000000" w:rsidRPr="00BA4A98" w:rsidP="00BA4A98">
      <w:pPr>
        <w:pStyle w:val="Heading1"/>
      </w:pPr>
      <w:bookmarkStart w:id="7" w:name="O_1148964"/>
      <w:bookmarkEnd w:id="7"/>
      <w:r w:rsidRPr="00BA4A98">
        <w:t>Unit Mapping Information</w:t>
      </w:r>
    </w:p>
    <w:p w:rsidR="00000000" w:rsidRPr="00BA4A98" w:rsidP="001F2156">
      <w:pPr>
        <w:pStyle w:val="BodyText"/>
      </w:pPr>
      <w:r w:rsidRPr="00BA4A98">
        <w:t>Supersedes and is equivalent to CPPSIS5053 Perform advanced surveying computations.</w:t>
      </w:r>
    </w:p>
    <w:p w:rsidR="00000000" w:rsidRPr="00BA4A98" w:rsidP="00BA4A98">
      <w:pPr>
        <w:pStyle w:val="Heading1"/>
      </w:pPr>
      <w:bookmarkStart w:id="8" w:name="O_1148957"/>
      <w:bookmarkEnd w:id="8"/>
      <w:r w:rsidRPr="00BA4A98">
        <w:t>Links</w:t>
      </w:r>
    </w:p>
    <w:p w:rsidR="00000000" w:rsidRPr="00BA4A98" w:rsidP="001F2156">
      <w:pPr>
        <w:pStyle w:val="BodyText"/>
      </w:pPr>
      <w:r w:rsidRPr="00BA4A9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8783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BA4A98" w:rsidP="00BA4A98"/>
    <w:sectPr w:rsidSect="00BA4A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A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A98" w:rsidRPr="001F2156" w:rsidP="001F21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A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156" w:rsidP="00BA4A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2156" w:rsidP="00BA4A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F2156" w:rsidP="00BA4A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A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1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4A98" w:rsidRPr="001F2156" w:rsidP="001F21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A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156" w:rsidRPr="002D2AF8" w:rsidP="00BA4A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CPPSSI5053 Perform complex surveying computations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1F2156" w:rsidP="00BA4A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4A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4A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4A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4A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4A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4A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4A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4A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4A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4A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4A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4A98"/>
  </w:style>
  <w:style w:type="character" w:customStyle="1" w:styleId="Heading1Char">
    <w:name w:val="Heading 1 Char"/>
    <w:basedOn w:val="DefaultParagraphFont"/>
    <w:link w:val="Heading1"/>
    <w:rsid w:val="00BA4A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4A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4A98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BA4A98"/>
    <w:rPr>
      <w:i/>
    </w:rPr>
  </w:style>
  <w:style w:type="paragraph" w:customStyle="1" w:styleId="SuperHeading">
    <w:name w:val="SuperHeading"/>
    <w:basedOn w:val="Normal"/>
    <w:rsid w:val="00BA4A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4A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4A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4A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4A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4A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4A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4A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4A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4A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4A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4A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4A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4A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4A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4A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4A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4A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4A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4A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4A9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A4A9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A4A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A4A98"/>
    <w:rPr>
      <w:b/>
      <w:spacing w:val="0"/>
    </w:rPr>
  </w:style>
  <w:style w:type="paragraph" w:customStyle="1" w:styleId="SuperTitle">
    <w:name w:val="SuperTitle"/>
    <w:basedOn w:val="Title"/>
    <w:rsid w:val="00BA4A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4A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4A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4A9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4A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4A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4A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4A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4A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4A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4A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4A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4A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4A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4A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4A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4A98"/>
  </w:style>
  <w:style w:type="paragraph" w:styleId="TableofFigures">
    <w:name w:val="table of figures"/>
    <w:basedOn w:val="Normal"/>
    <w:next w:val="Normal"/>
    <w:semiHidden/>
    <w:rsid w:val="00BA4A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4A9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A4A98"/>
    <w:rPr>
      <w:rFonts w:ascii="Wingdings" w:hAnsi="Wingdings"/>
    </w:rPr>
  </w:style>
  <w:style w:type="paragraph" w:customStyle="1" w:styleId="TableHeading">
    <w:name w:val="Table Heading"/>
    <w:basedOn w:val="HeadingBase"/>
    <w:rsid w:val="00BA4A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4A98"/>
    <w:rPr>
      <w:color w:val="0033CC"/>
      <w:u w:val="none"/>
    </w:rPr>
  </w:style>
  <w:style w:type="paragraph" w:customStyle="1" w:styleId="BodyTextRight">
    <w:name w:val="Body Text Right"/>
    <w:basedOn w:val="BodyText"/>
    <w:rsid w:val="00BA4A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4A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4A9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4A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4A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4A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4A98"/>
    <w:rPr>
      <w:sz w:val="32"/>
    </w:rPr>
  </w:style>
  <w:style w:type="paragraph" w:customStyle="1" w:styleId="HeadingProcedure">
    <w:name w:val="Heading Procedure"/>
    <w:basedOn w:val="HeadingBase"/>
    <w:next w:val="Normal"/>
    <w:rsid w:val="00BA4A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4A98"/>
    <w:pPr>
      <w:spacing w:before="60" w:after="60"/>
    </w:pPr>
  </w:style>
  <w:style w:type="paragraph" w:styleId="ListContinue">
    <w:name w:val="List Continue"/>
    <w:basedOn w:val="List"/>
    <w:rsid w:val="00BA4A98"/>
    <w:pPr>
      <w:ind w:firstLine="0"/>
    </w:pPr>
  </w:style>
  <w:style w:type="paragraph" w:customStyle="1" w:styleId="ListNote">
    <w:name w:val="List Note"/>
    <w:basedOn w:val="List"/>
    <w:rsid w:val="00BA4A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4A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4A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4A98"/>
    <w:rPr>
      <w:rFonts w:ascii="Courier New" w:hAnsi="Courier New"/>
    </w:rPr>
  </w:style>
  <w:style w:type="paragraph" w:customStyle="1" w:styleId="NoteBullet">
    <w:name w:val="Note Bullet"/>
    <w:basedOn w:val="Note"/>
    <w:rsid w:val="00BA4A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4A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4A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4A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4A9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A4A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4A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4A98"/>
    <w:rPr>
      <w:b/>
      <w:smallCaps/>
    </w:rPr>
  </w:style>
  <w:style w:type="paragraph" w:customStyle="1" w:styleId="TableListNumber">
    <w:name w:val="Table List Number"/>
    <w:basedOn w:val="ListNumber"/>
    <w:rsid w:val="00BA4A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4A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4A98"/>
    <w:pPr>
      <w:numPr>
        <w:numId w:val="7"/>
      </w:numPr>
    </w:pPr>
  </w:style>
  <w:style w:type="paragraph" w:customStyle="1" w:styleId="ListAlpha2">
    <w:name w:val="List Alpha 2"/>
    <w:basedOn w:val="List2"/>
    <w:rsid w:val="00BA4A98"/>
    <w:pPr>
      <w:numPr>
        <w:numId w:val="6"/>
      </w:numPr>
    </w:pPr>
  </w:style>
  <w:style w:type="paragraph" w:styleId="List2">
    <w:name w:val="List 2"/>
    <w:basedOn w:val="BodyText"/>
    <w:rsid w:val="00BA4A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4A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4A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4A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4A9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4A9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A4A98"/>
    <w:pPr>
      <w:numPr>
        <w:numId w:val="2"/>
      </w:numPr>
    </w:pPr>
  </w:style>
  <w:style w:type="paragraph" w:styleId="ListContinue2">
    <w:name w:val="List Continue 2"/>
    <w:basedOn w:val="List2"/>
    <w:rsid w:val="00BA4A98"/>
    <w:pPr>
      <w:ind w:firstLine="0"/>
    </w:pPr>
  </w:style>
  <w:style w:type="paragraph" w:styleId="ListContinue3">
    <w:name w:val="List Continue 3"/>
    <w:basedOn w:val="List3"/>
    <w:rsid w:val="00BA4A98"/>
    <w:pPr>
      <w:ind w:left="1021" w:firstLine="0"/>
    </w:pPr>
  </w:style>
  <w:style w:type="paragraph" w:styleId="ListContinue4">
    <w:name w:val="List Continue 4"/>
    <w:basedOn w:val="List4"/>
    <w:rsid w:val="00BA4A98"/>
    <w:pPr>
      <w:ind w:firstLine="0"/>
    </w:pPr>
  </w:style>
  <w:style w:type="paragraph" w:styleId="ListContinue5">
    <w:name w:val="List Continue 5"/>
    <w:basedOn w:val="List5"/>
    <w:rsid w:val="00BA4A98"/>
    <w:pPr>
      <w:ind w:firstLine="0"/>
    </w:pPr>
  </w:style>
  <w:style w:type="paragraph" w:styleId="ListNumber3">
    <w:name w:val="List Number 3"/>
    <w:basedOn w:val="List3"/>
    <w:rsid w:val="00BA4A98"/>
    <w:pPr>
      <w:numPr>
        <w:numId w:val="3"/>
      </w:numPr>
    </w:pPr>
  </w:style>
  <w:style w:type="paragraph" w:styleId="ListNumber4">
    <w:name w:val="List Number 4"/>
    <w:basedOn w:val="List4"/>
    <w:rsid w:val="00BA4A98"/>
    <w:pPr>
      <w:numPr>
        <w:numId w:val="4"/>
      </w:numPr>
    </w:pPr>
  </w:style>
  <w:style w:type="paragraph" w:styleId="ListNumber5">
    <w:name w:val="List Number 5"/>
    <w:basedOn w:val="List5"/>
    <w:rsid w:val="00BA4A98"/>
    <w:pPr>
      <w:numPr>
        <w:numId w:val="5"/>
      </w:numPr>
    </w:pPr>
  </w:style>
  <w:style w:type="paragraph" w:styleId="BlockText">
    <w:name w:val="Block Text"/>
    <w:basedOn w:val="Normal"/>
    <w:rsid w:val="00BA4A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4A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4A98"/>
    <w:rPr>
      <w:sz w:val="16"/>
      <w:vertAlign w:val="superscript"/>
    </w:rPr>
  </w:style>
  <w:style w:type="character" w:customStyle="1" w:styleId="Symbols">
    <w:name w:val="Symbols"/>
    <w:basedOn w:val="DefaultParagraphFont"/>
    <w:rsid w:val="00BA4A98"/>
    <w:rPr>
      <w:rFonts w:ascii="Symbol" w:hAnsi="Symbol"/>
    </w:rPr>
  </w:style>
  <w:style w:type="character" w:customStyle="1" w:styleId="MenuOptions">
    <w:name w:val="Menu Options"/>
    <w:basedOn w:val="DefaultParagraphFont"/>
    <w:rsid w:val="00BA4A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4A98"/>
    <w:rPr>
      <w:b/>
    </w:rPr>
  </w:style>
  <w:style w:type="character" w:customStyle="1" w:styleId="Underlined">
    <w:name w:val="Underlined"/>
    <w:basedOn w:val="DefaultParagraphFont"/>
    <w:rsid w:val="00BA4A98"/>
    <w:rPr>
      <w:u w:val="single"/>
    </w:rPr>
  </w:style>
  <w:style w:type="paragraph" w:customStyle="1" w:styleId="TableBodyTextRight">
    <w:name w:val="Table Body Text Right"/>
    <w:basedOn w:val="TableBodyText"/>
    <w:rsid w:val="00BA4A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4A98"/>
    <w:rPr>
      <w:sz w:val="18"/>
    </w:rPr>
  </w:style>
  <w:style w:type="paragraph" w:customStyle="1" w:styleId="BodySmallRight">
    <w:name w:val="Body Small Right"/>
    <w:basedOn w:val="BodyTextRight"/>
    <w:rsid w:val="00BA4A98"/>
    <w:rPr>
      <w:sz w:val="18"/>
      <w:szCs w:val="18"/>
    </w:rPr>
  </w:style>
  <w:style w:type="paragraph" w:customStyle="1" w:styleId="MarginEdition">
    <w:name w:val="Margin Edition"/>
    <w:basedOn w:val="MarginNote"/>
    <w:rsid w:val="00BA4A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4A98"/>
    <w:rPr>
      <w:sz w:val="2"/>
      <w:szCs w:val="2"/>
    </w:rPr>
  </w:style>
  <w:style w:type="character" w:customStyle="1" w:styleId="Small">
    <w:name w:val="Small"/>
    <w:basedOn w:val="DefaultParagraphFont"/>
    <w:rsid w:val="00BA4A98"/>
    <w:rPr>
      <w:sz w:val="16"/>
    </w:rPr>
  </w:style>
  <w:style w:type="paragraph" w:customStyle="1" w:styleId="WideTable">
    <w:name w:val="Wide Table"/>
    <w:basedOn w:val="Normal"/>
    <w:rsid w:val="00BA4A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4A98"/>
  </w:style>
  <w:style w:type="paragraph" w:styleId="Quote">
    <w:name w:val="Quote"/>
    <w:basedOn w:val="Heading1"/>
    <w:link w:val="QuoteChar"/>
    <w:qFormat/>
    <w:rsid w:val="00BA4A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4A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4A98"/>
    <w:pPr>
      <w:pageBreakBefore/>
    </w:pPr>
  </w:style>
  <w:style w:type="paragraph" w:customStyle="1" w:styleId="Border">
    <w:name w:val="Border"/>
    <w:basedOn w:val="Normal"/>
    <w:qFormat/>
    <w:rsid w:val="00BA4A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4A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4A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4A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4A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4A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4A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4A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4A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4A98"/>
    <w:rPr>
      <w:u w:val="single"/>
    </w:rPr>
  </w:style>
  <w:style w:type="character" w:customStyle="1" w:styleId="BoldandItalics">
    <w:name w:val="Bold and Italics"/>
    <w:qFormat/>
    <w:rsid w:val="00BA4A98"/>
    <w:rPr>
      <w:b/>
      <w:i/>
      <w:u w:val="none"/>
    </w:rPr>
  </w:style>
  <w:style w:type="paragraph" w:styleId="BalloonText">
    <w:name w:val="Balloon Text"/>
    <w:basedOn w:val="Normal"/>
    <w:link w:val="BalloonTextChar"/>
    <w:rsid w:val="00BA4A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4A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4A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4A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4A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4A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4A98"/>
    <w:pPr>
      <w:spacing w:before="0" w:after="0"/>
    </w:pPr>
  </w:style>
  <w:style w:type="paragraph" w:customStyle="1" w:styleId="BodyTextBold">
    <w:name w:val="Body Text Bold"/>
    <w:basedOn w:val="BodyText"/>
    <w:qFormat/>
    <w:rsid w:val="00BA4A98"/>
    <w:rPr>
      <w:b/>
    </w:rPr>
  </w:style>
  <w:style w:type="character" w:styleId="Hyperlink">
    <w:name w:val="Hyperlink"/>
    <w:basedOn w:val="DefaultParagraphFont"/>
    <w:uiPriority w:val="99"/>
    <w:unhideWhenUsed/>
    <w:rsid w:val="001F21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559</Words>
  <Characters>3751</Characters>
  <Application>Microsoft Office Word</Application>
  <DocSecurity>0</DocSecurity>
  <Lines>150</Lines>
  <Paragraphs>71</Paragraphs>
  <ScaleCrop>false</ScaleCrop>
  <Company>Author-it Software Corporation Ltd.</Company>
  <LinksUpToDate>false</LinksUpToDate>
  <CharactersWithSpaces>4239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CPPSSI5053 Perform complex surveying computations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2022-12-19T06:00:00Z</dcterms:created>
  <dcterms:modified xsi:type="dcterms:W3CDTF">2022-12-19T06:00:00Z</dcterms:modified>
</cp:coreProperties>
</file>