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32B" w:rsidP="008E132B">
      <w:pPr>
        <w:pStyle w:val="Title"/>
      </w:pPr>
      <w:r>
        <w:fldChar w:fldCharType="begin"/>
      </w:r>
      <w:r>
        <w:instrText xml:space="preserve"> TITLE   \* MERGEFORMAT </w:instrText>
      </w:r>
      <w:r>
        <w:fldChar w:fldCharType="separate"/>
      </w:r>
      <w:r>
        <w:t>CPPSSI5051 Conduct identification surveys</w:t>
      </w:r>
      <w:r>
        <w:fldChar w:fldCharType="end"/>
      </w:r>
    </w:p>
    <w:p w:rsidR="008E132B" w:rsidP="008E132B">
      <w:pPr>
        <w:pStyle w:val="Version"/>
        <w:sectPr w:rsidSect="002B3A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A3B" w:rsidP="002B3A3B">
      <w:pPr>
        <w:pStyle w:val="SuperHeading"/>
      </w:pPr>
      <w:r w:rsidRPr="002B3A3B">
        <w:t>CPPSSI5051 Conduct identification surveys</w:t>
      </w:r>
    </w:p>
    <w:p w:rsidR="00000000" w:rsidRPr="002B3A3B" w:rsidP="002B3A3B">
      <w:pPr>
        <w:pStyle w:val="Heading1"/>
      </w:pPr>
      <w:bookmarkStart w:id="1" w:name="O_1148929"/>
      <w:bookmarkEnd w:id="1"/>
      <w:r w:rsidRPr="002B3A3B">
        <w:t>Modification History</w:t>
      </w:r>
    </w:p>
    <w:tbl>
      <w:tblPr>
        <w:tblW w:w="0" w:type="auto"/>
        <w:tblLayout w:type="fixed"/>
        <w:tblCellMar>
          <w:left w:w="62" w:type="dxa"/>
          <w:right w:w="62" w:type="dxa"/>
        </w:tblCellMar>
        <w:tblLook w:val="0000"/>
      </w:tblPr>
      <w:tblGrid>
        <w:gridCol w:w="1128"/>
        <w:gridCol w:w="7944"/>
      </w:tblGrid>
      <w:tr w:rsidTr="002B3A3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Release 1</w:t>
            </w:r>
          </w:p>
        </w:tc>
        <w:tc>
          <w:tcPr>
            <w:tcW w:w="7944" w:type="dxa"/>
            <w:tcBorders>
              <w:top w:val="nil"/>
              <w:left w:val="nil"/>
              <w:bottom w:val="nil"/>
              <w:right w:val="nil"/>
            </w:tcBorders>
            <w:tcMar>
              <w:top w:w="0" w:type="dxa"/>
              <w:left w:w="62" w:type="dxa"/>
              <w:bottom w:w="0" w:type="dxa"/>
              <w:right w:w="62" w:type="dxa"/>
            </w:tcMar>
          </w:tcPr>
          <w:p w:rsidR="00000000" w:rsidRPr="002B3A3B" w:rsidP="002B3A3B">
            <w:pPr>
              <w:pStyle w:val="BodyText"/>
            </w:pPr>
            <w:r w:rsidRPr="002B3A3B">
              <w:t>This version first released with CPP Property Services Training Package Release 12.0.</w:t>
            </w:r>
          </w:p>
          <w:p w:rsidR="00000000" w:rsidRPr="002B3A3B" w:rsidP="002B3A3B">
            <w:pPr>
              <w:pStyle w:val="BodyText"/>
            </w:pPr>
            <w:r w:rsidRPr="002B3A3B">
              <w:t>This unit supersedes and is equivalent to CPPSIS5051 Apply land and planning law to surveying.</w:t>
            </w:r>
          </w:p>
        </w:tc>
      </w:tr>
    </w:tbl>
    <w:p w:rsidR="00000000" w:rsidRPr="002B3A3B" w:rsidP="002B3A3B">
      <w:pPr>
        <w:pStyle w:val="BodyText"/>
      </w:pPr>
    </w:p>
    <w:p w:rsidR="00000000" w:rsidRPr="002B3A3B" w:rsidP="002B3A3B">
      <w:pPr>
        <w:pStyle w:val="AllowPageBreak"/>
      </w:pPr>
    </w:p>
    <w:p w:rsidR="00000000" w:rsidRPr="002B3A3B" w:rsidP="002B3A3B">
      <w:pPr>
        <w:pStyle w:val="Heading1"/>
      </w:pPr>
      <w:bookmarkStart w:id="2" w:name="O_1148935"/>
      <w:bookmarkEnd w:id="2"/>
      <w:r w:rsidRPr="002B3A3B">
        <w:t>Application</w:t>
      </w:r>
    </w:p>
    <w:p w:rsidR="00000000" w:rsidRPr="002B3A3B" w:rsidP="008E132B">
      <w:pPr>
        <w:pStyle w:val="BodyText"/>
      </w:pPr>
      <w:r w:rsidRPr="002B3A3B">
        <w:t>This unit s</w:t>
      </w:r>
      <w:r w:rsidRPr="002B3A3B">
        <w:t xml:space="preserve">pecifies the skills and knowledge required to apply land and planning law to surveying property title boundaries. It includes marking out urban structures and identifying urban lots and related improvements using cadastral surveying methods and equipment. </w:t>
      </w:r>
      <w:r w:rsidRPr="002B3A3B">
        <w:t xml:space="preserve">The unit also includes compiling reports and sketches for submission to an approving authority as part of a development application. </w:t>
      </w:r>
    </w:p>
    <w:p w:rsidR="00000000" w:rsidRPr="002B3A3B" w:rsidP="008E132B">
      <w:pPr>
        <w:pStyle w:val="BodyText"/>
      </w:pPr>
      <w:r w:rsidRPr="002B3A3B">
        <w:t>This unit is suitable for skilled surveying technicians and skilled spatial information system (SIS) technicians who use a</w:t>
      </w:r>
      <w:r w:rsidRPr="002B3A3B">
        <w:t xml:space="preserve"> broad range of cognitive, technical and communication skills to select and apply methods and technologies to analyse information and provide solutions to sometimes complex surveying/spatial information problems.</w:t>
      </w:r>
      <w:r w:rsidRPr="002B3A3B">
        <w:rPr>
          <w:rStyle w:val="Emphasis"/>
        </w:rPr>
        <w:t xml:space="preserve"> </w:t>
      </w:r>
    </w:p>
    <w:p w:rsidR="00000000" w:rsidRPr="002B3A3B" w:rsidP="008E132B">
      <w:pPr>
        <w:pStyle w:val="BodyText"/>
      </w:pPr>
      <w:r w:rsidRPr="002B3A3B">
        <w:t>Surveying and spatial information skills a</w:t>
      </w:r>
      <w:r w:rsidRPr="002B3A3B">
        <w:t>re applied in a range of industry contexts, including town planning, civil construction, mining, engineering, health, agriculture and defence.  </w:t>
      </w:r>
    </w:p>
    <w:p w:rsidR="00000000" w:rsidRPr="002B3A3B" w:rsidP="008E132B">
      <w:pPr>
        <w:pStyle w:val="BodyText"/>
      </w:pPr>
      <w:r w:rsidRPr="002B3A3B">
        <w:t>All work must be carried out to comply with workplace procedures, in accordance with relevant state/territory r</w:t>
      </w:r>
      <w:r w:rsidRPr="002B3A3B">
        <w:t>egulations that govern surveying work, as well as work health and safety (WHS) legislation and regulations that apply to the workplace.</w:t>
      </w:r>
    </w:p>
    <w:p w:rsidR="00000000" w:rsidRPr="002B3A3B" w:rsidP="008E132B">
      <w:pPr>
        <w:pStyle w:val="BodyText"/>
      </w:pPr>
      <w:r w:rsidRPr="002B3A3B">
        <w:t>Cadastral surveying must be undertaken under the supervision of a registered surveyor. Users must check with the relevan</w:t>
      </w:r>
      <w:r w:rsidRPr="002B3A3B">
        <w:t xml:space="preserve">t regulatory state/territory authority before delivery. </w:t>
      </w:r>
    </w:p>
    <w:p w:rsidR="00000000" w:rsidRPr="002B3A3B" w:rsidP="008E132B">
      <w:pPr>
        <w:pStyle w:val="BodyText"/>
      </w:pPr>
      <w:r w:rsidRPr="002B3A3B">
        <w:t>No licensing, legislative or certification requirements apply to this unit at the time of publication.</w:t>
      </w:r>
    </w:p>
    <w:p w:rsidR="00000000" w:rsidRPr="002B3A3B" w:rsidP="002B3A3B">
      <w:pPr>
        <w:pStyle w:val="Heading1"/>
      </w:pPr>
      <w:bookmarkStart w:id="3" w:name="O_1148934"/>
      <w:bookmarkEnd w:id="3"/>
      <w:r w:rsidRPr="002B3A3B">
        <w:t>Pre-requisite Unit</w:t>
      </w:r>
    </w:p>
    <w:p w:rsidR="00000000" w:rsidRPr="002B3A3B" w:rsidP="008E132B">
      <w:pPr>
        <w:pStyle w:val="BodyText"/>
      </w:pPr>
      <w:r w:rsidRPr="002B3A3B">
        <w:t>Nil.</w:t>
      </w:r>
    </w:p>
    <w:p w:rsidR="00000000" w:rsidRPr="002B3A3B" w:rsidP="002B3A3B">
      <w:pPr>
        <w:pStyle w:val="Heading1"/>
      </w:pPr>
      <w:bookmarkStart w:id="4" w:name="O_1148933"/>
      <w:bookmarkEnd w:id="4"/>
      <w:r w:rsidRPr="002B3A3B">
        <w:t>Unit Sector</w:t>
      </w:r>
    </w:p>
    <w:p w:rsidR="00000000" w:rsidRPr="002B3A3B" w:rsidP="008E132B">
      <w:pPr>
        <w:pStyle w:val="BodyText"/>
      </w:pPr>
      <w:r w:rsidRPr="002B3A3B">
        <w:t xml:space="preserve">Surveying and Spatial </w:t>
      </w:r>
      <w:r w:rsidRPr="002B3A3B">
        <w:t>Information Services</w:t>
      </w:r>
    </w:p>
    <w:p w:rsidR="00000000" w:rsidRPr="002B3A3B" w:rsidP="002B3A3B">
      <w:pPr>
        <w:pStyle w:val="Heading1"/>
      </w:pPr>
      <w:bookmarkStart w:id="5" w:name="O_1148932"/>
      <w:bookmarkEnd w:id="5"/>
      <w:r w:rsidRPr="002B3A3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B3A3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Performance criteria describe what needs to be done to demonstrate achievement of the element.</w:t>
            </w:r>
          </w:p>
        </w:tc>
      </w:tr>
      <w:tr w:rsidTr="002B3A3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1</w:t>
            </w:r>
          </w:p>
        </w:tc>
        <w:tc>
          <w:tcPr>
            <w:tcW w:w="2357" w:type="dxa"/>
            <w:vMerge w:val="restart"/>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Determine survey requirements.</w:t>
            </w:r>
          </w:p>
        </w:tc>
        <w:tc>
          <w:tcPr>
            <w:tcW w:w="804"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1.1</w:t>
            </w:r>
          </w:p>
        </w:tc>
        <w:tc>
          <w:tcPr>
            <w:tcW w:w="5659"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Conduct a search on legislative requirements to obtain survey information relating to boundary dimensions, design information, land title information and topographic features.</w:t>
            </w:r>
          </w:p>
        </w:tc>
      </w:tr>
      <w:tr w:rsidTr="002B3A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1.2</w:t>
            </w:r>
          </w:p>
        </w:tc>
        <w:tc>
          <w:tcPr>
            <w:tcW w:w="5659"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 xml:space="preserve">Locate survey marks from survey plan and establish position of parcel of land corners.  </w:t>
            </w:r>
          </w:p>
        </w:tc>
      </w:tr>
      <w:tr w:rsidTr="002B3A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1.3</w:t>
            </w:r>
          </w:p>
        </w:tc>
        <w:tc>
          <w:tcPr>
            <w:tcW w:w="5659"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Mark the boundary with offset lines and use line marks on long or obstructed boundaries as required.</w:t>
            </w:r>
          </w:p>
        </w:tc>
      </w:tr>
      <w:tr w:rsidTr="002B3A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1.4</w:t>
            </w:r>
          </w:p>
        </w:tc>
        <w:tc>
          <w:tcPr>
            <w:tcW w:w="5659"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Use monumented and non-monumented occupations to est</w:t>
            </w:r>
            <w:r w:rsidRPr="002B3A3B">
              <w:t>ablish an azimuth parallel to street boundary.</w:t>
            </w:r>
          </w:p>
        </w:tc>
      </w:tr>
      <w:tr w:rsidTr="002B3A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1.5</w:t>
            </w:r>
          </w:p>
        </w:tc>
        <w:tc>
          <w:tcPr>
            <w:tcW w:w="5659"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Adopt assumed azimuth to enable completion of field survey and calculations and make required adjustments to swing onto azimuth.</w:t>
            </w:r>
          </w:p>
        </w:tc>
      </w:tr>
      <w:tr w:rsidTr="002B3A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1.6</w:t>
            </w:r>
          </w:p>
        </w:tc>
        <w:tc>
          <w:tcPr>
            <w:tcW w:w="5659"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Calculate azimuth derived from marks at opposite extremities of su</w:t>
            </w:r>
            <w:r w:rsidRPr="002B3A3B">
              <w:t>rvey.</w:t>
            </w:r>
          </w:p>
        </w:tc>
      </w:tr>
      <w:tr w:rsidTr="002B3A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1.7</w:t>
            </w:r>
          </w:p>
        </w:tc>
        <w:tc>
          <w:tcPr>
            <w:tcW w:w="5659"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Interpret relationship between alignment marks to determine relevant boundaries shown in plans.</w:t>
            </w:r>
          </w:p>
        </w:tc>
      </w:tr>
      <w:tr w:rsidTr="002B3A3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B3A3B">
            <w:pPr>
              <w:pStyle w:val="BodyText"/>
              <w:rPr>
                <w:lang w:val="en-NZ"/>
              </w:rPr>
            </w:pPr>
          </w:p>
        </w:tc>
      </w:tr>
      <w:tr w:rsidTr="002B3A3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2</w:t>
            </w:r>
          </w:p>
        </w:tc>
        <w:tc>
          <w:tcPr>
            <w:tcW w:w="2357" w:type="dxa"/>
            <w:vMerge w:val="restart"/>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Meet local and state/territory government regulatory requirements.</w:t>
            </w:r>
          </w:p>
        </w:tc>
        <w:tc>
          <w:tcPr>
            <w:tcW w:w="804"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2.1</w:t>
            </w:r>
          </w:p>
        </w:tc>
        <w:tc>
          <w:tcPr>
            <w:tcW w:w="5659"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 xml:space="preserve">Meet re-mark survey and siting requirements for local government area. </w:t>
            </w:r>
          </w:p>
        </w:tc>
      </w:tr>
      <w:tr w:rsidTr="002B3A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2.2</w:t>
            </w:r>
          </w:p>
        </w:tc>
        <w:tc>
          <w:tcPr>
            <w:tcW w:w="5659"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Adhere to relevant survey regulations relating to supervision and accuracy of surveys, field procedures, and survey searching.</w:t>
            </w:r>
          </w:p>
        </w:tc>
      </w:tr>
      <w:tr w:rsidTr="002B3A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2.3</w:t>
            </w:r>
          </w:p>
        </w:tc>
        <w:tc>
          <w:tcPr>
            <w:tcW w:w="5659"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Prepare field notes according to legislative requirements.</w:t>
            </w:r>
          </w:p>
        </w:tc>
      </w:tr>
      <w:tr w:rsidTr="002B3A3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B3A3B">
            <w:pPr>
              <w:pStyle w:val="BodyText"/>
              <w:rPr>
                <w:lang w:val="en-NZ"/>
              </w:rPr>
            </w:pPr>
          </w:p>
        </w:tc>
      </w:tr>
      <w:tr w:rsidTr="002B3A3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3</w:t>
            </w:r>
          </w:p>
        </w:tc>
        <w:tc>
          <w:tcPr>
            <w:tcW w:w="2357" w:type="dxa"/>
            <w:vMerge w:val="restart"/>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Mark-out and calculate identification survey.</w:t>
            </w:r>
          </w:p>
        </w:tc>
        <w:tc>
          <w:tcPr>
            <w:tcW w:w="804"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3.1</w:t>
            </w:r>
          </w:p>
        </w:tc>
        <w:tc>
          <w:tcPr>
            <w:tcW w:w="5659"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 xml:space="preserve">Establish azimuth and calculate boundaries using occupations and monuments or reference marks. </w:t>
            </w:r>
          </w:p>
        </w:tc>
      </w:tr>
      <w:tr w:rsidTr="002B3A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3.2</w:t>
            </w:r>
          </w:p>
        </w:tc>
        <w:tc>
          <w:tcPr>
            <w:tcW w:w="5659"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 xml:space="preserve">Calculate position of improvements in relation to boundaries using industry-accepted methods. </w:t>
            </w:r>
          </w:p>
        </w:tc>
      </w:tr>
      <w:tr w:rsidTr="002B3A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3.3</w:t>
            </w:r>
          </w:p>
        </w:tc>
        <w:tc>
          <w:tcPr>
            <w:tcW w:w="5659"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Apply appropriate validation methods to verify positioning of all placed marks and accuracy of data.</w:t>
            </w:r>
          </w:p>
        </w:tc>
      </w:tr>
      <w:tr w:rsidTr="002B3A3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B3A3B">
            <w:pPr>
              <w:pStyle w:val="BodyText"/>
              <w:rPr>
                <w:lang w:val="en-NZ"/>
              </w:rPr>
            </w:pPr>
          </w:p>
        </w:tc>
      </w:tr>
      <w:tr w:rsidTr="002B3A3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4</w:t>
            </w:r>
          </w:p>
        </w:tc>
        <w:tc>
          <w:tcPr>
            <w:tcW w:w="2357" w:type="dxa"/>
            <w:vMerge w:val="restart"/>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Prepare survey report.</w:t>
            </w:r>
          </w:p>
        </w:tc>
        <w:tc>
          <w:tcPr>
            <w:tcW w:w="804"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4.1</w:t>
            </w:r>
          </w:p>
        </w:tc>
        <w:tc>
          <w:tcPr>
            <w:tcW w:w="5659"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Prepare clear and concise survey report and related sketches suitable to accompany development application.</w:t>
            </w:r>
          </w:p>
        </w:tc>
      </w:tr>
      <w:tr w:rsidTr="002B3A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B3A3B">
            <w:pPr>
              <w:pStyle w:val="BodyText"/>
              <w:rPr>
                <w:lang w:val="en-NZ"/>
              </w:rPr>
            </w:pPr>
            <w:r w:rsidRPr="002B3A3B">
              <w:t>4.2</w:t>
            </w:r>
          </w:p>
        </w:tc>
        <w:tc>
          <w:tcPr>
            <w:tcW w:w="5659" w:type="dxa"/>
            <w:tcBorders>
              <w:top w:val="nil"/>
              <w:left w:val="nil"/>
              <w:bottom w:val="nil"/>
              <w:right w:val="nil"/>
            </w:tcBorders>
            <w:tcMar>
              <w:top w:w="0" w:type="dxa"/>
              <w:left w:w="62" w:type="dxa"/>
              <w:bottom w:w="0" w:type="dxa"/>
              <w:right w:w="62" w:type="dxa"/>
            </w:tcMar>
          </w:tcPr>
          <w:p w:rsidR="00000000" w:rsidRPr="002B3A3B" w:rsidP="002B3A3B">
            <w:pPr>
              <w:pStyle w:val="BodyText"/>
            </w:pPr>
            <w:r w:rsidRPr="002B3A3B">
              <w:t>Incorporate physical constraints and environmental impacts of development into report.</w:t>
            </w:r>
          </w:p>
        </w:tc>
      </w:tr>
    </w:tbl>
    <w:p w:rsidR="00000000" w:rsidRPr="002B3A3B" w:rsidP="002B3A3B">
      <w:pPr>
        <w:pStyle w:val="BodyText"/>
      </w:pPr>
    </w:p>
    <w:p w:rsidR="00000000" w:rsidRPr="002B3A3B" w:rsidP="002B3A3B">
      <w:pPr>
        <w:pStyle w:val="AllowPageBreak"/>
      </w:pPr>
    </w:p>
    <w:p w:rsidR="00000000" w:rsidRPr="002B3A3B" w:rsidP="002B3A3B">
      <w:pPr>
        <w:pStyle w:val="Heading1"/>
      </w:pPr>
      <w:bookmarkStart w:id="6" w:name="O_1148931"/>
      <w:bookmarkEnd w:id="6"/>
      <w:r w:rsidRPr="002B3A3B">
        <w:t>Foundation Skills</w:t>
      </w:r>
    </w:p>
    <w:p w:rsidR="00000000" w:rsidRPr="002B3A3B" w:rsidP="008E132B">
      <w:pPr>
        <w:pStyle w:val="BodyText"/>
      </w:pPr>
      <w:r w:rsidRPr="002B3A3B">
        <w:t>Foundation skills essential to performance are explicit in the performance criteria of this unit of competency.</w:t>
      </w:r>
    </w:p>
    <w:p w:rsidR="00000000" w:rsidRPr="002B3A3B" w:rsidP="002B3A3B">
      <w:pPr>
        <w:pStyle w:val="Heading1"/>
      </w:pPr>
      <w:bookmarkStart w:id="7" w:name="O_1148930"/>
      <w:bookmarkEnd w:id="7"/>
      <w:r w:rsidRPr="002B3A3B">
        <w:t>Unit Mapping Information</w:t>
      </w:r>
    </w:p>
    <w:p w:rsidR="00000000" w:rsidRPr="002B3A3B" w:rsidP="008E132B">
      <w:pPr>
        <w:pStyle w:val="BodyText"/>
      </w:pPr>
      <w:r w:rsidRPr="002B3A3B">
        <w:t>Supersedes and is equivalent to CPPSIS5051 Apply land and planning law to surveying.</w:t>
      </w:r>
    </w:p>
    <w:p w:rsidR="00000000" w:rsidRPr="002B3A3B" w:rsidP="002B3A3B">
      <w:pPr>
        <w:pStyle w:val="Heading1"/>
      </w:pPr>
      <w:bookmarkStart w:id="8" w:name="O_1148923"/>
      <w:bookmarkEnd w:id="8"/>
      <w:r w:rsidRPr="002B3A3B">
        <w:t>Links</w:t>
      </w:r>
    </w:p>
    <w:p w:rsidR="00000000" w:rsidRPr="002B3A3B" w:rsidP="008E132B">
      <w:pPr>
        <w:pStyle w:val="BodyText"/>
      </w:pPr>
      <w:r w:rsidRPr="002B3A3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91D27">
        <w:rPr>
          <w:rStyle w:val="Hyperlink"/>
        </w:rPr>
        <w:t>https://vetnet.gov.au/Pages/TrainingDocs.aspx?q=6f3f9672-30e8-4835-b348-205dfcf13d9b</w:t>
      </w:r>
      <w:r>
        <w:fldChar w:fldCharType="end"/>
      </w:r>
    </w:p>
    <w:p w:rsidR="00000000" w:rsidRPr="002B3A3B" w:rsidP="002B3A3B"/>
    <w:sectPr w:rsidSect="002B3A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3B" w:rsidRPr="008E132B" w:rsidP="008E13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32B" w:rsidP="002B3A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132B" w:rsidP="002B3A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E132B" w:rsidP="002B3A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3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3A3B" w:rsidRPr="008E132B" w:rsidP="008E13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32B" w:rsidRPr="002D2AF8" w:rsidP="002B3A3B">
    <w:pPr>
      <w:pStyle w:val="Header"/>
      <w:framePr w:wrap="around"/>
    </w:pPr>
    <w:r>
      <w:fldChar w:fldCharType="begin"/>
    </w:r>
    <w:r>
      <w:instrText xml:space="preserve"> TITLE   \* MERGEFORMAT </w:instrText>
    </w:r>
    <w:r>
      <w:fldChar w:fldCharType="separate"/>
    </w:r>
    <w:r>
      <w:t>CPPSSI5051 Conduct identification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E132B" w:rsidP="002B3A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A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A3B"/>
    <w:pPr>
      <w:spacing w:before="360" w:after="60"/>
      <w:outlineLvl w:val="0"/>
    </w:pPr>
    <w:rPr>
      <w:sz w:val="32"/>
    </w:rPr>
  </w:style>
  <w:style w:type="paragraph" w:styleId="Heading2">
    <w:name w:val="heading 2"/>
    <w:basedOn w:val="HeadingBase"/>
    <w:next w:val="BodyText"/>
    <w:link w:val="Heading2Char"/>
    <w:qFormat/>
    <w:rsid w:val="002B3A3B"/>
    <w:pPr>
      <w:keepLines/>
      <w:spacing w:before="240" w:after="120"/>
      <w:outlineLvl w:val="1"/>
    </w:pPr>
    <w:rPr>
      <w:sz w:val="28"/>
      <w:szCs w:val="40"/>
    </w:rPr>
  </w:style>
  <w:style w:type="paragraph" w:styleId="Heading3">
    <w:name w:val="heading 3"/>
    <w:basedOn w:val="HeadingBase"/>
    <w:next w:val="BodyText"/>
    <w:link w:val="Heading3Char"/>
    <w:qFormat/>
    <w:rsid w:val="002B3A3B"/>
    <w:pPr>
      <w:spacing w:before="180" w:after="120"/>
      <w:outlineLvl w:val="2"/>
    </w:pPr>
    <w:rPr>
      <w:spacing w:val="-10"/>
      <w:kern w:val="32"/>
    </w:rPr>
  </w:style>
  <w:style w:type="paragraph" w:styleId="Heading4">
    <w:name w:val="heading 4"/>
    <w:basedOn w:val="HeadingBase"/>
    <w:next w:val="BodyText"/>
    <w:link w:val="Heading4Char"/>
    <w:qFormat/>
    <w:rsid w:val="002B3A3B"/>
    <w:pPr>
      <w:spacing w:before="160" w:after="120"/>
      <w:outlineLvl w:val="3"/>
    </w:pPr>
    <w:rPr>
      <w:sz w:val="22"/>
    </w:rPr>
  </w:style>
  <w:style w:type="paragraph" w:styleId="Heading5">
    <w:name w:val="heading 5"/>
    <w:basedOn w:val="HeadingBase"/>
    <w:next w:val="Normal"/>
    <w:link w:val="Heading5Char"/>
    <w:qFormat/>
    <w:rsid w:val="002B3A3B"/>
    <w:pPr>
      <w:spacing w:before="80"/>
      <w:outlineLvl w:val="4"/>
    </w:pPr>
    <w:rPr>
      <w:color w:val="918585"/>
      <w:sz w:val="20"/>
    </w:rPr>
  </w:style>
  <w:style w:type="paragraph" w:styleId="Heading6">
    <w:name w:val="heading 6"/>
    <w:basedOn w:val="HeadingBase"/>
    <w:next w:val="Normal"/>
    <w:link w:val="Heading6Char"/>
    <w:qFormat/>
    <w:rsid w:val="002B3A3B"/>
    <w:pPr>
      <w:spacing w:before="60"/>
      <w:outlineLvl w:val="5"/>
    </w:pPr>
    <w:rPr>
      <w:color w:val="918585"/>
      <w:sz w:val="20"/>
    </w:rPr>
  </w:style>
  <w:style w:type="paragraph" w:styleId="Heading7">
    <w:name w:val="heading 7"/>
    <w:basedOn w:val="Normal"/>
    <w:next w:val="Normal"/>
    <w:link w:val="Heading7Char"/>
    <w:qFormat/>
    <w:rsid w:val="002B3A3B"/>
    <w:pPr>
      <w:ind w:left="720"/>
      <w:outlineLvl w:val="6"/>
    </w:pPr>
    <w:rPr>
      <w:i/>
    </w:rPr>
  </w:style>
  <w:style w:type="paragraph" w:styleId="Heading8">
    <w:name w:val="heading 8"/>
    <w:basedOn w:val="Normal"/>
    <w:next w:val="Normal"/>
    <w:link w:val="Heading8Char"/>
    <w:qFormat/>
    <w:rsid w:val="002B3A3B"/>
    <w:pPr>
      <w:ind w:left="720"/>
      <w:outlineLvl w:val="7"/>
    </w:pPr>
    <w:rPr>
      <w:i/>
    </w:rPr>
  </w:style>
  <w:style w:type="paragraph" w:styleId="Heading9">
    <w:name w:val="heading 9"/>
    <w:basedOn w:val="Normal"/>
    <w:next w:val="Normal"/>
    <w:link w:val="Heading9Char"/>
    <w:qFormat/>
    <w:rsid w:val="002B3A3B"/>
    <w:pPr>
      <w:ind w:left="720"/>
      <w:outlineLvl w:val="8"/>
    </w:pPr>
    <w:rPr>
      <w:i/>
    </w:rPr>
  </w:style>
  <w:style w:type="character" w:default="1" w:styleId="DefaultParagraphFont">
    <w:name w:val="Default Paragraph Font"/>
    <w:uiPriority w:val="1"/>
    <w:unhideWhenUsed/>
    <w:rsid w:val="002B3A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A3B"/>
  </w:style>
  <w:style w:type="character" w:customStyle="1" w:styleId="Heading1Char">
    <w:name w:val="Heading 1 Char"/>
    <w:basedOn w:val="DefaultParagraphFont"/>
    <w:link w:val="Heading1"/>
    <w:rsid w:val="002B3A3B"/>
    <w:rPr>
      <w:rFonts w:ascii="Times New Roman" w:eastAsia="Times New Roman" w:hAnsi="Times New Roman" w:cs="Times New Roman"/>
      <w:b/>
      <w:sz w:val="32"/>
      <w:szCs w:val="20"/>
      <w:lang w:eastAsia="en-US"/>
    </w:rPr>
  </w:style>
  <w:style w:type="paragraph" w:styleId="BodyText">
    <w:name w:val="Body Text"/>
    <w:basedOn w:val="Normal"/>
    <w:link w:val="BodyTextChar"/>
    <w:rsid w:val="002B3A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3A3B"/>
    <w:rPr>
      <w:rFonts w:ascii="Times New Roman" w:eastAsia="Times New Roman" w:hAnsi="Times New Roman" w:cs="Times New Roman"/>
      <w:sz w:val="24"/>
      <w:lang w:eastAsia="en-US"/>
    </w:rPr>
  </w:style>
  <w:style w:type="character" w:styleId="Emphasis">
    <w:name w:val="Emphasis"/>
    <w:basedOn w:val="DefaultParagraphFont"/>
    <w:qFormat/>
    <w:rsid w:val="002B3A3B"/>
    <w:rPr>
      <w:i/>
    </w:rPr>
  </w:style>
  <w:style w:type="paragraph" w:customStyle="1" w:styleId="SuperHeading">
    <w:name w:val="SuperHeading"/>
    <w:basedOn w:val="Normal"/>
    <w:rsid w:val="002B3A3B"/>
    <w:pPr>
      <w:spacing w:before="240" w:after="120"/>
      <w:outlineLvl w:val="0"/>
    </w:pPr>
    <w:rPr>
      <w:rFonts w:ascii="Times New Roman" w:hAnsi="Times New Roman"/>
      <w:b/>
      <w:sz w:val="32"/>
    </w:rPr>
  </w:style>
  <w:style w:type="paragraph" w:customStyle="1" w:styleId="AllowPageBreak">
    <w:name w:val="AllowPageBreak"/>
    <w:rsid w:val="002B3A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3A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A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A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A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A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A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A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A3B"/>
    <w:rPr>
      <w:rFonts w:ascii="Courier New" w:eastAsia="Times New Roman" w:hAnsi="Courier New" w:cs="Times New Roman"/>
      <w:i/>
      <w:szCs w:val="20"/>
      <w:lang w:eastAsia="en-US"/>
    </w:rPr>
  </w:style>
  <w:style w:type="paragraph" w:customStyle="1" w:styleId="HeadingBase">
    <w:name w:val="Heading Base"/>
    <w:rsid w:val="002B3A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A3B"/>
    <w:pPr>
      <w:tabs>
        <w:tab w:val="right" w:leader="dot" w:pos="9072"/>
      </w:tabs>
      <w:ind w:left="567"/>
    </w:pPr>
    <w:rPr>
      <w:szCs w:val="22"/>
    </w:rPr>
  </w:style>
  <w:style w:type="paragraph" w:customStyle="1" w:styleId="TOCBase">
    <w:name w:val="TOC Base"/>
    <w:rsid w:val="002B3A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A3B"/>
    <w:pPr>
      <w:tabs>
        <w:tab w:val="right" w:leader="dot" w:pos="9072"/>
      </w:tabs>
      <w:spacing w:before="40" w:after="40"/>
      <w:ind w:left="284"/>
    </w:pPr>
    <w:rPr>
      <w:rFonts w:ascii="Times New Roman" w:hAnsi="Times New Roman"/>
    </w:rPr>
  </w:style>
  <w:style w:type="paragraph" w:styleId="TOC1">
    <w:name w:val="toc 1"/>
    <w:basedOn w:val="TOCBase"/>
    <w:next w:val="Normal"/>
    <w:rsid w:val="002B3A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3A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A3B"/>
    <w:rPr>
      <w:rFonts w:ascii="Times New Roman" w:eastAsia="Times New Roman" w:hAnsi="Times New Roman" w:cs="Times New Roman"/>
      <w:sz w:val="16"/>
      <w:lang w:eastAsia="en-US"/>
    </w:rPr>
  </w:style>
  <w:style w:type="paragraph" w:styleId="Title">
    <w:name w:val="Title"/>
    <w:basedOn w:val="HeadingBase"/>
    <w:link w:val="TitleChar"/>
    <w:qFormat/>
    <w:rsid w:val="002B3A3B"/>
    <w:pPr>
      <w:spacing w:before="5040"/>
      <w:jc w:val="center"/>
    </w:pPr>
    <w:rPr>
      <w:sz w:val="48"/>
      <w:szCs w:val="72"/>
      <w:lang w:val="en-US"/>
    </w:rPr>
  </w:style>
  <w:style w:type="character" w:customStyle="1" w:styleId="TitleChar">
    <w:name w:val="Title Char"/>
    <w:basedOn w:val="DefaultParagraphFont"/>
    <w:link w:val="Title"/>
    <w:rsid w:val="002B3A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A3B"/>
    <w:pPr>
      <w:tabs>
        <w:tab w:val="left" w:pos="3600"/>
        <w:tab w:val="left" w:pos="3958"/>
      </w:tabs>
    </w:pPr>
  </w:style>
  <w:style w:type="paragraph" w:styleId="List">
    <w:name w:val="List"/>
    <w:basedOn w:val="BodyText"/>
    <w:next w:val="BodyText"/>
    <w:rsid w:val="002B3A3B"/>
    <w:pPr>
      <w:tabs>
        <w:tab w:val="left" w:pos="340"/>
      </w:tabs>
      <w:spacing w:before="60" w:after="60"/>
      <w:ind w:left="340" w:hanging="340"/>
    </w:pPr>
  </w:style>
  <w:style w:type="paragraph" w:styleId="ListBullet">
    <w:name w:val="List Bullet"/>
    <w:basedOn w:val="List"/>
    <w:rsid w:val="002B3A3B"/>
    <w:pPr>
      <w:numPr>
        <w:numId w:val="10"/>
      </w:numPr>
      <w:tabs>
        <w:tab w:val="clear" w:pos="340"/>
      </w:tabs>
      <w:spacing w:before="40" w:after="40"/>
    </w:pPr>
  </w:style>
  <w:style w:type="paragraph" w:customStyle="1" w:styleId="Note">
    <w:name w:val="Note"/>
    <w:basedOn w:val="BodyText"/>
    <w:rsid w:val="002B3A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3A3B"/>
    <w:rPr>
      <w:b/>
      <w:spacing w:val="0"/>
    </w:rPr>
  </w:style>
  <w:style w:type="paragraph" w:customStyle="1" w:styleId="SuperTitle">
    <w:name w:val="SuperTitle"/>
    <w:basedOn w:val="Title"/>
    <w:rsid w:val="002B3A3B"/>
    <w:pPr>
      <w:framePr w:wrap="auto" w:hAnchor="text" w:y="6049"/>
    </w:pPr>
    <w:rPr>
      <w:color w:val="000000"/>
      <w:sz w:val="40"/>
    </w:rPr>
  </w:style>
  <w:style w:type="paragraph" w:customStyle="1" w:styleId="TOCTitle">
    <w:name w:val="TOCTitle"/>
    <w:basedOn w:val="Heading1"/>
    <w:rsid w:val="002B3A3B"/>
    <w:pPr>
      <w:spacing w:after="240"/>
      <w:jc w:val="center"/>
      <w:outlineLvl w:val="9"/>
    </w:pPr>
    <w:rPr>
      <w:caps/>
    </w:rPr>
  </w:style>
  <w:style w:type="paragraph" w:customStyle="1" w:styleId="Version">
    <w:name w:val="Version"/>
    <w:rsid w:val="002B3A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3A3B"/>
    <w:pPr>
      <w:numPr>
        <w:numId w:val="11"/>
      </w:numPr>
      <w:tabs>
        <w:tab w:val="clear" w:pos="680"/>
      </w:tabs>
    </w:pPr>
  </w:style>
  <w:style w:type="paragraph" w:styleId="Index1">
    <w:name w:val="index 1"/>
    <w:basedOn w:val="Normal"/>
    <w:next w:val="Normal"/>
    <w:semiHidden/>
    <w:rsid w:val="002B3A3B"/>
    <w:pPr>
      <w:keepNext w:val="0"/>
      <w:tabs>
        <w:tab w:val="right" w:pos="4176"/>
      </w:tabs>
      <w:ind w:left="198" w:hanging="198"/>
    </w:pPr>
    <w:rPr>
      <w:rFonts w:ascii="Garamond" w:hAnsi="Garamond"/>
    </w:rPr>
  </w:style>
  <w:style w:type="paragraph" w:styleId="IndexHeading">
    <w:name w:val="index heading"/>
    <w:basedOn w:val="Normal"/>
    <w:next w:val="Index1"/>
    <w:semiHidden/>
    <w:rsid w:val="002B3A3B"/>
    <w:pPr>
      <w:spacing w:before="120" w:after="120"/>
    </w:pPr>
    <w:rPr>
      <w:rFonts w:ascii="Arial" w:hAnsi="Arial"/>
      <w:b/>
      <w:color w:val="918585"/>
      <w:sz w:val="24"/>
    </w:rPr>
  </w:style>
  <w:style w:type="paragraph" w:styleId="Header">
    <w:name w:val="header"/>
    <w:basedOn w:val="Normal"/>
    <w:link w:val="HeaderChar"/>
    <w:rsid w:val="002B3A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A3B"/>
    <w:rPr>
      <w:rFonts w:ascii="Times New Roman" w:eastAsia="Times New Roman" w:hAnsi="Times New Roman" w:cs="Times New Roman"/>
      <w:sz w:val="16"/>
      <w:szCs w:val="20"/>
      <w:lang w:val="en-GB" w:eastAsia="en-US"/>
    </w:rPr>
  </w:style>
  <w:style w:type="paragraph" w:customStyle="1" w:styleId="Chapter">
    <w:name w:val="Chapter"/>
    <w:basedOn w:val="Normal"/>
    <w:rsid w:val="002B3A3B"/>
    <w:pPr>
      <w:spacing w:before="240"/>
    </w:pPr>
    <w:rPr>
      <w:rFonts w:ascii="Times New Roman" w:hAnsi="Times New Roman"/>
      <w:smallCaps/>
      <w:spacing w:val="80"/>
      <w:sz w:val="28"/>
    </w:rPr>
  </w:style>
  <w:style w:type="paragraph" w:customStyle="1" w:styleId="InChapter">
    <w:name w:val="InChapter"/>
    <w:basedOn w:val="Heading3"/>
    <w:rsid w:val="002B3A3B"/>
    <w:pPr>
      <w:spacing w:after="240"/>
      <w:outlineLvl w:val="9"/>
    </w:pPr>
    <w:rPr>
      <w:noProof/>
    </w:rPr>
  </w:style>
  <w:style w:type="paragraph" w:styleId="Index2">
    <w:name w:val="index 2"/>
    <w:basedOn w:val="Normal"/>
    <w:next w:val="Normal"/>
    <w:semiHidden/>
    <w:rsid w:val="002B3A3B"/>
    <w:pPr>
      <w:tabs>
        <w:tab w:val="right" w:pos="4176"/>
      </w:tabs>
      <w:ind w:left="568" w:hanging="284"/>
    </w:pPr>
    <w:rPr>
      <w:rFonts w:ascii="Garamond" w:hAnsi="Garamond"/>
    </w:rPr>
  </w:style>
  <w:style w:type="paragraph" w:customStyle="1" w:styleId="Byline">
    <w:name w:val="Byline"/>
    <w:rsid w:val="002B3A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A3B"/>
    <w:pPr>
      <w:tabs>
        <w:tab w:val="clear" w:pos="3600"/>
        <w:tab w:val="clear" w:pos="3958"/>
      </w:tabs>
      <w:jc w:val="right"/>
    </w:pPr>
  </w:style>
  <w:style w:type="paragraph" w:styleId="Caption">
    <w:name w:val="caption"/>
    <w:basedOn w:val="BodyText"/>
    <w:next w:val="Normal"/>
    <w:qFormat/>
    <w:rsid w:val="002B3A3B"/>
    <w:pPr>
      <w:framePr w:w="2268" w:hSpace="181" w:vSpace="181" w:wrap="around" w:vAnchor="text" w:hAnchor="page" w:x="1135" w:y="285" w:anchorLock="1"/>
    </w:pPr>
    <w:rPr>
      <w:i/>
    </w:rPr>
  </w:style>
  <w:style w:type="paragraph" w:customStyle="1" w:styleId="MiniTOCTitle">
    <w:name w:val="MiniTOCTitle"/>
    <w:basedOn w:val="Heading4"/>
    <w:rsid w:val="002B3A3B"/>
    <w:pPr>
      <w:spacing w:before="240"/>
      <w:outlineLvl w:val="9"/>
    </w:pPr>
    <w:rPr>
      <w:noProof/>
      <w:sz w:val="24"/>
    </w:rPr>
  </w:style>
  <w:style w:type="paragraph" w:customStyle="1" w:styleId="MiniTOCItem">
    <w:name w:val="MiniTOCItem"/>
    <w:basedOn w:val="ListBullet"/>
    <w:rsid w:val="002B3A3B"/>
    <w:pPr>
      <w:numPr>
        <w:numId w:val="0"/>
      </w:numPr>
      <w:tabs>
        <w:tab w:val="right" w:leader="dot" w:pos="6521"/>
      </w:tabs>
      <w:spacing w:before="0" w:after="0"/>
    </w:pPr>
  </w:style>
  <w:style w:type="paragraph" w:customStyle="1" w:styleId="TOFTitle">
    <w:name w:val="TOFTitle"/>
    <w:basedOn w:val="TOCTitle"/>
    <w:rsid w:val="002B3A3B"/>
  </w:style>
  <w:style w:type="paragraph" w:styleId="TableofFigures">
    <w:name w:val="table of figures"/>
    <w:basedOn w:val="Normal"/>
    <w:next w:val="Normal"/>
    <w:semiHidden/>
    <w:rsid w:val="002B3A3B"/>
    <w:pPr>
      <w:tabs>
        <w:tab w:val="right" w:leader="dot" w:pos="9072"/>
      </w:tabs>
      <w:ind w:left="970" w:hanging="403"/>
    </w:pPr>
    <w:rPr>
      <w:rFonts w:ascii="Times New Roman" w:hAnsi="Times New Roman"/>
      <w:b/>
    </w:rPr>
  </w:style>
  <w:style w:type="paragraph" w:styleId="ListNumber">
    <w:name w:val="List Number"/>
    <w:basedOn w:val="List"/>
    <w:rsid w:val="002B3A3B"/>
    <w:pPr>
      <w:numPr>
        <w:numId w:val="13"/>
      </w:numPr>
      <w:tabs>
        <w:tab w:val="clear" w:pos="340"/>
      </w:tabs>
    </w:pPr>
  </w:style>
  <w:style w:type="character" w:customStyle="1" w:styleId="WingdingSymbols">
    <w:name w:val="Wingding Symbols"/>
    <w:rsid w:val="002B3A3B"/>
    <w:rPr>
      <w:rFonts w:ascii="Wingdings" w:hAnsi="Wingdings"/>
    </w:rPr>
  </w:style>
  <w:style w:type="paragraph" w:customStyle="1" w:styleId="TableHeading">
    <w:name w:val="Table Heading"/>
    <w:basedOn w:val="HeadingBase"/>
    <w:rsid w:val="002B3A3B"/>
    <w:pPr>
      <w:keepLines/>
      <w:pBdr>
        <w:bottom w:val="single" w:sz="6" w:space="1" w:color="918585"/>
      </w:pBdr>
      <w:spacing w:before="240"/>
    </w:pPr>
  </w:style>
  <w:style w:type="character" w:customStyle="1" w:styleId="HotSpot">
    <w:name w:val="HotSpot"/>
    <w:rsid w:val="002B3A3B"/>
    <w:rPr>
      <w:color w:val="0033CC"/>
      <w:u w:val="none"/>
    </w:rPr>
  </w:style>
  <w:style w:type="paragraph" w:customStyle="1" w:styleId="BodyTextRight">
    <w:name w:val="Body Text Right"/>
    <w:basedOn w:val="BodyText"/>
    <w:rsid w:val="002B3A3B"/>
    <w:pPr>
      <w:spacing w:before="0" w:after="0"/>
      <w:jc w:val="right"/>
    </w:pPr>
  </w:style>
  <w:style w:type="paragraph" w:styleId="Index3">
    <w:name w:val="index 3"/>
    <w:basedOn w:val="ListNumber2"/>
    <w:next w:val="Normal"/>
    <w:semiHidden/>
    <w:rsid w:val="002B3A3B"/>
    <w:pPr>
      <w:numPr>
        <w:numId w:val="0"/>
      </w:numPr>
      <w:tabs>
        <w:tab w:val="right" w:leader="dot" w:pos="4176"/>
      </w:tabs>
    </w:pPr>
  </w:style>
  <w:style w:type="paragraph" w:styleId="ListNumber2">
    <w:name w:val="List Number 2"/>
    <w:basedOn w:val="List2"/>
    <w:rsid w:val="002B3A3B"/>
    <w:pPr>
      <w:numPr>
        <w:numId w:val="8"/>
      </w:numPr>
      <w:tabs>
        <w:tab w:val="clear" w:pos="1060"/>
      </w:tabs>
    </w:pPr>
  </w:style>
  <w:style w:type="paragraph" w:customStyle="1" w:styleId="MarginNote">
    <w:name w:val="Margin Note"/>
    <w:basedOn w:val="BodyText"/>
    <w:rsid w:val="002B3A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A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A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A3B"/>
    <w:rPr>
      <w:sz w:val="32"/>
    </w:rPr>
  </w:style>
  <w:style w:type="paragraph" w:customStyle="1" w:styleId="HeadingProcedure">
    <w:name w:val="Heading Procedure"/>
    <w:basedOn w:val="HeadingBase"/>
    <w:next w:val="Normal"/>
    <w:rsid w:val="002B3A3B"/>
    <w:pPr>
      <w:tabs>
        <w:tab w:val="left" w:pos="0"/>
      </w:tabs>
      <w:spacing w:before="120" w:after="60"/>
    </w:pPr>
    <w:rPr>
      <w:i/>
      <w:color w:val="918585"/>
      <w:sz w:val="22"/>
    </w:rPr>
  </w:style>
  <w:style w:type="paragraph" w:customStyle="1" w:styleId="TableBodyText">
    <w:name w:val="Table Body Text"/>
    <w:basedOn w:val="BodyText"/>
    <w:rsid w:val="002B3A3B"/>
    <w:pPr>
      <w:spacing w:before="60" w:after="60"/>
    </w:pPr>
  </w:style>
  <w:style w:type="paragraph" w:styleId="ListContinue">
    <w:name w:val="List Continue"/>
    <w:basedOn w:val="List"/>
    <w:rsid w:val="002B3A3B"/>
    <w:pPr>
      <w:ind w:firstLine="0"/>
    </w:pPr>
  </w:style>
  <w:style w:type="paragraph" w:customStyle="1" w:styleId="ListNote">
    <w:name w:val="List Note"/>
    <w:basedOn w:val="List"/>
    <w:rsid w:val="002B3A3B"/>
    <w:pPr>
      <w:pBdr>
        <w:top w:val="single" w:sz="6" w:space="2" w:color="918585"/>
        <w:bottom w:val="single" w:sz="6" w:space="2" w:color="918585"/>
      </w:pBdr>
      <w:tabs>
        <w:tab w:val="left" w:pos="1021"/>
      </w:tabs>
      <w:ind w:firstLine="0"/>
    </w:pPr>
  </w:style>
  <w:style w:type="paragraph" w:customStyle="1" w:styleId="Warning">
    <w:name w:val="Warning"/>
    <w:basedOn w:val="BodyText"/>
    <w:rsid w:val="002B3A3B"/>
    <w:pPr>
      <w:shd w:val="clear" w:color="auto" w:fill="D9D9D9"/>
      <w:tabs>
        <w:tab w:val="left" w:pos="992"/>
      </w:tabs>
      <w:ind w:left="119" w:right="119"/>
    </w:pPr>
    <w:rPr>
      <w:sz w:val="20"/>
    </w:rPr>
  </w:style>
  <w:style w:type="paragraph" w:customStyle="1" w:styleId="MarginIcons">
    <w:name w:val="Margin Icons"/>
    <w:basedOn w:val="BodyText"/>
    <w:rsid w:val="002B3A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A3B"/>
    <w:rPr>
      <w:rFonts w:ascii="Courier New" w:hAnsi="Courier New"/>
    </w:rPr>
  </w:style>
  <w:style w:type="paragraph" w:customStyle="1" w:styleId="NoteBullet">
    <w:name w:val="Note Bullet"/>
    <w:basedOn w:val="Note"/>
    <w:rsid w:val="002B3A3B"/>
    <w:pPr>
      <w:tabs>
        <w:tab w:val="clear" w:pos="680"/>
      </w:tabs>
      <w:spacing w:before="60" w:after="60"/>
    </w:pPr>
  </w:style>
  <w:style w:type="paragraph" w:customStyle="1" w:styleId="SubHeading2">
    <w:name w:val="SubHeading2"/>
    <w:basedOn w:val="HeadingBase"/>
    <w:rsid w:val="002B3A3B"/>
    <w:pPr>
      <w:spacing w:before="240" w:after="60"/>
    </w:pPr>
    <w:rPr>
      <w:sz w:val="20"/>
    </w:rPr>
  </w:style>
  <w:style w:type="paragraph" w:customStyle="1" w:styleId="SubHeading1">
    <w:name w:val="SubHeading1"/>
    <w:basedOn w:val="HeadingBase"/>
    <w:rsid w:val="002B3A3B"/>
    <w:pPr>
      <w:spacing w:before="240" w:after="60"/>
    </w:pPr>
    <w:rPr>
      <w:color w:val="918585"/>
      <w:sz w:val="22"/>
    </w:rPr>
  </w:style>
  <w:style w:type="paragraph" w:customStyle="1" w:styleId="SideHeading">
    <w:name w:val="Side Heading"/>
    <w:basedOn w:val="HeadingBase"/>
    <w:rsid w:val="002B3A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A3B"/>
    <w:pPr>
      <w:numPr>
        <w:numId w:val="9"/>
      </w:numPr>
    </w:pPr>
  </w:style>
  <w:style w:type="paragraph" w:styleId="PlainText">
    <w:name w:val="Plain Text"/>
    <w:basedOn w:val="Normal"/>
    <w:link w:val="PlainTextChar"/>
    <w:rsid w:val="002B3A3B"/>
    <w:rPr>
      <w:sz w:val="20"/>
    </w:rPr>
  </w:style>
  <w:style w:type="character" w:customStyle="1" w:styleId="PlainTextChar">
    <w:name w:val="Plain Text Char"/>
    <w:basedOn w:val="DefaultParagraphFont"/>
    <w:link w:val="PlainText"/>
    <w:rsid w:val="002B3A3B"/>
    <w:rPr>
      <w:rFonts w:ascii="Courier New" w:eastAsia="Times New Roman" w:hAnsi="Courier New" w:cs="Times New Roman"/>
      <w:sz w:val="20"/>
      <w:szCs w:val="20"/>
      <w:lang w:eastAsia="en-US"/>
    </w:rPr>
  </w:style>
  <w:style w:type="character" w:customStyle="1" w:styleId="MenuOption">
    <w:name w:val="Menu Option"/>
    <w:basedOn w:val="DefaultParagraphFont"/>
    <w:rsid w:val="002B3A3B"/>
    <w:rPr>
      <w:b/>
      <w:smallCaps/>
    </w:rPr>
  </w:style>
  <w:style w:type="paragraph" w:customStyle="1" w:styleId="TableListNumber">
    <w:name w:val="Table List Number"/>
    <w:basedOn w:val="ListNumber"/>
    <w:rsid w:val="002B3A3B"/>
    <w:pPr>
      <w:numPr>
        <w:numId w:val="0"/>
      </w:numPr>
    </w:pPr>
  </w:style>
  <w:style w:type="paragraph" w:styleId="TOC4">
    <w:name w:val="toc 4"/>
    <w:basedOn w:val="TOCBase"/>
    <w:next w:val="Normal"/>
    <w:semiHidden/>
    <w:rsid w:val="002B3A3B"/>
    <w:pPr>
      <w:tabs>
        <w:tab w:val="right" w:leader="dot" w:pos="9071"/>
      </w:tabs>
      <w:ind w:left="1701"/>
    </w:pPr>
  </w:style>
  <w:style w:type="paragraph" w:customStyle="1" w:styleId="ListAlpha">
    <w:name w:val="List Alpha"/>
    <w:basedOn w:val="List"/>
    <w:rsid w:val="002B3A3B"/>
    <w:pPr>
      <w:numPr>
        <w:numId w:val="7"/>
      </w:numPr>
    </w:pPr>
  </w:style>
  <w:style w:type="paragraph" w:customStyle="1" w:styleId="ListAlpha2">
    <w:name w:val="List Alpha 2"/>
    <w:basedOn w:val="List2"/>
    <w:rsid w:val="002B3A3B"/>
    <w:pPr>
      <w:numPr>
        <w:numId w:val="6"/>
      </w:numPr>
    </w:pPr>
  </w:style>
  <w:style w:type="paragraph" w:styleId="List2">
    <w:name w:val="List 2"/>
    <w:basedOn w:val="BodyText"/>
    <w:rsid w:val="002B3A3B"/>
    <w:pPr>
      <w:tabs>
        <w:tab w:val="left" w:pos="680"/>
      </w:tabs>
      <w:spacing w:before="60" w:after="60"/>
      <w:ind w:left="680" w:hanging="340"/>
    </w:pPr>
  </w:style>
  <w:style w:type="paragraph" w:styleId="List3">
    <w:name w:val="List 3"/>
    <w:basedOn w:val="BodyText"/>
    <w:rsid w:val="002B3A3B"/>
    <w:pPr>
      <w:tabs>
        <w:tab w:val="left" w:pos="1021"/>
      </w:tabs>
      <w:spacing w:before="60" w:after="60"/>
      <w:ind w:left="1020" w:hanging="340"/>
    </w:pPr>
  </w:style>
  <w:style w:type="paragraph" w:styleId="List4">
    <w:name w:val="List 4"/>
    <w:basedOn w:val="BodyText"/>
    <w:rsid w:val="002B3A3B"/>
    <w:pPr>
      <w:tabs>
        <w:tab w:val="left" w:pos="1361"/>
      </w:tabs>
      <w:spacing w:before="60" w:after="60"/>
      <w:ind w:left="1361" w:hanging="340"/>
    </w:pPr>
  </w:style>
  <w:style w:type="paragraph" w:styleId="List5">
    <w:name w:val="List 5"/>
    <w:basedOn w:val="BodyText"/>
    <w:rsid w:val="002B3A3B"/>
    <w:pPr>
      <w:tabs>
        <w:tab w:val="left" w:pos="1701"/>
      </w:tabs>
      <w:spacing w:before="60" w:after="60"/>
      <w:ind w:left="1701" w:hanging="340"/>
    </w:pPr>
  </w:style>
  <w:style w:type="paragraph" w:styleId="ListBullet3">
    <w:name w:val="List Bullet 3"/>
    <w:basedOn w:val="List3"/>
    <w:rsid w:val="002B3A3B"/>
    <w:pPr>
      <w:numPr>
        <w:numId w:val="12"/>
      </w:numPr>
      <w:tabs>
        <w:tab w:val="clear" w:pos="1021"/>
      </w:tabs>
      <w:ind w:left="1037" w:hanging="357"/>
    </w:pPr>
  </w:style>
  <w:style w:type="paragraph" w:styleId="ListBullet4">
    <w:name w:val="List Bullet 4"/>
    <w:basedOn w:val="List4"/>
    <w:rsid w:val="002B3A3B"/>
    <w:pPr>
      <w:numPr>
        <w:numId w:val="1"/>
      </w:numPr>
      <w:tabs>
        <w:tab w:val="clear" w:pos="1361"/>
      </w:tabs>
    </w:pPr>
  </w:style>
  <w:style w:type="paragraph" w:styleId="ListBullet5">
    <w:name w:val="List Bullet 5"/>
    <w:basedOn w:val="List5"/>
    <w:rsid w:val="002B3A3B"/>
    <w:pPr>
      <w:numPr>
        <w:numId w:val="2"/>
      </w:numPr>
    </w:pPr>
  </w:style>
  <w:style w:type="paragraph" w:styleId="ListContinue2">
    <w:name w:val="List Continue 2"/>
    <w:basedOn w:val="List2"/>
    <w:rsid w:val="002B3A3B"/>
    <w:pPr>
      <w:ind w:firstLine="0"/>
    </w:pPr>
  </w:style>
  <w:style w:type="paragraph" w:styleId="ListContinue3">
    <w:name w:val="List Continue 3"/>
    <w:basedOn w:val="List3"/>
    <w:rsid w:val="002B3A3B"/>
    <w:pPr>
      <w:ind w:left="1021" w:firstLine="0"/>
    </w:pPr>
  </w:style>
  <w:style w:type="paragraph" w:styleId="ListContinue4">
    <w:name w:val="List Continue 4"/>
    <w:basedOn w:val="List4"/>
    <w:rsid w:val="002B3A3B"/>
    <w:pPr>
      <w:ind w:firstLine="0"/>
    </w:pPr>
  </w:style>
  <w:style w:type="paragraph" w:styleId="ListContinue5">
    <w:name w:val="List Continue 5"/>
    <w:basedOn w:val="List5"/>
    <w:rsid w:val="002B3A3B"/>
    <w:pPr>
      <w:ind w:firstLine="0"/>
    </w:pPr>
  </w:style>
  <w:style w:type="paragraph" w:styleId="ListNumber3">
    <w:name w:val="List Number 3"/>
    <w:basedOn w:val="List3"/>
    <w:rsid w:val="002B3A3B"/>
    <w:pPr>
      <w:numPr>
        <w:numId w:val="3"/>
      </w:numPr>
    </w:pPr>
  </w:style>
  <w:style w:type="paragraph" w:styleId="ListNumber4">
    <w:name w:val="List Number 4"/>
    <w:basedOn w:val="List4"/>
    <w:rsid w:val="002B3A3B"/>
    <w:pPr>
      <w:numPr>
        <w:numId w:val="4"/>
      </w:numPr>
    </w:pPr>
  </w:style>
  <w:style w:type="paragraph" w:styleId="ListNumber5">
    <w:name w:val="List Number 5"/>
    <w:basedOn w:val="List5"/>
    <w:rsid w:val="002B3A3B"/>
    <w:pPr>
      <w:numPr>
        <w:numId w:val="5"/>
      </w:numPr>
    </w:pPr>
  </w:style>
  <w:style w:type="paragraph" w:styleId="BlockText">
    <w:name w:val="Block Text"/>
    <w:basedOn w:val="Normal"/>
    <w:rsid w:val="002B3A3B"/>
    <w:pPr>
      <w:spacing w:after="120"/>
      <w:ind w:left="1440" w:right="1440"/>
    </w:pPr>
  </w:style>
  <w:style w:type="character" w:customStyle="1" w:styleId="Subscript">
    <w:name w:val="Subscript"/>
    <w:basedOn w:val="DefaultParagraphFont"/>
    <w:rsid w:val="002B3A3B"/>
    <w:rPr>
      <w:sz w:val="16"/>
      <w:vertAlign w:val="subscript"/>
    </w:rPr>
  </w:style>
  <w:style w:type="character" w:customStyle="1" w:styleId="Superscript">
    <w:name w:val="Superscript"/>
    <w:basedOn w:val="DefaultParagraphFont"/>
    <w:rsid w:val="002B3A3B"/>
    <w:rPr>
      <w:sz w:val="16"/>
      <w:vertAlign w:val="superscript"/>
    </w:rPr>
  </w:style>
  <w:style w:type="character" w:customStyle="1" w:styleId="Symbols">
    <w:name w:val="Symbols"/>
    <w:basedOn w:val="DefaultParagraphFont"/>
    <w:rsid w:val="002B3A3B"/>
    <w:rPr>
      <w:rFonts w:ascii="Symbol" w:hAnsi="Symbol"/>
    </w:rPr>
  </w:style>
  <w:style w:type="character" w:customStyle="1" w:styleId="MenuOptions">
    <w:name w:val="Menu Options"/>
    <w:basedOn w:val="DefaultParagraphFont"/>
    <w:rsid w:val="002B3A3B"/>
    <w:rPr>
      <w:rFonts w:ascii="Arial Narrow" w:hAnsi="Arial Narrow"/>
      <w:smallCaps/>
    </w:rPr>
  </w:style>
  <w:style w:type="character" w:customStyle="1" w:styleId="Buttons">
    <w:name w:val="Buttons"/>
    <w:basedOn w:val="DefaultParagraphFont"/>
    <w:rsid w:val="002B3A3B"/>
    <w:rPr>
      <w:b/>
    </w:rPr>
  </w:style>
  <w:style w:type="character" w:customStyle="1" w:styleId="Underlined">
    <w:name w:val="Underlined"/>
    <w:basedOn w:val="DefaultParagraphFont"/>
    <w:rsid w:val="002B3A3B"/>
    <w:rPr>
      <w:u w:val="single"/>
    </w:rPr>
  </w:style>
  <w:style w:type="paragraph" w:customStyle="1" w:styleId="TableBodyTextRight">
    <w:name w:val="Table Body Text Right"/>
    <w:basedOn w:val="TableBodyText"/>
    <w:rsid w:val="002B3A3B"/>
    <w:pPr>
      <w:widowControl w:val="0"/>
      <w:autoSpaceDE w:val="0"/>
      <w:autoSpaceDN w:val="0"/>
      <w:adjustRightInd w:val="0"/>
      <w:jc w:val="right"/>
    </w:pPr>
    <w:rPr>
      <w:rFonts w:cs="Arial"/>
      <w:szCs w:val="18"/>
    </w:rPr>
  </w:style>
  <w:style w:type="paragraph" w:customStyle="1" w:styleId="CopyrightText">
    <w:name w:val="Copyright Text"/>
    <w:basedOn w:val="BodyText"/>
    <w:rsid w:val="002B3A3B"/>
    <w:rPr>
      <w:sz w:val="18"/>
    </w:rPr>
  </w:style>
  <w:style w:type="paragraph" w:customStyle="1" w:styleId="BodySmallRight">
    <w:name w:val="Body Small Right"/>
    <w:basedOn w:val="BodyTextRight"/>
    <w:rsid w:val="002B3A3B"/>
    <w:rPr>
      <w:sz w:val="18"/>
      <w:szCs w:val="18"/>
    </w:rPr>
  </w:style>
  <w:style w:type="paragraph" w:customStyle="1" w:styleId="MarginEdition">
    <w:name w:val="Margin Edition"/>
    <w:basedOn w:val="MarginNote"/>
    <w:rsid w:val="002B3A3B"/>
    <w:pPr>
      <w:spacing w:before="0" w:after="0"/>
    </w:pPr>
    <w:rPr>
      <w:rFonts w:ascii="Times New Roman" w:hAnsi="Times New Roman"/>
      <w:color w:val="999999"/>
    </w:rPr>
  </w:style>
  <w:style w:type="paragraph" w:customStyle="1" w:styleId="Spacer">
    <w:name w:val="Spacer"/>
    <w:basedOn w:val="Normal"/>
    <w:rsid w:val="002B3A3B"/>
    <w:rPr>
      <w:sz w:val="2"/>
      <w:szCs w:val="2"/>
    </w:rPr>
  </w:style>
  <w:style w:type="character" w:customStyle="1" w:styleId="Small">
    <w:name w:val="Small"/>
    <w:basedOn w:val="DefaultParagraphFont"/>
    <w:rsid w:val="002B3A3B"/>
    <w:rPr>
      <w:sz w:val="16"/>
    </w:rPr>
  </w:style>
  <w:style w:type="paragraph" w:customStyle="1" w:styleId="WideTable">
    <w:name w:val="Wide Table"/>
    <w:basedOn w:val="Normal"/>
    <w:rsid w:val="002B3A3B"/>
    <w:pPr>
      <w:ind w:left="-1418"/>
    </w:pPr>
    <w:rPr>
      <w:sz w:val="2"/>
      <w:szCs w:val="2"/>
    </w:rPr>
  </w:style>
  <w:style w:type="character" w:styleId="PageNumber">
    <w:name w:val="page number"/>
    <w:basedOn w:val="DefaultParagraphFont"/>
    <w:rsid w:val="002B3A3B"/>
  </w:style>
  <w:style w:type="paragraph" w:styleId="Quote">
    <w:name w:val="Quote"/>
    <w:basedOn w:val="Heading1"/>
    <w:link w:val="QuoteChar"/>
    <w:qFormat/>
    <w:rsid w:val="002B3A3B"/>
    <w:rPr>
      <w:b w:val="0"/>
      <w:sz w:val="72"/>
      <w:szCs w:val="72"/>
      <w:lang w:val="en-NZ"/>
    </w:rPr>
  </w:style>
  <w:style w:type="character" w:customStyle="1" w:styleId="QuoteChar">
    <w:name w:val="Quote Char"/>
    <w:basedOn w:val="DefaultParagraphFont"/>
    <w:link w:val="Quote"/>
    <w:rsid w:val="002B3A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A3B"/>
    <w:pPr>
      <w:pageBreakBefore/>
    </w:pPr>
  </w:style>
  <w:style w:type="paragraph" w:customStyle="1" w:styleId="Border">
    <w:name w:val="Border"/>
    <w:basedOn w:val="Normal"/>
    <w:qFormat/>
    <w:rsid w:val="002B3A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A3B"/>
    <w:rPr>
      <w:b/>
      <w:bCs/>
      <w:i/>
      <w:iCs/>
      <w:color w:val="auto"/>
    </w:rPr>
  </w:style>
  <w:style w:type="paragraph" w:styleId="IntenseQuote">
    <w:name w:val="Intense Quote"/>
    <w:basedOn w:val="Normal"/>
    <w:next w:val="Normal"/>
    <w:link w:val="IntenseQuoteChar"/>
    <w:uiPriority w:val="30"/>
    <w:qFormat/>
    <w:rsid w:val="002B3A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A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A3B"/>
    <w:rPr>
      <w:smallCaps/>
      <w:color w:val="auto"/>
      <w:u w:val="single"/>
    </w:rPr>
  </w:style>
  <w:style w:type="character" w:styleId="IntenseReference">
    <w:name w:val="Intense Reference"/>
    <w:basedOn w:val="DefaultParagraphFont"/>
    <w:uiPriority w:val="32"/>
    <w:qFormat/>
    <w:rsid w:val="002B3A3B"/>
    <w:rPr>
      <w:b/>
      <w:bCs/>
      <w:smallCaps/>
      <w:color w:val="auto"/>
      <w:spacing w:val="5"/>
      <w:u w:val="single"/>
    </w:rPr>
  </w:style>
  <w:style w:type="paragraph" w:customStyle="1" w:styleId="2ColumnHeading">
    <w:name w:val="2Column Heading"/>
    <w:basedOn w:val="BodyText"/>
    <w:qFormat/>
    <w:rsid w:val="002B3A3B"/>
    <w:pPr>
      <w:spacing w:after="60"/>
      <w:ind w:left="-2268"/>
    </w:pPr>
    <w:rPr>
      <w:b/>
    </w:rPr>
  </w:style>
  <w:style w:type="paragraph" w:customStyle="1" w:styleId="Heading1TOC">
    <w:name w:val="Heading1 TOC"/>
    <w:basedOn w:val="Normal"/>
    <w:qFormat/>
    <w:rsid w:val="002B3A3B"/>
    <w:pPr>
      <w:spacing w:before="240" w:after="120"/>
    </w:pPr>
    <w:rPr>
      <w:rFonts w:ascii="Times New Roman" w:hAnsi="Times New Roman"/>
      <w:b/>
      <w:sz w:val="32"/>
    </w:rPr>
  </w:style>
  <w:style w:type="paragraph" w:customStyle="1" w:styleId="Heading2TOC">
    <w:name w:val="Heading2 TOC"/>
    <w:basedOn w:val="Normal"/>
    <w:qFormat/>
    <w:rsid w:val="002B3A3B"/>
    <w:pPr>
      <w:spacing w:before="240" w:after="60"/>
    </w:pPr>
    <w:rPr>
      <w:rFonts w:ascii="Times New Roman" w:hAnsi="Times New Roman"/>
      <w:b/>
      <w:sz w:val="28"/>
    </w:rPr>
  </w:style>
  <w:style w:type="character" w:customStyle="1" w:styleId="Underline">
    <w:name w:val="Underline"/>
    <w:basedOn w:val="DefaultParagraphFont"/>
    <w:qFormat/>
    <w:rsid w:val="002B3A3B"/>
    <w:rPr>
      <w:u w:val="single"/>
    </w:rPr>
  </w:style>
  <w:style w:type="character" w:customStyle="1" w:styleId="BoldandItalics">
    <w:name w:val="Bold and Italics"/>
    <w:qFormat/>
    <w:rsid w:val="002B3A3B"/>
    <w:rPr>
      <w:b/>
      <w:i/>
      <w:u w:val="none"/>
    </w:rPr>
  </w:style>
  <w:style w:type="paragraph" w:styleId="BalloonText">
    <w:name w:val="Balloon Text"/>
    <w:basedOn w:val="Normal"/>
    <w:link w:val="BalloonTextChar"/>
    <w:rsid w:val="002B3A3B"/>
    <w:rPr>
      <w:rFonts w:ascii="Tahoma" w:hAnsi="Tahoma" w:cs="Tahoma"/>
      <w:sz w:val="16"/>
      <w:szCs w:val="16"/>
    </w:rPr>
  </w:style>
  <w:style w:type="character" w:customStyle="1" w:styleId="BalloonTextChar">
    <w:name w:val="Balloon Text Char"/>
    <w:basedOn w:val="DefaultParagraphFont"/>
    <w:link w:val="BalloonText"/>
    <w:rsid w:val="002B3A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A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3A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A3B"/>
    <w:rPr>
      <w:b/>
      <w:color w:val="660033"/>
      <w:spacing w:val="0"/>
    </w:rPr>
  </w:style>
  <w:style w:type="paragraph" w:customStyle="1" w:styleId="Nameditemlist">
    <w:name w:val="Named item list"/>
    <w:basedOn w:val="BodyText"/>
    <w:qFormat/>
    <w:rsid w:val="002B3A3B"/>
    <w:pPr>
      <w:tabs>
        <w:tab w:val="left" w:pos="2835"/>
      </w:tabs>
      <w:ind w:left="2835" w:hanging="2835"/>
    </w:pPr>
  </w:style>
  <w:style w:type="paragraph" w:customStyle="1" w:styleId="BodyTextnopadding">
    <w:name w:val="Body Text no padding"/>
    <w:basedOn w:val="BodyText"/>
    <w:qFormat/>
    <w:rsid w:val="002B3A3B"/>
    <w:pPr>
      <w:spacing w:before="0" w:after="0"/>
    </w:pPr>
  </w:style>
  <w:style w:type="paragraph" w:customStyle="1" w:styleId="BodyTextBold">
    <w:name w:val="Body Text Bold"/>
    <w:basedOn w:val="BodyText"/>
    <w:qFormat/>
    <w:rsid w:val="002B3A3B"/>
    <w:rPr>
      <w:b/>
    </w:rPr>
  </w:style>
  <w:style w:type="character" w:styleId="Hyperlink">
    <w:name w:val="Hyperlink"/>
    <w:basedOn w:val="DefaultParagraphFont"/>
    <w:uiPriority w:val="99"/>
    <w:unhideWhenUsed/>
    <w:rsid w:val="008E13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3797</Characters>
  <Application>Microsoft Office Word</Application>
  <DocSecurity>0</DocSecurity>
  <Lines>151</Lines>
  <Paragraphs>78</Paragraphs>
  <ScaleCrop>false</ScaleCrop>
  <Company>Author-it Software Corporation Ltd.</Company>
  <LinksUpToDate>false</LinksUpToDate>
  <CharactersWithSpaces>4316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CPPSSI5051 Conduct identification surveys</dc:title>
  <dc:subject>Approved</dc:subject>
  <dc:creator>Artibus Innovation</dc:creator>
  <cp:keywords>Release: 1</cp:keywords>
  <dc:description>Review Date: 12 April 2008</dc:description>
  <cp:lastModifiedBy>HSD_TPCMSd.prod</cp:lastModifiedBy>
  <cp:revision>3</cp:revision>
  <dcterms:created xsi:type="dcterms:W3CDTF">2022-12-19T06:51:00Z</dcterms:created>
  <dcterms:modified xsi:type="dcterms:W3CDTF">2022-12-19T06:51:00Z</dcterms:modified>
</cp:coreProperties>
</file>