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24B" w:rsidP="00926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CPPSSI5048 Conduct engineering surveys</w:t>
      </w:r>
      <w:r>
        <w:fldChar w:fldCharType="end"/>
      </w:r>
    </w:p>
    <w:p w:rsidR="0092624B" w:rsidP="0092624B">
      <w:pPr>
        <w:pStyle w:val="Version"/>
        <w:sectPr w:rsidSect="00DE5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2C4" w:rsidP="00DE52C4">
      <w:pPr>
        <w:pStyle w:val="SuperHeading"/>
      </w:pPr>
      <w:r w:rsidRPr="00DE52C4">
        <w:t>Assessment Requirements for CPPSSI5048 Conduct engineering surveys</w:t>
      </w:r>
    </w:p>
    <w:p w:rsidR="00000000" w:rsidRPr="00DE52C4" w:rsidP="00DE52C4">
      <w:pPr>
        <w:pStyle w:val="Heading1"/>
      </w:pPr>
      <w:bookmarkStart w:id="1" w:name="O_1148891"/>
      <w:bookmarkEnd w:id="1"/>
      <w:r w:rsidRPr="00DE52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5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2C4">
            <w:pPr>
              <w:pStyle w:val="BodyText"/>
              <w:rPr>
                <w:lang w:val="en-NZ"/>
              </w:rPr>
            </w:pPr>
            <w:r w:rsidRPr="00DE52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2C4" w:rsidP="00DE52C4">
            <w:pPr>
              <w:pStyle w:val="BodyText"/>
            </w:pPr>
            <w:r w:rsidRPr="00DE52C4">
              <w:t>This version first released with CPP Property Services Training Package Release 12.0.</w:t>
            </w:r>
          </w:p>
          <w:p w:rsidR="00000000" w:rsidRPr="00DE52C4" w:rsidP="00DE52C4">
            <w:pPr>
              <w:pStyle w:val="BodyText"/>
            </w:pPr>
            <w:r w:rsidRPr="00DE52C4">
              <w:t>This unit supersedes and is equivalent to CPPSIS5048 Conduct engineering surveys.</w:t>
            </w:r>
          </w:p>
        </w:tc>
      </w:tr>
    </w:tbl>
    <w:p w:rsidR="00000000" w:rsidRPr="00DE52C4" w:rsidP="00DE52C4">
      <w:pPr>
        <w:pStyle w:val="BodyText"/>
      </w:pPr>
    </w:p>
    <w:p w:rsidR="00000000" w:rsidRPr="00DE52C4" w:rsidP="00DE52C4">
      <w:pPr>
        <w:pStyle w:val="AllowPageBreak"/>
      </w:pPr>
    </w:p>
    <w:p w:rsidR="00000000" w:rsidRPr="00DE52C4" w:rsidP="00DE52C4">
      <w:pPr>
        <w:pStyle w:val="Heading1"/>
      </w:pPr>
      <w:bookmarkStart w:id="2" w:name="O_1148894"/>
      <w:bookmarkEnd w:id="2"/>
      <w:r w:rsidRPr="00DE52C4">
        <w:t>Performance Evidence</w:t>
      </w:r>
    </w:p>
    <w:p w:rsidR="00000000" w:rsidRPr="00DE52C4" w:rsidP="0092624B">
      <w:pPr>
        <w:pStyle w:val="BodyText"/>
      </w:pPr>
      <w:r w:rsidRPr="00DE52C4">
        <w:t>To demonstrate competency, a candidate must meet the elements and performance criteria of this unit by conducting two different engi</w:t>
      </w:r>
      <w:r w:rsidRPr="00DE52C4">
        <w:t xml:space="preserve">neering surveys. </w:t>
      </w:r>
    </w:p>
    <w:p w:rsidR="00000000" w:rsidRPr="00DE52C4" w:rsidP="0092624B">
      <w:pPr>
        <w:pStyle w:val="BodyText"/>
      </w:pPr>
      <w:r w:rsidRPr="00DE52C4">
        <w:t>For each engineering survey, the candidate must:</w:t>
      </w:r>
    </w:p>
    <w:p w:rsidR="00000000" w:rsidRPr="00DE52C4" w:rsidP="00DE52C4">
      <w:pPr>
        <w:pStyle w:val="ListBullet"/>
      </w:pPr>
      <w:r w:rsidRPr="00DE52C4">
        <w:t>develop project files in digital and hard copy formats</w:t>
      </w:r>
    </w:p>
    <w:p w:rsidR="00000000" w:rsidRPr="00DE52C4" w:rsidP="00DE52C4">
      <w:pPr>
        <w:pStyle w:val="ListBullet"/>
      </w:pPr>
      <w:r w:rsidRPr="00DE52C4">
        <w:t>collect data appropriate to surveying specifications by using three of the following pieces of surveying equipment:</w:t>
      </w:r>
    </w:p>
    <w:p w:rsidR="00000000" w:rsidRPr="00DE52C4" w:rsidP="00DE52C4">
      <w:pPr>
        <w:pStyle w:val="ListBullet2"/>
      </w:pPr>
      <w:r w:rsidRPr="00DE52C4">
        <w:t>global navigatio</w:t>
      </w:r>
      <w:r w:rsidRPr="00DE52C4">
        <w:t>n satellite system (GNSS)</w:t>
      </w:r>
    </w:p>
    <w:p w:rsidR="00000000" w:rsidRPr="00DE52C4" w:rsidP="00DE52C4">
      <w:pPr>
        <w:pStyle w:val="ListBullet2"/>
      </w:pPr>
      <w:r w:rsidRPr="00DE52C4">
        <w:t>level</w:t>
      </w:r>
    </w:p>
    <w:p w:rsidR="00000000" w:rsidRPr="00DE52C4" w:rsidP="00DE52C4">
      <w:pPr>
        <w:pStyle w:val="ListBullet2"/>
      </w:pPr>
      <w:r w:rsidRPr="00DE52C4">
        <w:t xml:space="preserve">measuring tape </w:t>
      </w:r>
    </w:p>
    <w:p w:rsidR="00000000" w:rsidRPr="00DE52C4" w:rsidP="00DE52C4">
      <w:pPr>
        <w:pStyle w:val="ListBullet2"/>
      </w:pPr>
      <w:r w:rsidRPr="00DE52C4">
        <w:t>total station</w:t>
      </w:r>
    </w:p>
    <w:p w:rsidR="00000000" w:rsidRPr="00DE52C4" w:rsidP="00DE52C4">
      <w:pPr>
        <w:pStyle w:val="ListBullet"/>
      </w:pPr>
      <w:r w:rsidRPr="00DE52C4">
        <w:t>apply one of the following set-outs:</w:t>
      </w:r>
    </w:p>
    <w:p w:rsidR="00000000" w:rsidRPr="00DE52C4" w:rsidP="00DE52C4">
      <w:pPr>
        <w:pStyle w:val="ListBullet2"/>
      </w:pPr>
      <w:r w:rsidRPr="00DE52C4">
        <w:t>grid</w:t>
      </w:r>
    </w:p>
    <w:p w:rsidR="00000000" w:rsidRPr="00DE52C4" w:rsidP="00DE52C4">
      <w:pPr>
        <w:pStyle w:val="ListBullet2"/>
      </w:pPr>
      <w:r w:rsidRPr="00DE52C4">
        <w:t>road alignments</w:t>
      </w:r>
    </w:p>
    <w:p w:rsidR="00000000" w:rsidRPr="00DE52C4" w:rsidP="00DE52C4">
      <w:pPr>
        <w:pStyle w:val="ListBullet2"/>
      </w:pPr>
      <w:r w:rsidRPr="00DE52C4">
        <w:t>pipe (stormwater and sewer)</w:t>
      </w:r>
    </w:p>
    <w:p w:rsidR="00000000" w:rsidRPr="00DE52C4" w:rsidP="00DE52C4">
      <w:pPr>
        <w:pStyle w:val="ListBullet2"/>
      </w:pPr>
      <w:r w:rsidRPr="00DE52C4">
        <w:t>building</w:t>
      </w:r>
    </w:p>
    <w:p w:rsidR="00000000" w:rsidRPr="00DE52C4" w:rsidP="00DE52C4">
      <w:pPr>
        <w:pStyle w:val="ListBullet2"/>
      </w:pPr>
      <w:r w:rsidRPr="00DE52C4">
        <w:t>tunnel</w:t>
      </w:r>
    </w:p>
    <w:p w:rsidR="00000000" w:rsidRPr="00DE52C4" w:rsidP="00DE52C4">
      <w:pPr>
        <w:pStyle w:val="ListBullet2"/>
      </w:pPr>
      <w:r w:rsidRPr="00DE52C4">
        <w:t>bridge.</w:t>
      </w:r>
    </w:p>
    <w:p w:rsidR="00000000" w:rsidRPr="00DE52C4" w:rsidP="00DE52C4">
      <w:pPr>
        <w:pStyle w:val="AllowPageBreak"/>
      </w:pPr>
    </w:p>
    <w:p w:rsidR="00000000" w:rsidRPr="00DE52C4" w:rsidP="00DE52C4">
      <w:pPr>
        <w:pStyle w:val="Heading1"/>
      </w:pPr>
      <w:bookmarkStart w:id="3" w:name="O_1148893"/>
      <w:bookmarkEnd w:id="3"/>
      <w:r w:rsidRPr="00DE52C4">
        <w:t>Knowledge Evidence</w:t>
      </w:r>
    </w:p>
    <w:p w:rsidR="00000000" w:rsidRPr="00DE52C4" w:rsidP="0092624B">
      <w:pPr>
        <w:pStyle w:val="BodyText"/>
      </w:pPr>
      <w:r w:rsidRPr="00DE52C4">
        <w:t>To be competent in this unit a candidate must demonstrate knowledge of:</w:t>
      </w:r>
    </w:p>
    <w:p w:rsidR="00000000" w:rsidRPr="00DE52C4" w:rsidP="00DE52C4">
      <w:pPr>
        <w:pStyle w:val="ListBullet"/>
      </w:pPr>
      <w:r w:rsidRPr="00DE52C4">
        <w:t xml:space="preserve">types and procedures for topographical surveys </w:t>
      </w:r>
    </w:p>
    <w:p w:rsidR="00000000" w:rsidRPr="00DE52C4" w:rsidP="00DE52C4">
      <w:pPr>
        <w:pStyle w:val="ListBullet"/>
      </w:pPr>
      <w:r w:rsidRPr="00DE52C4">
        <w:t>methods of feature coding</w:t>
      </w:r>
    </w:p>
    <w:p w:rsidR="00000000" w:rsidRPr="00DE52C4" w:rsidP="00DE52C4">
      <w:pPr>
        <w:pStyle w:val="ListBullet"/>
      </w:pPr>
      <w:r w:rsidRPr="00DE52C4">
        <w:t>data reduction techniques</w:t>
      </w:r>
    </w:p>
    <w:p w:rsidR="00000000" w:rsidRPr="00DE52C4" w:rsidP="00DE52C4">
      <w:pPr>
        <w:pStyle w:val="ListBullet"/>
      </w:pPr>
      <w:r w:rsidRPr="00DE52C4">
        <w:t>graphical and technical information in construction and engineering drawings</w:t>
      </w:r>
    </w:p>
    <w:p w:rsidR="00000000" w:rsidRPr="00DE52C4" w:rsidP="00DE52C4">
      <w:pPr>
        <w:pStyle w:val="ListBullet"/>
      </w:pPr>
      <w:r w:rsidRPr="00DE52C4">
        <w:t>methods for calibrating surveying equipment</w:t>
      </w:r>
    </w:p>
    <w:p w:rsidR="00000000" w:rsidRPr="00DE52C4" w:rsidP="00DE52C4">
      <w:pPr>
        <w:pStyle w:val="ListBullet"/>
      </w:pPr>
      <w:r w:rsidRPr="00DE52C4">
        <w:t xml:space="preserve">accuracy and precision requirements for surveying data </w:t>
      </w:r>
    </w:p>
    <w:p w:rsidR="00000000" w:rsidRPr="00DE52C4" w:rsidP="00DE52C4">
      <w:pPr>
        <w:pStyle w:val="ListBullet"/>
      </w:pPr>
      <w:r w:rsidRPr="00DE52C4">
        <w:t>measurements and computations relating to length, angle, elevation, area and volume</w:t>
      </w:r>
    </w:p>
    <w:p w:rsidR="00000000" w:rsidRPr="00DE52C4" w:rsidP="00DE52C4">
      <w:pPr>
        <w:pStyle w:val="ListBullet"/>
      </w:pPr>
      <w:r w:rsidRPr="00DE52C4">
        <w:t>industry-accepted standards for measurements and computations</w:t>
      </w:r>
    </w:p>
    <w:p w:rsidR="00000000" w:rsidRPr="00DE52C4" w:rsidP="00DE52C4">
      <w:pPr>
        <w:pStyle w:val="ListBullet"/>
      </w:pPr>
      <w:r w:rsidRPr="00DE52C4">
        <w:t>industry-a</w:t>
      </w:r>
      <w:r w:rsidRPr="00DE52C4">
        <w:t>ccepted methods for validating data and identifying errors and discrepancies</w:t>
      </w:r>
    </w:p>
    <w:p w:rsidR="00000000" w:rsidRPr="00DE52C4" w:rsidP="00DE52C4">
      <w:pPr>
        <w:pStyle w:val="ListBullet"/>
      </w:pPr>
      <w:r w:rsidRPr="00DE52C4">
        <w:t>methods of identifying and reporting non-conformities in collected surveying data</w:t>
      </w:r>
    </w:p>
    <w:p w:rsidR="00000000" w:rsidRPr="00DE52C4" w:rsidP="00DE52C4">
      <w:pPr>
        <w:pStyle w:val="ListBullet"/>
      </w:pPr>
      <w:r w:rsidRPr="00DE52C4">
        <w:t>key features of reference systems for surveying data</w:t>
      </w:r>
    </w:p>
    <w:p w:rsidR="00000000" w:rsidRPr="00DE52C4" w:rsidP="00DE52C4">
      <w:pPr>
        <w:pStyle w:val="ListBullet"/>
      </w:pPr>
      <w:r w:rsidRPr="00DE52C4">
        <w:t>techniques for scheduling work tasks and pla</w:t>
      </w:r>
      <w:r w:rsidRPr="00DE52C4">
        <w:t>nning for contingencies</w:t>
      </w:r>
    </w:p>
    <w:p w:rsidR="00000000" w:rsidRPr="00DE52C4" w:rsidP="00DE52C4">
      <w:pPr>
        <w:pStyle w:val="ListBullet"/>
      </w:pPr>
      <w:r w:rsidRPr="00DE52C4">
        <w:t>state/territory and Commonwealth standards for surveying</w:t>
      </w:r>
    </w:p>
    <w:p w:rsidR="00000000" w:rsidRPr="00DE52C4" w:rsidP="00DE52C4">
      <w:pPr>
        <w:pStyle w:val="ListBullet"/>
      </w:pPr>
      <w:r w:rsidRPr="00DE52C4">
        <w:t>safe work practices and use of personal protective equipment (PPE).</w:t>
      </w:r>
    </w:p>
    <w:p w:rsidR="00000000" w:rsidRPr="00DE52C4" w:rsidP="00DE52C4">
      <w:pPr>
        <w:pStyle w:val="AllowPageBreak"/>
      </w:pPr>
    </w:p>
    <w:p w:rsidR="00000000" w:rsidRPr="00DE52C4" w:rsidP="00DE52C4">
      <w:pPr>
        <w:pStyle w:val="Heading1"/>
      </w:pPr>
      <w:bookmarkStart w:id="4" w:name="O_1148892"/>
      <w:bookmarkEnd w:id="4"/>
      <w:r w:rsidRPr="00DE52C4">
        <w:t>Assessment Conditions</w:t>
      </w:r>
    </w:p>
    <w:p w:rsidR="00000000" w:rsidRPr="00DE52C4" w:rsidP="0092624B">
      <w:pPr>
        <w:pStyle w:val="BodyText"/>
      </w:pPr>
      <w:r w:rsidRPr="00DE52C4">
        <w:t>Assessors must satisfy the requirements for assessors contained in</w:t>
      </w:r>
      <w:r w:rsidRPr="00DE52C4">
        <w:t xml:space="preserve"> the Standards for Registered Training Organisations. </w:t>
      </w:r>
    </w:p>
    <w:p w:rsidR="00000000" w:rsidRPr="00DE52C4" w:rsidP="0092624B">
      <w:pPr>
        <w:pStyle w:val="BodyText"/>
      </w:pPr>
      <w:r w:rsidRPr="00DE52C4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DE52C4" w:rsidP="0092624B">
      <w:pPr>
        <w:pStyle w:val="BodyText"/>
      </w:pPr>
      <w:r w:rsidRPr="00DE52C4">
        <w:t>Candidate</w:t>
      </w:r>
      <w:r w:rsidRPr="00DE52C4">
        <w:t>s must have access to:</w:t>
      </w:r>
    </w:p>
    <w:p w:rsidR="00000000" w:rsidRPr="00DE52C4" w:rsidP="00DE52C4">
      <w:pPr>
        <w:pStyle w:val="ListBullet"/>
      </w:pPr>
      <w:r w:rsidRPr="00DE52C4">
        <w:t>PPE</w:t>
      </w:r>
    </w:p>
    <w:p w:rsidR="00000000" w:rsidRPr="00DE52C4" w:rsidP="00DE52C4">
      <w:pPr>
        <w:pStyle w:val="ListBullet"/>
      </w:pPr>
      <w:r w:rsidRPr="00DE52C4">
        <w:t>survey specifications which may include relevant construction or engineering plans and drawings.</w:t>
      </w:r>
    </w:p>
    <w:p w:rsidR="00000000" w:rsidRPr="00DE52C4" w:rsidP="00DE52C4">
      <w:pPr>
        <w:pStyle w:val="AllowPageBreak"/>
      </w:pPr>
    </w:p>
    <w:p w:rsidR="00000000" w:rsidRPr="00DE52C4" w:rsidP="00DE52C4">
      <w:pPr>
        <w:pStyle w:val="Heading1"/>
      </w:pPr>
      <w:bookmarkStart w:id="5" w:name="O_1148890"/>
      <w:bookmarkEnd w:id="5"/>
      <w:r w:rsidRPr="00DE52C4">
        <w:t>Links</w:t>
      </w:r>
    </w:p>
    <w:p w:rsidR="00000000" w:rsidRPr="00DE52C4" w:rsidP="0092624B">
      <w:pPr>
        <w:pStyle w:val="BodyText"/>
      </w:pPr>
      <w:r w:rsidRPr="00DE52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42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52C4" w:rsidP="00DE52C4"/>
    <w:sectPr w:rsidSect="00DE5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C4" w:rsidRPr="0092624B" w:rsidP="00926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4B" w:rsidP="00DE5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24B" w:rsidP="00DE5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2624B" w:rsidP="00DE5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2C4" w:rsidRPr="0092624B" w:rsidP="00926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4B" w:rsidRPr="002D2AF8" w:rsidP="00DE5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CPPSSI5048 Conduct engineering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2624B" w:rsidP="00DE5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63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CB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5CD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2C4"/>
  </w:style>
  <w:style w:type="character" w:customStyle="1" w:styleId="Heading1Char">
    <w:name w:val="Heading 1 Char"/>
    <w:basedOn w:val="DefaultParagraphFont"/>
    <w:link w:val="Heading1"/>
    <w:rsid w:val="00DE5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2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2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2C4"/>
    <w:rPr>
      <w:b/>
      <w:spacing w:val="0"/>
    </w:rPr>
  </w:style>
  <w:style w:type="paragraph" w:customStyle="1" w:styleId="SuperTitle">
    <w:name w:val="SuperTitle"/>
    <w:basedOn w:val="Title"/>
    <w:rsid w:val="00DE5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2C4"/>
    <w:rPr>
      <w:i/>
    </w:rPr>
  </w:style>
  <w:style w:type="paragraph" w:styleId="Caption">
    <w:name w:val="caption"/>
    <w:basedOn w:val="BodyText"/>
    <w:next w:val="Normal"/>
    <w:qFormat/>
    <w:rsid w:val="00DE5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2C4"/>
  </w:style>
  <w:style w:type="paragraph" w:styleId="TableofFigures">
    <w:name w:val="table of figures"/>
    <w:basedOn w:val="Normal"/>
    <w:next w:val="Normal"/>
    <w:semiHidden/>
    <w:rsid w:val="00DE5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2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2C4"/>
    <w:rPr>
      <w:rFonts w:ascii="Wingdings" w:hAnsi="Wingdings"/>
    </w:rPr>
  </w:style>
  <w:style w:type="paragraph" w:customStyle="1" w:styleId="TableHeading">
    <w:name w:val="Table Heading"/>
    <w:basedOn w:val="HeadingBase"/>
    <w:rsid w:val="00DE5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2C4"/>
    <w:rPr>
      <w:color w:val="0033CC"/>
      <w:u w:val="none"/>
    </w:rPr>
  </w:style>
  <w:style w:type="paragraph" w:customStyle="1" w:styleId="BodyTextRight">
    <w:name w:val="Body Text Right"/>
    <w:basedOn w:val="BodyText"/>
    <w:rsid w:val="00DE5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2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2C4"/>
    <w:rPr>
      <w:sz w:val="32"/>
    </w:rPr>
  </w:style>
  <w:style w:type="paragraph" w:customStyle="1" w:styleId="HeadingProcedure">
    <w:name w:val="Heading Procedure"/>
    <w:basedOn w:val="HeadingBase"/>
    <w:next w:val="Normal"/>
    <w:rsid w:val="00DE5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2C4"/>
    <w:pPr>
      <w:spacing w:before="60" w:after="60"/>
    </w:pPr>
  </w:style>
  <w:style w:type="paragraph" w:styleId="ListContinue">
    <w:name w:val="List Continue"/>
    <w:basedOn w:val="List"/>
    <w:rsid w:val="00DE52C4"/>
    <w:pPr>
      <w:ind w:firstLine="0"/>
    </w:pPr>
  </w:style>
  <w:style w:type="paragraph" w:customStyle="1" w:styleId="ListNote">
    <w:name w:val="List Note"/>
    <w:basedOn w:val="List"/>
    <w:rsid w:val="00DE5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2C4"/>
    <w:rPr>
      <w:rFonts w:ascii="Courier New" w:hAnsi="Courier New"/>
    </w:rPr>
  </w:style>
  <w:style w:type="paragraph" w:customStyle="1" w:styleId="NoteBullet">
    <w:name w:val="Note Bullet"/>
    <w:basedOn w:val="Note"/>
    <w:rsid w:val="00DE5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2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2C4"/>
    <w:rPr>
      <w:b/>
      <w:smallCaps/>
    </w:rPr>
  </w:style>
  <w:style w:type="paragraph" w:customStyle="1" w:styleId="TableListNumber">
    <w:name w:val="Table List Number"/>
    <w:basedOn w:val="ListNumber"/>
    <w:rsid w:val="00DE5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2C4"/>
    <w:pPr>
      <w:numPr>
        <w:numId w:val="9"/>
      </w:numPr>
    </w:pPr>
  </w:style>
  <w:style w:type="paragraph" w:customStyle="1" w:styleId="ListAlpha2">
    <w:name w:val="List Alpha 2"/>
    <w:basedOn w:val="List2"/>
    <w:rsid w:val="00DE52C4"/>
    <w:pPr>
      <w:numPr>
        <w:numId w:val="8"/>
      </w:numPr>
    </w:pPr>
  </w:style>
  <w:style w:type="paragraph" w:styleId="List2">
    <w:name w:val="List 2"/>
    <w:basedOn w:val="BodyText"/>
    <w:rsid w:val="00DE5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2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2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2C4"/>
    <w:pPr>
      <w:numPr>
        <w:numId w:val="4"/>
      </w:numPr>
    </w:pPr>
  </w:style>
  <w:style w:type="paragraph" w:styleId="ListContinue2">
    <w:name w:val="List Continue 2"/>
    <w:basedOn w:val="List2"/>
    <w:rsid w:val="00DE52C4"/>
    <w:pPr>
      <w:ind w:firstLine="0"/>
    </w:pPr>
  </w:style>
  <w:style w:type="paragraph" w:styleId="ListContinue3">
    <w:name w:val="List Continue 3"/>
    <w:basedOn w:val="List3"/>
    <w:rsid w:val="00DE52C4"/>
    <w:pPr>
      <w:ind w:left="1021" w:firstLine="0"/>
    </w:pPr>
  </w:style>
  <w:style w:type="paragraph" w:styleId="ListContinue4">
    <w:name w:val="List Continue 4"/>
    <w:basedOn w:val="List4"/>
    <w:rsid w:val="00DE52C4"/>
    <w:pPr>
      <w:ind w:firstLine="0"/>
    </w:pPr>
  </w:style>
  <w:style w:type="paragraph" w:styleId="ListContinue5">
    <w:name w:val="List Continue 5"/>
    <w:basedOn w:val="List5"/>
    <w:rsid w:val="00DE52C4"/>
    <w:pPr>
      <w:ind w:firstLine="0"/>
    </w:pPr>
  </w:style>
  <w:style w:type="paragraph" w:styleId="ListNumber3">
    <w:name w:val="List Number 3"/>
    <w:basedOn w:val="List3"/>
    <w:rsid w:val="00DE52C4"/>
    <w:pPr>
      <w:numPr>
        <w:numId w:val="5"/>
      </w:numPr>
    </w:pPr>
  </w:style>
  <w:style w:type="paragraph" w:styleId="ListNumber4">
    <w:name w:val="List Number 4"/>
    <w:basedOn w:val="List4"/>
    <w:rsid w:val="00DE52C4"/>
    <w:pPr>
      <w:numPr>
        <w:numId w:val="6"/>
      </w:numPr>
    </w:pPr>
  </w:style>
  <w:style w:type="paragraph" w:styleId="ListNumber5">
    <w:name w:val="List Number 5"/>
    <w:basedOn w:val="List5"/>
    <w:rsid w:val="00DE52C4"/>
    <w:pPr>
      <w:numPr>
        <w:numId w:val="7"/>
      </w:numPr>
    </w:pPr>
  </w:style>
  <w:style w:type="paragraph" w:styleId="BlockText">
    <w:name w:val="Block Text"/>
    <w:basedOn w:val="Normal"/>
    <w:rsid w:val="00DE5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2C4"/>
    <w:rPr>
      <w:sz w:val="16"/>
      <w:vertAlign w:val="superscript"/>
    </w:rPr>
  </w:style>
  <w:style w:type="character" w:customStyle="1" w:styleId="Symbols">
    <w:name w:val="Symbols"/>
    <w:basedOn w:val="DefaultParagraphFont"/>
    <w:rsid w:val="00DE52C4"/>
    <w:rPr>
      <w:rFonts w:ascii="Symbol" w:hAnsi="Symbol"/>
    </w:rPr>
  </w:style>
  <w:style w:type="character" w:customStyle="1" w:styleId="MenuOptions">
    <w:name w:val="Menu Options"/>
    <w:basedOn w:val="DefaultParagraphFont"/>
    <w:rsid w:val="00DE5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2C4"/>
    <w:rPr>
      <w:b/>
    </w:rPr>
  </w:style>
  <w:style w:type="character" w:customStyle="1" w:styleId="Underlined">
    <w:name w:val="Underlined"/>
    <w:basedOn w:val="DefaultParagraphFont"/>
    <w:rsid w:val="00DE52C4"/>
    <w:rPr>
      <w:u w:val="single"/>
    </w:rPr>
  </w:style>
  <w:style w:type="paragraph" w:customStyle="1" w:styleId="TableBodyTextRight">
    <w:name w:val="Table Body Text Right"/>
    <w:basedOn w:val="TableBodyText"/>
    <w:rsid w:val="00DE5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2C4"/>
    <w:rPr>
      <w:sz w:val="18"/>
    </w:rPr>
  </w:style>
  <w:style w:type="paragraph" w:customStyle="1" w:styleId="BodySmallRight">
    <w:name w:val="Body Small Right"/>
    <w:basedOn w:val="BodyTextRight"/>
    <w:rsid w:val="00DE52C4"/>
    <w:rPr>
      <w:sz w:val="18"/>
      <w:szCs w:val="18"/>
    </w:rPr>
  </w:style>
  <w:style w:type="paragraph" w:customStyle="1" w:styleId="MarginEdition">
    <w:name w:val="Margin Edition"/>
    <w:basedOn w:val="MarginNote"/>
    <w:rsid w:val="00DE5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2C4"/>
    <w:rPr>
      <w:sz w:val="2"/>
      <w:szCs w:val="2"/>
    </w:rPr>
  </w:style>
  <w:style w:type="character" w:customStyle="1" w:styleId="Small">
    <w:name w:val="Small"/>
    <w:basedOn w:val="DefaultParagraphFont"/>
    <w:rsid w:val="00DE52C4"/>
    <w:rPr>
      <w:sz w:val="16"/>
    </w:rPr>
  </w:style>
  <w:style w:type="paragraph" w:customStyle="1" w:styleId="WideTable">
    <w:name w:val="Wide Table"/>
    <w:basedOn w:val="Normal"/>
    <w:rsid w:val="00DE5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2C4"/>
  </w:style>
  <w:style w:type="paragraph" w:styleId="Quote">
    <w:name w:val="Quote"/>
    <w:basedOn w:val="Heading1"/>
    <w:link w:val="QuoteChar"/>
    <w:qFormat/>
    <w:rsid w:val="00DE5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2C4"/>
    <w:pPr>
      <w:pageBreakBefore/>
    </w:pPr>
  </w:style>
  <w:style w:type="paragraph" w:customStyle="1" w:styleId="Border">
    <w:name w:val="Border"/>
    <w:basedOn w:val="Normal"/>
    <w:qFormat/>
    <w:rsid w:val="00DE5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2C4"/>
    <w:rPr>
      <w:u w:val="single"/>
    </w:rPr>
  </w:style>
  <w:style w:type="character" w:customStyle="1" w:styleId="BoldandItalics">
    <w:name w:val="Bold and Italics"/>
    <w:qFormat/>
    <w:rsid w:val="00DE52C4"/>
    <w:rPr>
      <w:b/>
      <w:i/>
      <w:u w:val="none"/>
    </w:rPr>
  </w:style>
  <w:style w:type="paragraph" w:styleId="BalloonText">
    <w:name w:val="Balloon Text"/>
    <w:basedOn w:val="Normal"/>
    <w:link w:val="BalloonTextChar"/>
    <w:rsid w:val="00DE5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2C4"/>
    <w:pPr>
      <w:spacing w:before="0" w:after="0"/>
    </w:pPr>
  </w:style>
  <w:style w:type="paragraph" w:customStyle="1" w:styleId="BodyTextBold">
    <w:name w:val="Body Text Bold"/>
    <w:basedOn w:val="BodyText"/>
    <w:qFormat/>
    <w:rsid w:val="00DE52C4"/>
    <w:rPr>
      <w:b/>
    </w:rPr>
  </w:style>
  <w:style w:type="character" w:styleId="Hyperlink">
    <w:name w:val="Hyperlink"/>
    <w:basedOn w:val="DefaultParagraphFont"/>
    <w:uiPriority w:val="99"/>
    <w:unhideWhenUsed/>
    <w:rsid w:val="00926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2329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CPPSSI5048 Conduct engineering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