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F04" w:rsidP="002C4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CPPSPS3004 Maintain swimming pool and spa water circulation and filtration systems</w:t>
      </w:r>
      <w:r>
        <w:fldChar w:fldCharType="end"/>
      </w:r>
    </w:p>
    <w:p w:rsidR="002C4F04" w:rsidP="002C4F04">
      <w:pPr>
        <w:pStyle w:val="Version"/>
        <w:sectPr w:rsidSect="00762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DAC" w:rsidP="00762DAC">
      <w:pPr>
        <w:pStyle w:val="SuperHeading"/>
      </w:pPr>
      <w:r w:rsidRPr="00762DAC">
        <w:t>Assessment Requirements for CPPSPS3004 Maintain swimming pool and spa water circulation and filtration systems</w:t>
      </w:r>
    </w:p>
    <w:p w:rsidR="00000000" w:rsidRPr="00762DAC" w:rsidP="00762DAC">
      <w:pPr>
        <w:pStyle w:val="Heading1"/>
      </w:pPr>
      <w:bookmarkStart w:id="1" w:name="O_887859"/>
      <w:bookmarkEnd w:id="1"/>
      <w:r w:rsidRPr="00762DAC">
        <w:t>Modification History</w:t>
      </w:r>
    </w:p>
    <w:p w:rsidR="00000000" w:rsidRPr="00762DAC" w:rsidP="002C4F04">
      <w:pPr>
        <w:pStyle w:val="List"/>
      </w:pPr>
      <w:r w:rsidRPr="00762DAC">
        <w:t>Release 1.</w:t>
      </w:r>
    </w:p>
    <w:p w:rsidR="00000000" w:rsidRPr="00762DAC" w:rsidP="002C4F04">
      <w:pPr>
        <w:pStyle w:val="List"/>
      </w:pPr>
      <w:r w:rsidRPr="00762DAC">
        <w:t>Supersedes and is equivalent to CPPSPS3004A.</w:t>
      </w:r>
    </w:p>
    <w:p w:rsidR="00000000" w:rsidRPr="00762DAC" w:rsidP="002C4F04">
      <w:pPr>
        <w:pStyle w:val="List"/>
      </w:pPr>
      <w:r w:rsidRPr="00762DAC">
        <w:t>Unit of competency upgraded to reflect Standards for Training Packages 2012.</w:t>
      </w:r>
    </w:p>
    <w:p w:rsidR="00000000" w:rsidRPr="00762DAC" w:rsidP="002C4F04">
      <w:pPr>
        <w:pStyle w:val="List"/>
      </w:pPr>
      <w:r w:rsidRPr="00762DAC">
        <w:t>This version first released with CPP Property Services Training Package Version 6.0.</w:t>
      </w:r>
    </w:p>
    <w:p w:rsidR="00000000" w:rsidRPr="00762DAC" w:rsidP="00762DAC">
      <w:pPr>
        <w:pStyle w:val="AllowPageBreak"/>
      </w:pPr>
    </w:p>
    <w:p w:rsidR="00000000" w:rsidRPr="00762DAC" w:rsidP="00762DAC">
      <w:pPr>
        <w:pStyle w:val="Heading1"/>
      </w:pPr>
      <w:bookmarkStart w:id="2" w:name="O_887862"/>
      <w:bookmarkEnd w:id="2"/>
      <w:r w:rsidRPr="00762DAC">
        <w:t>Performance Evidence</w:t>
      </w:r>
    </w:p>
    <w:p w:rsidR="00000000" w:rsidRPr="00762DAC" w:rsidP="002C4F04">
      <w:pPr>
        <w:pStyle w:val="BodyText"/>
      </w:pPr>
      <w:r w:rsidRPr="00762DAC">
        <w:t>To demonstrate competency in this unit, a person must pe</w:t>
      </w:r>
      <w:r w:rsidRPr="00762DAC">
        <w:t>rform routine maintenance of water circulation and filtration systems of each of two swimming pools and two spas.</w:t>
      </w:r>
    </w:p>
    <w:p w:rsidR="00000000" w:rsidRPr="00762DAC" w:rsidP="002C4F04">
      <w:pPr>
        <w:pStyle w:val="BodyText"/>
      </w:pPr>
      <w:r w:rsidRPr="00762DAC">
        <w:t>In doing this, the person must meet the performance criteria for this unit.</w:t>
      </w:r>
    </w:p>
    <w:p w:rsidR="00000000" w:rsidRPr="00762DAC" w:rsidP="00762DAC">
      <w:pPr>
        <w:pStyle w:val="Heading1"/>
      </w:pPr>
      <w:bookmarkStart w:id="3" w:name="O_887861"/>
      <w:bookmarkEnd w:id="3"/>
      <w:r w:rsidRPr="00762DAC">
        <w:t>Knowledge Evidence</w:t>
      </w:r>
    </w:p>
    <w:p w:rsidR="00000000" w:rsidRPr="00762DAC" w:rsidP="002C4F04">
      <w:pPr>
        <w:pStyle w:val="BodyText"/>
      </w:pPr>
      <w:r w:rsidRPr="00762DAC">
        <w:t xml:space="preserve">To be competent in this unit, </w:t>
      </w:r>
      <w:r w:rsidRPr="00762DAC">
        <w:t xml:space="preserve">a person must demonstrate knowledge of: </w:t>
      </w:r>
    </w:p>
    <w:p w:rsidR="00000000" w:rsidRPr="00762DAC" w:rsidP="00762DAC">
      <w:pPr>
        <w:pStyle w:val="ListBullet"/>
      </w:pPr>
      <w:r w:rsidRPr="00762DAC">
        <w:t>requirements of jurisdictional work health and safety and environmental legislation and regulations relating to routinely maintaining swimming pool and spa water circulation and filtration systems</w:t>
      </w:r>
    </w:p>
    <w:p w:rsidR="00000000" w:rsidRPr="00762DAC" w:rsidP="00762DAC">
      <w:pPr>
        <w:pStyle w:val="ListBullet"/>
      </w:pPr>
      <w:r w:rsidRPr="00762DAC">
        <w:t>workplace require</w:t>
      </w:r>
      <w:r w:rsidRPr="00762DAC">
        <w:t>ments for undertaking all aspects of routinely maintaining swimming pool and spa water circulation and filtration systems, including:</w:t>
      </w:r>
    </w:p>
    <w:p w:rsidR="00000000" w:rsidRPr="00762DAC" w:rsidP="00762DAC">
      <w:pPr>
        <w:pStyle w:val="ListBullet2"/>
      </w:pPr>
      <w:r w:rsidRPr="00762DAC">
        <w:t>work health and safety procedures</w:t>
      </w:r>
    </w:p>
    <w:p w:rsidR="00000000" w:rsidRPr="00762DAC" w:rsidP="00762DAC">
      <w:pPr>
        <w:pStyle w:val="ListBullet2"/>
      </w:pPr>
      <w:r w:rsidRPr="00762DAC">
        <w:t>workplace emergency procedures</w:t>
      </w:r>
    </w:p>
    <w:p w:rsidR="00000000" w:rsidRPr="00762DAC" w:rsidP="00762DAC">
      <w:pPr>
        <w:pStyle w:val="ListBullet2"/>
      </w:pPr>
      <w:r w:rsidRPr="00762DAC">
        <w:t>use of safety data sheets (SDSs)</w:t>
      </w:r>
    </w:p>
    <w:p w:rsidR="00000000" w:rsidRPr="00762DAC" w:rsidP="00762DAC">
      <w:pPr>
        <w:pStyle w:val="ListBullet2"/>
      </w:pPr>
      <w:r w:rsidRPr="00762DAC">
        <w:t xml:space="preserve">safe handling of chemicals and equipment  </w:t>
      </w:r>
    </w:p>
    <w:p w:rsidR="00000000" w:rsidRPr="00762DAC" w:rsidP="00762DAC">
      <w:pPr>
        <w:pStyle w:val="ListBullet2"/>
      </w:pPr>
      <w:r w:rsidRPr="00762DAC">
        <w:t>emergency responses relating to hazardous materials and chemicals</w:t>
      </w:r>
    </w:p>
    <w:p w:rsidR="00000000" w:rsidRPr="00762DAC" w:rsidP="00762DAC">
      <w:pPr>
        <w:pStyle w:val="ListBullet2"/>
      </w:pPr>
      <w:r w:rsidRPr="00762DAC">
        <w:t>interpreting work orders and reporting problems</w:t>
      </w:r>
    </w:p>
    <w:p w:rsidR="00000000" w:rsidRPr="00762DAC" w:rsidP="00762DAC">
      <w:pPr>
        <w:pStyle w:val="ListBullet"/>
      </w:pPr>
      <w:r w:rsidRPr="00762DAC">
        <w:t>Australian Competition and Consumer Commission product safety guidelines and Commonwealth, state o</w:t>
      </w:r>
      <w:r w:rsidRPr="00762DAC">
        <w:t>r territory legislation, and local government regulations, Australian Standards, and codes of practice impacting on the routine maintenance of swimming pool and spa water circulation and filtration systems relating to:</w:t>
      </w:r>
    </w:p>
    <w:p w:rsidR="00000000" w:rsidRPr="00762DAC" w:rsidP="00762DAC">
      <w:pPr>
        <w:pStyle w:val="ListBullet2"/>
      </w:pPr>
      <w:r w:rsidRPr="00762DAC">
        <w:t xml:space="preserve">electrical and plumbing regulations </w:t>
      </w:r>
      <w:r w:rsidRPr="00762DAC">
        <w:t>controlling conduct of electrical and plumbing work</w:t>
      </w:r>
    </w:p>
    <w:p w:rsidR="00000000" w:rsidRPr="00762DAC" w:rsidP="00762DAC">
      <w:pPr>
        <w:pStyle w:val="ListBullet2"/>
      </w:pPr>
      <w:r w:rsidRPr="00762DAC">
        <w:t>private and public swimming pools and spas</w:t>
      </w:r>
    </w:p>
    <w:p w:rsidR="00000000" w:rsidRPr="00762DAC" w:rsidP="00762DAC">
      <w:pPr>
        <w:pStyle w:val="ListBullet2"/>
      </w:pPr>
      <w:r w:rsidRPr="00762DAC">
        <w:t>swimming pool and spa safety barriers</w:t>
      </w:r>
    </w:p>
    <w:p w:rsidR="00000000" w:rsidRPr="00762DAC" w:rsidP="00762DAC">
      <w:pPr>
        <w:pStyle w:val="ListBullet2"/>
      </w:pPr>
      <w:r w:rsidRPr="00762DAC">
        <w:t>environmental health</w:t>
      </w:r>
    </w:p>
    <w:p w:rsidR="00000000" w:rsidRPr="00762DAC" w:rsidP="00762DAC">
      <w:pPr>
        <w:pStyle w:val="ListBullet2"/>
      </w:pPr>
      <w:r w:rsidRPr="00762DAC">
        <w:t>waste disposal</w:t>
      </w:r>
    </w:p>
    <w:p w:rsidR="00000000" w:rsidRPr="00762DAC" w:rsidP="00762DAC">
      <w:pPr>
        <w:pStyle w:val="ListBullet"/>
      </w:pPr>
      <w:r w:rsidRPr="00762DAC">
        <w:t>processes to identify hazards, assess risks and determine and implement risk control m</w:t>
      </w:r>
      <w:r w:rsidRPr="00762DAC">
        <w:t xml:space="preserve">easures in routine maintenance of swimming pool and spa water circulation and filtration systems, including: </w:t>
      </w:r>
    </w:p>
    <w:p w:rsidR="00000000" w:rsidRPr="00762DAC" w:rsidP="00762DAC">
      <w:pPr>
        <w:pStyle w:val="ListBullet2"/>
      </w:pPr>
      <w:r w:rsidRPr="00762DAC">
        <w:t>chemical hazards</w:t>
      </w:r>
    </w:p>
    <w:p w:rsidR="00000000" w:rsidRPr="00762DAC" w:rsidP="00762DAC">
      <w:pPr>
        <w:pStyle w:val="ListBullet2"/>
      </w:pPr>
      <w:r w:rsidRPr="00762DAC">
        <w:t>electrical hazards</w:t>
      </w:r>
    </w:p>
    <w:p w:rsidR="00000000" w:rsidRPr="00762DAC" w:rsidP="00762DAC">
      <w:pPr>
        <w:pStyle w:val="ListBullet2"/>
      </w:pPr>
      <w:r w:rsidRPr="00762DAC">
        <w:t>bacteria, viruses</w:t>
      </w:r>
    </w:p>
    <w:p w:rsidR="00000000" w:rsidRPr="00762DAC" w:rsidP="00762DAC">
      <w:pPr>
        <w:pStyle w:val="ListBullet2"/>
      </w:pPr>
      <w:r w:rsidRPr="00762DAC">
        <w:t>bodily fluids</w:t>
      </w:r>
    </w:p>
    <w:p w:rsidR="00000000" w:rsidRPr="00762DAC" w:rsidP="00762DAC">
      <w:pPr>
        <w:pStyle w:val="ListBullet2"/>
      </w:pPr>
      <w:r w:rsidRPr="00762DAC">
        <w:t>contaminated water and surfaces</w:t>
      </w:r>
    </w:p>
    <w:p w:rsidR="00000000" w:rsidRPr="00762DAC" w:rsidP="00762DAC">
      <w:pPr>
        <w:pStyle w:val="ListBullet2"/>
      </w:pPr>
      <w:r w:rsidRPr="00762DAC">
        <w:t>working in confined spaces</w:t>
      </w:r>
    </w:p>
    <w:p w:rsidR="00000000" w:rsidRPr="00762DAC" w:rsidP="00762DAC">
      <w:pPr>
        <w:pStyle w:val="ListBullet"/>
      </w:pPr>
      <w:r w:rsidRPr="00762DAC">
        <w:t>tools, materials and equipment used in routine maintenance of swimming pools and spas water circulation and filtration systems, their application and requirements for safe use</w:t>
      </w:r>
    </w:p>
    <w:p w:rsidR="00000000" w:rsidRPr="00762DAC" w:rsidP="00762DAC">
      <w:pPr>
        <w:pStyle w:val="ListBullet"/>
      </w:pPr>
      <w:r w:rsidRPr="00762DAC">
        <w:t xml:space="preserve">personal protective equipment (PPE) requirements and use in routine maintenance </w:t>
      </w:r>
      <w:r w:rsidRPr="00762DAC">
        <w:t>of swimming pool and spa water circulation and filtration systems</w:t>
      </w:r>
    </w:p>
    <w:p w:rsidR="00000000" w:rsidRPr="00762DAC" w:rsidP="00762DAC">
      <w:pPr>
        <w:pStyle w:val="ListBullet"/>
      </w:pPr>
      <w:r w:rsidRPr="00762DAC">
        <w:t>processes and requirements for inspection and assessment of swimming pool and spa water circulation and filtration systems for operational effectiveness and safe operation</w:t>
      </w:r>
    </w:p>
    <w:p w:rsidR="00000000" w:rsidRPr="00762DAC" w:rsidP="00762DAC">
      <w:pPr>
        <w:pStyle w:val="ListBullet"/>
      </w:pPr>
      <w:r w:rsidRPr="00762DAC">
        <w:t>requirements for r</w:t>
      </w:r>
      <w:r w:rsidRPr="00762DAC">
        <w:t>outine servicing of swimming pool and spa water circulation and filtration systems</w:t>
      </w:r>
    </w:p>
    <w:p w:rsidR="00000000" w:rsidRPr="00762DAC" w:rsidP="00762DAC">
      <w:pPr>
        <w:pStyle w:val="ListBullet"/>
      </w:pPr>
      <w:r w:rsidRPr="00762DAC">
        <w:t xml:space="preserve">testing and overflow testing </w:t>
      </w:r>
    </w:p>
    <w:p w:rsidR="00000000" w:rsidRPr="00762DAC" w:rsidP="00762DAC">
      <w:pPr>
        <w:pStyle w:val="ListBullet"/>
      </w:pPr>
      <w:r w:rsidRPr="00762DAC">
        <w:t xml:space="preserve">filtration principles </w:t>
      </w:r>
    </w:p>
    <w:p w:rsidR="00000000" w:rsidRPr="00762DAC" w:rsidP="00762DAC">
      <w:pPr>
        <w:pStyle w:val="ListBullet"/>
      </w:pPr>
      <w:r w:rsidRPr="00762DAC">
        <w:t>flow rate</w:t>
      </w:r>
    </w:p>
    <w:p w:rsidR="00000000" w:rsidRPr="00762DAC" w:rsidP="00762DAC">
      <w:pPr>
        <w:pStyle w:val="ListBullet"/>
      </w:pPr>
      <w:r w:rsidRPr="00762DAC">
        <w:t>direction suction</w:t>
      </w:r>
    </w:p>
    <w:p w:rsidR="00000000" w:rsidRPr="00762DAC" w:rsidP="00762DAC">
      <w:pPr>
        <w:pStyle w:val="ListBullet"/>
      </w:pPr>
      <w:r w:rsidRPr="00762DAC">
        <w:t>types of filters</w:t>
      </w:r>
    </w:p>
    <w:p w:rsidR="00000000" w:rsidRPr="00762DAC" w:rsidP="00762DAC">
      <w:pPr>
        <w:pStyle w:val="ListBullet"/>
      </w:pPr>
      <w:r w:rsidRPr="00762DAC">
        <w:t>filter area</w:t>
      </w:r>
    </w:p>
    <w:p w:rsidR="00000000" w:rsidRPr="00762DAC" w:rsidP="00762DAC">
      <w:pPr>
        <w:pStyle w:val="ListBullet"/>
      </w:pPr>
      <w:r w:rsidRPr="00762DAC">
        <w:t>filter media changeover</w:t>
      </w:r>
    </w:p>
    <w:p w:rsidR="00000000" w:rsidRPr="00762DAC" w:rsidP="00762DAC">
      <w:pPr>
        <w:pStyle w:val="ListBullet"/>
      </w:pPr>
      <w:r w:rsidRPr="00762DAC">
        <w:t>water removal</w:t>
      </w:r>
    </w:p>
    <w:p w:rsidR="00000000" w:rsidRPr="00762DAC" w:rsidP="00762DAC">
      <w:pPr>
        <w:pStyle w:val="ListBullet"/>
      </w:pPr>
      <w:r w:rsidRPr="00762DAC">
        <w:t>swimming pool and spa water circulation and filtration systems’ components, including:</w:t>
      </w:r>
    </w:p>
    <w:p w:rsidR="00000000" w:rsidRPr="00762DAC" w:rsidP="00762DAC">
      <w:pPr>
        <w:pStyle w:val="ListBullet2"/>
      </w:pPr>
      <w:r w:rsidRPr="00762DAC">
        <w:t>circulation systems and pumps</w:t>
      </w:r>
    </w:p>
    <w:p w:rsidR="00000000" w:rsidRPr="00762DAC" w:rsidP="00762DAC">
      <w:pPr>
        <w:pStyle w:val="ListBullet2"/>
      </w:pPr>
      <w:r w:rsidRPr="00762DAC">
        <w:t>control systems</w:t>
      </w:r>
    </w:p>
    <w:p w:rsidR="00000000" w:rsidRPr="00762DAC" w:rsidP="00762DAC">
      <w:pPr>
        <w:pStyle w:val="ListBullet2"/>
      </w:pPr>
      <w:r w:rsidRPr="00762DAC">
        <w:t>dosing systems</w:t>
      </w:r>
    </w:p>
    <w:p w:rsidR="00000000" w:rsidRPr="00762DAC" w:rsidP="00762DAC">
      <w:pPr>
        <w:pStyle w:val="ListBullet2"/>
      </w:pPr>
      <w:r w:rsidRPr="00762DAC">
        <w:t>gauges used to determine circulation performance</w:t>
      </w:r>
    </w:p>
    <w:p w:rsidR="00000000" w:rsidRPr="00762DAC" w:rsidP="00762DAC">
      <w:pPr>
        <w:pStyle w:val="ListBullet2"/>
      </w:pPr>
      <w:r w:rsidRPr="00762DAC">
        <w:t>motors</w:t>
      </w:r>
    </w:p>
    <w:p w:rsidR="00000000" w:rsidRPr="00762DAC" w:rsidP="00762DAC">
      <w:pPr>
        <w:pStyle w:val="ListBullet2"/>
      </w:pPr>
      <w:r w:rsidRPr="00762DAC">
        <w:t>piping</w:t>
      </w:r>
    </w:p>
    <w:p w:rsidR="00000000" w:rsidRPr="00762DAC" w:rsidP="00762DAC">
      <w:pPr>
        <w:pStyle w:val="ListBullet2"/>
      </w:pPr>
      <w:r w:rsidRPr="00762DAC">
        <w:t>pressure side elements</w:t>
      </w:r>
    </w:p>
    <w:p w:rsidR="00000000" w:rsidRPr="00762DAC" w:rsidP="00762DAC">
      <w:pPr>
        <w:pStyle w:val="ListBullet2"/>
      </w:pPr>
      <w:r w:rsidRPr="00762DAC">
        <w:t>suction side elements</w:t>
      </w:r>
    </w:p>
    <w:p w:rsidR="00000000" w:rsidRPr="00762DAC" w:rsidP="00762DAC">
      <w:pPr>
        <w:pStyle w:val="ListBullet2"/>
      </w:pPr>
      <w:r w:rsidRPr="00762DAC">
        <w:t>valves</w:t>
      </w:r>
    </w:p>
    <w:p w:rsidR="00000000" w:rsidRPr="00762DAC" w:rsidP="00762DAC">
      <w:pPr>
        <w:pStyle w:val="ListBullet"/>
      </w:pPr>
      <w:r w:rsidRPr="00762DAC">
        <w:t xml:space="preserve">processes for: </w:t>
      </w:r>
    </w:p>
    <w:p w:rsidR="00000000" w:rsidRPr="00762DAC" w:rsidP="00762DAC">
      <w:pPr>
        <w:pStyle w:val="ListBullet2"/>
      </w:pPr>
      <w:r w:rsidRPr="00762DAC">
        <w:t>reporting faults, wear or damage</w:t>
      </w:r>
    </w:p>
    <w:p w:rsidR="00000000" w:rsidRPr="00762DAC" w:rsidP="00762DAC">
      <w:pPr>
        <w:pStyle w:val="ListBullet2"/>
      </w:pPr>
      <w:r w:rsidRPr="00762DAC">
        <w:t>providing client with information on compliance of swimming pool and spa water circulation and filtration systems and environs with safety legislation</w:t>
      </w:r>
    </w:p>
    <w:p w:rsidR="00000000" w:rsidRPr="00762DAC" w:rsidP="00762DAC">
      <w:pPr>
        <w:pStyle w:val="ListBullet2"/>
      </w:pPr>
      <w:r w:rsidRPr="00762DAC">
        <w:t>reinstating swimming pool and spa water circul</w:t>
      </w:r>
      <w:r w:rsidRPr="00762DAC">
        <w:t>ation and filtration systems to safe operational condition after routine servicing</w:t>
      </w:r>
    </w:p>
    <w:p w:rsidR="00000000" w:rsidRPr="00762DAC" w:rsidP="00762DAC">
      <w:pPr>
        <w:pStyle w:val="ListBullet2"/>
      </w:pPr>
      <w:r w:rsidRPr="00762DAC">
        <w:t>restoring work area after routine servicing</w:t>
      </w:r>
    </w:p>
    <w:p w:rsidR="00000000" w:rsidRPr="00762DAC" w:rsidP="00762DAC">
      <w:pPr>
        <w:pStyle w:val="ListBullet2"/>
      </w:pPr>
      <w:r w:rsidRPr="00762DAC">
        <w:t>disposing of waste</w:t>
      </w:r>
    </w:p>
    <w:p w:rsidR="00000000" w:rsidRPr="00762DAC" w:rsidP="00762DAC">
      <w:pPr>
        <w:pStyle w:val="ListBullet2"/>
      </w:pPr>
      <w:r w:rsidRPr="00762DAC">
        <w:t>cleaning and storing tools and equipment</w:t>
      </w:r>
    </w:p>
    <w:p w:rsidR="00000000" w:rsidRPr="00762DAC" w:rsidP="00762DAC">
      <w:pPr>
        <w:pStyle w:val="ListBullet2"/>
      </w:pPr>
      <w:r w:rsidRPr="00762DAC">
        <w:t>comp</w:t>
      </w:r>
      <w:r w:rsidRPr="00762DAC">
        <w:t>leting workplace documents on routine maintenance of swimming pool and spa water circulation and filtration systems</w:t>
      </w:r>
    </w:p>
    <w:p w:rsidR="00000000" w:rsidRPr="00762DAC" w:rsidP="00762DAC">
      <w:pPr>
        <w:pStyle w:val="ListBullet"/>
      </w:pPr>
      <w:r w:rsidRPr="00762DAC">
        <w:t>differences between hot and cold-water chemistry.</w:t>
      </w:r>
    </w:p>
    <w:p w:rsidR="00000000" w:rsidRPr="00762DAC" w:rsidP="00762DAC">
      <w:pPr>
        <w:pStyle w:val="AllowPageBreak"/>
      </w:pPr>
    </w:p>
    <w:p w:rsidR="00000000" w:rsidRPr="00762DAC" w:rsidP="00762DAC">
      <w:pPr>
        <w:pStyle w:val="Heading1"/>
      </w:pPr>
      <w:bookmarkStart w:id="4" w:name="O_887860"/>
      <w:bookmarkEnd w:id="4"/>
      <w:r w:rsidRPr="00762DAC">
        <w:t>Assessment Conditions</w:t>
      </w:r>
    </w:p>
    <w:p w:rsidR="00000000" w:rsidRPr="00762DAC" w:rsidP="002C4F04">
      <w:pPr>
        <w:pStyle w:val="BodyText"/>
      </w:pPr>
      <w:r w:rsidRPr="00762DAC">
        <w:t>Assessors must satisfy the requirements for assess</w:t>
      </w:r>
      <w:r w:rsidRPr="00762DAC">
        <w:t xml:space="preserve">ors contained in the Standards for Registered Training Organisations. </w:t>
      </w:r>
    </w:p>
    <w:p w:rsidR="00000000" w:rsidRPr="00762DAC" w:rsidP="002C4F04">
      <w:pPr>
        <w:pStyle w:val="BodyText"/>
      </w:pPr>
      <w:r w:rsidRPr="00762DAC">
        <w:t>Assessment of performance must be undertaken in the workplace or in a simulated workplace environment. Tasks are to be performed to the level of proficiency and within the time limits e</w:t>
      </w:r>
      <w:r w:rsidRPr="00762DAC">
        <w:t xml:space="preserve">xpected in a workplace. </w:t>
      </w:r>
    </w:p>
    <w:p w:rsidR="00000000" w:rsidRPr="00762DAC" w:rsidP="002C4F04">
      <w:pPr>
        <w:pStyle w:val="BodyText"/>
      </w:pPr>
      <w:r w:rsidRPr="00762DAC">
        <w:t>Assessors are responsible for ensuring that the person demonstrating competency has access to:</w:t>
      </w:r>
    </w:p>
    <w:p w:rsidR="00000000" w:rsidRPr="00762DAC" w:rsidP="00762DAC">
      <w:pPr>
        <w:pStyle w:val="ListBullet"/>
      </w:pPr>
      <w:r w:rsidRPr="00762DAC">
        <w:t>work site/s and specifications for routine maintenance of swimming pools and spas water circulation and filtration systems</w:t>
      </w:r>
    </w:p>
    <w:p w:rsidR="00000000" w:rsidRPr="00762DAC" w:rsidP="00762DAC">
      <w:pPr>
        <w:pStyle w:val="ListBullet"/>
      </w:pPr>
      <w:r w:rsidRPr="00762DAC">
        <w:t xml:space="preserve">appropriate </w:t>
      </w:r>
      <w:r w:rsidRPr="00762DAC">
        <w:t>documents, SDSs, manufacturers’ instructions, materials, tools, equipment and PPE currently used in industry</w:t>
      </w:r>
    </w:p>
    <w:p w:rsidR="00000000" w:rsidRPr="00762DAC" w:rsidP="00762DAC">
      <w:pPr>
        <w:pStyle w:val="ListBullet"/>
      </w:pPr>
      <w:r w:rsidRPr="00762DAC">
        <w:t>requirements of appropriate sections of legislation and regulations</w:t>
      </w:r>
    </w:p>
    <w:p w:rsidR="00000000" w:rsidRPr="00762DAC" w:rsidP="00762DAC">
      <w:pPr>
        <w:pStyle w:val="ListBullet"/>
      </w:pPr>
      <w:r w:rsidRPr="00762DAC">
        <w:t>relevant workplace policies and procedures.</w:t>
      </w:r>
    </w:p>
    <w:p w:rsidR="00000000" w:rsidRPr="00762DAC" w:rsidP="00762DAC">
      <w:pPr>
        <w:pStyle w:val="AllowPageBreak"/>
      </w:pPr>
    </w:p>
    <w:p w:rsidR="00000000" w:rsidRPr="00762DAC" w:rsidP="00762DAC">
      <w:pPr>
        <w:pStyle w:val="Heading1"/>
      </w:pPr>
      <w:bookmarkStart w:id="5" w:name="O_887858"/>
      <w:bookmarkEnd w:id="5"/>
      <w:r w:rsidRPr="00762DAC">
        <w:t>Links</w:t>
      </w:r>
    </w:p>
    <w:p w:rsidR="00000000" w:rsidRPr="00762DAC" w:rsidP="002C4F04">
      <w:pPr>
        <w:pStyle w:val="BodyText"/>
      </w:pPr>
      <w:r w:rsidRPr="00762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8535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62DAC" w:rsidP="00762DAC"/>
    <w:sectPr w:rsidSect="00762D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DAC" w:rsidRPr="002C4F04" w:rsidP="002C4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04" w:rsidP="00762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F04" w:rsidP="00762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C4F04" w:rsidP="00762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DAC" w:rsidRPr="002C4F04" w:rsidP="002C4F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04" w:rsidRPr="002D2AF8" w:rsidP="00762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CPPSPS3004 Maintain swimming pool and spa water circulation and filtration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C4F04" w:rsidP="00762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26F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5EE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C0D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DAC"/>
  </w:style>
  <w:style w:type="character" w:customStyle="1" w:styleId="Heading1Char">
    <w:name w:val="Heading 1 Char"/>
    <w:basedOn w:val="DefaultParagraphFont"/>
    <w:link w:val="Heading1"/>
    <w:rsid w:val="00762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D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2D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2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2DAC"/>
    <w:rPr>
      <w:b/>
      <w:spacing w:val="0"/>
    </w:rPr>
  </w:style>
  <w:style w:type="paragraph" w:customStyle="1" w:styleId="SuperTitle">
    <w:name w:val="SuperTitle"/>
    <w:basedOn w:val="Title"/>
    <w:rsid w:val="00762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DAC"/>
    <w:rPr>
      <w:i/>
    </w:rPr>
  </w:style>
  <w:style w:type="paragraph" w:styleId="Caption">
    <w:name w:val="caption"/>
    <w:basedOn w:val="BodyText"/>
    <w:next w:val="Normal"/>
    <w:qFormat/>
    <w:rsid w:val="00762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DAC"/>
  </w:style>
  <w:style w:type="paragraph" w:styleId="TableofFigures">
    <w:name w:val="table of figures"/>
    <w:basedOn w:val="Normal"/>
    <w:next w:val="Normal"/>
    <w:semiHidden/>
    <w:rsid w:val="00762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D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DAC"/>
    <w:rPr>
      <w:rFonts w:ascii="Wingdings" w:hAnsi="Wingdings"/>
    </w:rPr>
  </w:style>
  <w:style w:type="paragraph" w:customStyle="1" w:styleId="TableHeading">
    <w:name w:val="Table Heading"/>
    <w:basedOn w:val="HeadingBase"/>
    <w:rsid w:val="00762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DAC"/>
    <w:rPr>
      <w:color w:val="0033CC"/>
      <w:u w:val="none"/>
    </w:rPr>
  </w:style>
  <w:style w:type="paragraph" w:customStyle="1" w:styleId="BodyTextRight">
    <w:name w:val="Body Text Right"/>
    <w:basedOn w:val="BodyText"/>
    <w:rsid w:val="00762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D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DAC"/>
    <w:rPr>
      <w:sz w:val="32"/>
    </w:rPr>
  </w:style>
  <w:style w:type="paragraph" w:customStyle="1" w:styleId="HeadingProcedure">
    <w:name w:val="Heading Procedure"/>
    <w:basedOn w:val="HeadingBase"/>
    <w:next w:val="Normal"/>
    <w:rsid w:val="00762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DAC"/>
    <w:pPr>
      <w:spacing w:before="60" w:after="60"/>
    </w:pPr>
  </w:style>
  <w:style w:type="paragraph" w:styleId="ListContinue">
    <w:name w:val="List Continue"/>
    <w:basedOn w:val="List"/>
    <w:rsid w:val="00762DAC"/>
    <w:pPr>
      <w:ind w:firstLine="0"/>
    </w:pPr>
  </w:style>
  <w:style w:type="paragraph" w:customStyle="1" w:styleId="ListNote">
    <w:name w:val="List Note"/>
    <w:basedOn w:val="List"/>
    <w:rsid w:val="00762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DAC"/>
    <w:rPr>
      <w:rFonts w:ascii="Courier New" w:hAnsi="Courier New"/>
    </w:rPr>
  </w:style>
  <w:style w:type="paragraph" w:customStyle="1" w:styleId="NoteBullet">
    <w:name w:val="Note Bullet"/>
    <w:basedOn w:val="Note"/>
    <w:rsid w:val="00762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D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DAC"/>
    <w:rPr>
      <w:b/>
      <w:smallCaps/>
    </w:rPr>
  </w:style>
  <w:style w:type="paragraph" w:customStyle="1" w:styleId="TableListNumber">
    <w:name w:val="Table List Number"/>
    <w:basedOn w:val="ListNumber"/>
    <w:rsid w:val="00762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DAC"/>
    <w:pPr>
      <w:numPr>
        <w:numId w:val="9"/>
      </w:numPr>
    </w:pPr>
  </w:style>
  <w:style w:type="paragraph" w:customStyle="1" w:styleId="ListAlpha2">
    <w:name w:val="List Alpha 2"/>
    <w:basedOn w:val="List2"/>
    <w:rsid w:val="00762DAC"/>
    <w:pPr>
      <w:numPr>
        <w:numId w:val="8"/>
      </w:numPr>
    </w:pPr>
  </w:style>
  <w:style w:type="paragraph" w:styleId="List2">
    <w:name w:val="List 2"/>
    <w:basedOn w:val="BodyText"/>
    <w:rsid w:val="00762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D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D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DAC"/>
    <w:pPr>
      <w:numPr>
        <w:numId w:val="4"/>
      </w:numPr>
    </w:pPr>
  </w:style>
  <w:style w:type="paragraph" w:styleId="ListContinue2">
    <w:name w:val="List Continue 2"/>
    <w:basedOn w:val="List2"/>
    <w:rsid w:val="00762DAC"/>
    <w:pPr>
      <w:ind w:firstLine="0"/>
    </w:pPr>
  </w:style>
  <w:style w:type="paragraph" w:styleId="ListContinue3">
    <w:name w:val="List Continue 3"/>
    <w:basedOn w:val="List3"/>
    <w:rsid w:val="00762DAC"/>
    <w:pPr>
      <w:ind w:left="1021" w:firstLine="0"/>
    </w:pPr>
  </w:style>
  <w:style w:type="paragraph" w:styleId="ListContinue4">
    <w:name w:val="List Continue 4"/>
    <w:basedOn w:val="List4"/>
    <w:rsid w:val="00762DAC"/>
    <w:pPr>
      <w:ind w:firstLine="0"/>
    </w:pPr>
  </w:style>
  <w:style w:type="paragraph" w:styleId="ListContinue5">
    <w:name w:val="List Continue 5"/>
    <w:basedOn w:val="List5"/>
    <w:rsid w:val="00762DAC"/>
    <w:pPr>
      <w:ind w:firstLine="0"/>
    </w:pPr>
  </w:style>
  <w:style w:type="paragraph" w:styleId="ListNumber3">
    <w:name w:val="List Number 3"/>
    <w:basedOn w:val="List3"/>
    <w:rsid w:val="00762DAC"/>
    <w:pPr>
      <w:numPr>
        <w:numId w:val="5"/>
      </w:numPr>
    </w:pPr>
  </w:style>
  <w:style w:type="paragraph" w:styleId="ListNumber4">
    <w:name w:val="List Number 4"/>
    <w:basedOn w:val="List4"/>
    <w:rsid w:val="00762DAC"/>
    <w:pPr>
      <w:numPr>
        <w:numId w:val="6"/>
      </w:numPr>
    </w:pPr>
  </w:style>
  <w:style w:type="paragraph" w:styleId="ListNumber5">
    <w:name w:val="List Number 5"/>
    <w:basedOn w:val="List5"/>
    <w:rsid w:val="00762DAC"/>
    <w:pPr>
      <w:numPr>
        <w:numId w:val="7"/>
      </w:numPr>
    </w:pPr>
  </w:style>
  <w:style w:type="paragraph" w:styleId="BlockText">
    <w:name w:val="Block Text"/>
    <w:basedOn w:val="Normal"/>
    <w:rsid w:val="00762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DAC"/>
    <w:rPr>
      <w:sz w:val="16"/>
      <w:vertAlign w:val="superscript"/>
    </w:rPr>
  </w:style>
  <w:style w:type="character" w:customStyle="1" w:styleId="Symbols">
    <w:name w:val="Symbols"/>
    <w:basedOn w:val="DefaultParagraphFont"/>
    <w:rsid w:val="00762DAC"/>
    <w:rPr>
      <w:rFonts w:ascii="Symbol" w:hAnsi="Symbol"/>
    </w:rPr>
  </w:style>
  <w:style w:type="character" w:customStyle="1" w:styleId="MenuOptions">
    <w:name w:val="Menu Options"/>
    <w:basedOn w:val="DefaultParagraphFont"/>
    <w:rsid w:val="00762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DAC"/>
    <w:rPr>
      <w:b/>
    </w:rPr>
  </w:style>
  <w:style w:type="character" w:customStyle="1" w:styleId="Underlined">
    <w:name w:val="Underlined"/>
    <w:basedOn w:val="DefaultParagraphFont"/>
    <w:rsid w:val="00762DAC"/>
    <w:rPr>
      <w:u w:val="single"/>
    </w:rPr>
  </w:style>
  <w:style w:type="paragraph" w:customStyle="1" w:styleId="TableBodyTextRight">
    <w:name w:val="Table Body Text Right"/>
    <w:basedOn w:val="TableBodyText"/>
    <w:rsid w:val="00762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DAC"/>
    <w:rPr>
      <w:sz w:val="18"/>
    </w:rPr>
  </w:style>
  <w:style w:type="paragraph" w:customStyle="1" w:styleId="BodySmallRight">
    <w:name w:val="Body Small Right"/>
    <w:basedOn w:val="BodyTextRight"/>
    <w:rsid w:val="00762DAC"/>
    <w:rPr>
      <w:sz w:val="18"/>
      <w:szCs w:val="18"/>
    </w:rPr>
  </w:style>
  <w:style w:type="paragraph" w:customStyle="1" w:styleId="MarginEdition">
    <w:name w:val="Margin Edition"/>
    <w:basedOn w:val="MarginNote"/>
    <w:rsid w:val="00762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DAC"/>
    <w:rPr>
      <w:sz w:val="2"/>
      <w:szCs w:val="2"/>
    </w:rPr>
  </w:style>
  <w:style w:type="character" w:customStyle="1" w:styleId="Small">
    <w:name w:val="Small"/>
    <w:basedOn w:val="DefaultParagraphFont"/>
    <w:rsid w:val="00762DAC"/>
    <w:rPr>
      <w:sz w:val="16"/>
    </w:rPr>
  </w:style>
  <w:style w:type="paragraph" w:customStyle="1" w:styleId="WideTable">
    <w:name w:val="Wide Table"/>
    <w:basedOn w:val="Normal"/>
    <w:rsid w:val="00762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DAC"/>
  </w:style>
  <w:style w:type="paragraph" w:styleId="Quote">
    <w:name w:val="Quote"/>
    <w:basedOn w:val="Heading1"/>
    <w:link w:val="QuoteChar"/>
    <w:qFormat/>
    <w:rsid w:val="00762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DAC"/>
    <w:pPr>
      <w:pageBreakBefore/>
    </w:pPr>
  </w:style>
  <w:style w:type="paragraph" w:customStyle="1" w:styleId="Border">
    <w:name w:val="Border"/>
    <w:basedOn w:val="Normal"/>
    <w:qFormat/>
    <w:rsid w:val="00762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DAC"/>
    <w:rPr>
      <w:u w:val="single"/>
    </w:rPr>
  </w:style>
  <w:style w:type="character" w:customStyle="1" w:styleId="BoldandItalics">
    <w:name w:val="Bold and Italics"/>
    <w:qFormat/>
    <w:rsid w:val="00762DAC"/>
    <w:rPr>
      <w:b/>
      <w:i/>
      <w:u w:val="none"/>
    </w:rPr>
  </w:style>
  <w:style w:type="paragraph" w:styleId="BalloonText">
    <w:name w:val="Balloon Text"/>
    <w:basedOn w:val="Normal"/>
    <w:link w:val="BalloonTextChar"/>
    <w:rsid w:val="00762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DAC"/>
    <w:pPr>
      <w:spacing w:before="0" w:after="0"/>
    </w:pPr>
  </w:style>
  <w:style w:type="paragraph" w:customStyle="1" w:styleId="BodyTextBold">
    <w:name w:val="Body Text Bold"/>
    <w:basedOn w:val="BodyText"/>
    <w:qFormat/>
    <w:rsid w:val="00762DAC"/>
    <w:rPr>
      <w:b/>
    </w:rPr>
  </w:style>
  <w:style w:type="character" w:styleId="Hyperlink">
    <w:name w:val="Hyperlink"/>
    <w:basedOn w:val="DefaultParagraphFont"/>
    <w:uiPriority w:val="99"/>
    <w:unhideWhenUsed/>
    <w:rsid w:val="002C4F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663</Words>
  <Characters>4353</Characters>
  <Application>Microsoft Office Word</Application>
  <DocSecurity>0</DocSecurity>
  <Lines>111</Lines>
  <Paragraphs>87</Paragraphs>
  <ScaleCrop>false</ScaleCrop>
  <Company>Author-it Software Corporation Ltd.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CPPSPS3004 Maintain swimming pool and spa water circulation and filtration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2022-12-19T06:42:00Z</dcterms:modified>
</cp:coreProperties>
</file>