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10A2" w:rsidP="000910A2">
      <w:pPr>
        <w:pStyle w:val="Title"/>
      </w:pPr>
      <w:r>
        <w:fldChar w:fldCharType="begin"/>
      </w:r>
      <w:r>
        <w:instrText xml:space="preserve"> TITLE   \* MERGEFORMAT </w:instrText>
      </w:r>
      <w:r>
        <w:fldChar w:fldCharType="separate"/>
      </w:r>
      <w:r>
        <w:t>CPPSIS6035 Conduct complex engineering set-out surveys</w:t>
      </w:r>
      <w:r>
        <w:fldChar w:fldCharType="end"/>
      </w:r>
    </w:p>
    <w:p w:rsidR="000910A2" w:rsidP="000910A2">
      <w:pPr>
        <w:pStyle w:val="Version"/>
        <w:sectPr w:rsidSect="00B212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12FF" w:rsidP="00B212FF">
      <w:pPr>
        <w:pStyle w:val="SuperHeading"/>
      </w:pPr>
      <w:r w:rsidRPr="00B212FF">
        <w:t>CPPSIS6035 Conduct complex engineering set-out surveys</w:t>
      </w:r>
    </w:p>
    <w:p w:rsidR="00000000" w:rsidRPr="00B212FF" w:rsidP="00B212FF">
      <w:pPr>
        <w:pStyle w:val="Heading1"/>
      </w:pPr>
      <w:bookmarkStart w:id="1" w:name="O_838210"/>
      <w:bookmarkEnd w:id="1"/>
      <w:r w:rsidRPr="00B212FF">
        <w:t>Modification History</w:t>
      </w:r>
    </w:p>
    <w:p w:rsidR="00000000" w:rsidRPr="00B212FF" w:rsidP="000910A2">
      <w:pPr>
        <w:pStyle w:val="BodyText"/>
      </w:pPr>
      <w:r w:rsidRPr="00B212FF">
        <w:t>Release 1.</w:t>
      </w:r>
    </w:p>
    <w:p w:rsidR="00000000" w:rsidRPr="00B212FF" w:rsidP="000910A2">
      <w:pPr>
        <w:pStyle w:val="BodyText"/>
      </w:pPr>
      <w:r w:rsidRPr="00B212FF">
        <w:t>Replaces superseded equivalent CPPSIS6035A Conduct complex engineering set out surveys.</w:t>
      </w:r>
    </w:p>
    <w:p w:rsidR="00000000" w:rsidRPr="00B212FF" w:rsidP="000910A2">
      <w:pPr>
        <w:pStyle w:val="BodyText"/>
      </w:pPr>
      <w:r w:rsidRPr="00B212FF">
        <w:t>This version first released with CPP Property Services Training Package Version 3.</w:t>
      </w:r>
    </w:p>
    <w:p w:rsidR="00000000" w:rsidRPr="00B212FF" w:rsidP="00B212FF">
      <w:pPr>
        <w:pStyle w:val="Heading1"/>
      </w:pPr>
      <w:bookmarkStart w:id="2" w:name="O_838217"/>
      <w:bookmarkEnd w:id="2"/>
      <w:r w:rsidRPr="00B212FF">
        <w:t>Application</w:t>
      </w:r>
    </w:p>
    <w:p w:rsidR="00000000" w:rsidRPr="00B212FF" w:rsidP="000910A2">
      <w:pPr>
        <w:pStyle w:val="BodyText"/>
      </w:pPr>
      <w:r w:rsidRPr="00B212FF">
        <w:t>This u</w:t>
      </w:r>
      <w:r w:rsidRPr="00B212FF">
        <w:t>nit of competency specifies the outcomes required to conduct a complex engineering set-out survey based on specifications and client requirements. The unit covers analysing specifications and organisational priorities to identify and negotiate projects and</w:t>
      </w:r>
      <w:r w:rsidRPr="00B212FF">
        <w:t xml:space="preserve"> organise resources. The unit also covers implementing project management mechanisms relating to scheduling, measuring, recording, monitoring and reporting, and reviewing project progress and outcomes against organisational goals. It covers planning for ri</w:t>
      </w:r>
      <w:r w:rsidRPr="00B212FF">
        <w:t>sks and contingencies and staff supervision, and involves setting up and using specialised surveying equipment to measure, record and reduce surveying data using an established control network and spatial coordinate and reference systems. The unit requires</w:t>
      </w:r>
      <w:r w:rsidRPr="00B212FF">
        <w:t xml:space="preserve"> the ability to validate the accuracy of data, and identify and resolve problems. </w:t>
      </w:r>
    </w:p>
    <w:p w:rsidR="00000000" w:rsidRPr="00B212FF" w:rsidP="000910A2">
      <w:pPr>
        <w:pStyle w:val="BodyText"/>
      </w:pPr>
      <w:r w:rsidRPr="00B212FF">
        <w:t>The unit supports those who work in a technical management role in a surveying team.</w:t>
      </w:r>
    </w:p>
    <w:p w:rsidR="00000000" w:rsidRPr="00B212FF" w:rsidP="000910A2">
      <w:pPr>
        <w:pStyle w:val="BodyText"/>
      </w:pPr>
      <w:r w:rsidRPr="00B212FF">
        <w:t>No licensing, legislative, regulatory, or certification requirements apply to this uni</w:t>
      </w:r>
      <w:r w:rsidRPr="00B212FF">
        <w:t>t of competency at the time of endorsement.</w:t>
      </w:r>
    </w:p>
    <w:p w:rsidR="00000000" w:rsidRPr="00B212FF" w:rsidP="00B212FF">
      <w:pPr>
        <w:pStyle w:val="Heading1"/>
      </w:pPr>
      <w:bookmarkStart w:id="3" w:name="O_838216"/>
      <w:bookmarkEnd w:id="3"/>
      <w:r w:rsidRPr="00B212FF">
        <w:t>Pre-requisite Unit</w:t>
      </w:r>
    </w:p>
    <w:p w:rsidR="00000000" w:rsidRPr="00B212FF" w:rsidP="000910A2">
      <w:pPr>
        <w:pStyle w:val="BodyText"/>
      </w:pPr>
      <w:r w:rsidRPr="00B212FF">
        <w:t>Nil</w:t>
      </w:r>
    </w:p>
    <w:p w:rsidR="00000000" w:rsidRPr="00B212FF" w:rsidP="00B212FF">
      <w:pPr>
        <w:pStyle w:val="Heading1"/>
      </w:pPr>
      <w:bookmarkStart w:id="4" w:name="O_838215"/>
      <w:bookmarkEnd w:id="4"/>
      <w:r w:rsidRPr="00B212FF">
        <w:t>Unit Sector</w:t>
      </w:r>
    </w:p>
    <w:p w:rsidR="00000000" w:rsidRPr="00B212FF" w:rsidP="000910A2">
      <w:pPr>
        <w:pStyle w:val="BodyText"/>
      </w:pPr>
      <w:r w:rsidRPr="00B212FF">
        <w:t>Surveying and spatial information services</w:t>
      </w:r>
    </w:p>
    <w:p w:rsidR="00000000" w:rsidRPr="00B212FF" w:rsidP="00B212FF">
      <w:pPr>
        <w:pStyle w:val="Heading1"/>
      </w:pPr>
      <w:bookmarkStart w:id="5" w:name="O_838214"/>
      <w:bookmarkEnd w:id="5"/>
      <w:r w:rsidRPr="00B212FF">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B212FF">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Perfor</w:t>
            </w:r>
            <w:r w:rsidRPr="00B212FF">
              <w:t xml:space="preserve">mance criteria describe the performance needed to demonstrate achievement of the element. Where bold italicised text is used, further information is detailed in the range of </w:t>
            </w:r>
            <w:r w:rsidRPr="00B212FF">
              <w:t>conditions.</w:t>
            </w:r>
          </w:p>
        </w:tc>
      </w:tr>
      <w:tr w:rsidTr="00B212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1.</w:t>
            </w:r>
          </w:p>
        </w:tc>
        <w:tc>
          <w:tcPr>
            <w:tcW w:w="1962" w:type="dxa"/>
            <w:vMerge w:val="restart"/>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Prepare for complex engineering set-out survey.</w:t>
            </w:r>
          </w:p>
        </w:tc>
        <w:tc>
          <w:tcPr>
            <w:tcW w:w="77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1.1.</w:t>
            </w:r>
          </w:p>
        </w:tc>
        <w:tc>
          <w:tcPr>
            <w:tcW w:w="561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Organisational priorities are determined to identify project objectives and specifications.</w:t>
            </w:r>
          </w:p>
        </w:tc>
      </w:tr>
      <w:tr w:rsidTr="00B212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1.2.</w:t>
            </w:r>
          </w:p>
        </w:tc>
        <w:tc>
          <w:tcPr>
            <w:tcW w:w="561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 xml:space="preserve">Project specifications are presented to </w:t>
            </w:r>
            <w:r w:rsidRPr="00B212FF">
              <w:rPr>
                <w:rStyle w:val="BoldandItalics"/>
              </w:rPr>
              <w:t>appropriate persons</w:t>
            </w:r>
            <w:r w:rsidRPr="00B212FF">
              <w:t>.</w:t>
            </w:r>
          </w:p>
        </w:tc>
      </w:tr>
      <w:tr w:rsidTr="00B212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1.3.</w:t>
            </w:r>
          </w:p>
        </w:tc>
        <w:tc>
          <w:tcPr>
            <w:tcW w:w="561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Characteristics of the operating environment and any special equipment or resource requirements are identified according to organisational requirements.</w:t>
            </w:r>
          </w:p>
        </w:tc>
      </w:tr>
      <w:tr w:rsidTr="00B212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1.4.</w:t>
            </w:r>
          </w:p>
        </w:tc>
        <w:tc>
          <w:tcPr>
            <w:tcW w:w="561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Surveying equipment is selected and checked to ensure correct operation and functionality accor</w:t>
            </w:r>
            <w:r w:rsidRPr="00B212FF">
              <w:t>ding to manufacturer specifications.</w:t>
            </w:r>
          </w:p>
        </w:tc>
      </w:tr>
      <w:tr w:rsidTr="00B212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p>
        </w:tc>
      </w:tr>
      <w:tr w:rsidTr="00B212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2.</w:t>
            </w:r>
          </w:p>
        </w:tc>
        <w:tc>
          <w:tcPr>
            <w:tcW w:w="1962" w:type="dxa"/>
            <w:vMerge w:val="restart"/>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Plan complex engineering set-out survey.</w:t>
            </w:r>
          </w:p>
        </w:tc>
        <w:tc>
          <w:tcPr>
            <w:tcW w:w="77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2.1.</w:t>
            </w:r>
          </w:p>
        </w:tc>
        <w:tc>
          <w:tcPr>
            <w:tcW w:w="561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Design is interpreted to identify surveying data components required for set-out.</w:t>
            </w:r>
          </w:p>
        </w:tc>
      </w:tr>
      <w:tr w:rsidTr="00B212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2.2.</w:t>
            </w:r>
          </w:p>
        </w:tc>
        <w:tc>
          <w:tcPr>
            <w:tcW w:w="561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Plan is developed detailing objectives, constraints, work activities</w:t>
            </w:r>
            <w:r w:rsidRPr="00B212FF">
              <w:t>, technologies and techniques to be used for set-out according to project specifications and client requirements.</w:t>
            </w:r>
          </w:p>
        </w:tc>
      </w:tr>
      <w:tr w:rsidTr="00B212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2.3.</w:t>
            </w:r>
          </w:p>
        </w:tc>
        <w:tc>
          <w:tcPr>
            <w:tcW w:w="561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Project management mechanisms are implemented to schedule, measure, record and report progress of activities in relation to agreed sch</w:t>
            </w:r>
            <w:r w:rsidRPr="00B212FF">
              <w:t>edule and plans.</w:t>
            </w:r>
          </w:p>
        </w:tc>
      </w:tr>
      <w:tr w:rsidTr="00B212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2.4.</w:t>
            </w:r>
          </w:p>
        </w:tc>
        <w:tc>
          <w:tcPr>
            <w:tcW w:w="561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Agreed communication processes between client and other appropriate persons are implemented and maintained.</w:t>
            </w:r>
          </w:p>
        </w:tc>
      </w:tr>
      <w:tr w:rsidTr="00B212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2.5.</w:t>
            </w:r>
          </w:p>
        </w:tc>
        <w:tc>
          <w:tcPr>
            <w:tcW w:w="561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Risk management and contingency strategies are devised and followed to ensure project complies with legal and statutory standards and organisational requirements.</w:t>
            </w:r>
          </w:p>
        </w:tc>
      </w:tr>
      <w:tr w:rsidTr="00B212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2.6.</w:t>
            </w:r>
          </w:p>
        </w:tc>
        <w:tc>
          <w:tcPr>
            <w:tcW w:w="561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Work responsibilities are allocated and supervisory processes and problem-solving tec</w:t>
            </w:r>
            <w:r w:rsidRPr="00B212FF">
              <w:t>hniques implemented to ensure work is completed within time available.</w:t>
            </w:r>
          </w:p>
        </w:tc>
      </w:tr>
      <w:tr w:rsidTr="00B212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p>
        </w:tc>
      </w:tr>
      <w:tr w:rsidTr="00B212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3.</w:t>
            </w:r>
          </w:p>
        </w:tc>
        <w:tc>
          <w:tcPr>
            <w:tcW w:w="1962" w:type="dxa"/>
            <w:vMerge w:val="restart"/>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Manage complex engineering set-out survey.</w:t>
            </w:r>
          </w:p>
        </w:tc>
        <w:tc>
          <w:tcPr>
            <w:tcW w:w="77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3.1.</w:t>
            </w:r>
          </w:p>
        </w:tc>
        <w:tc>
          <w:tcPr>
            <w:tcW w:w="561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Identified project components are accurately set out according to project specifications.</w:t>
            </w:r>
          </w:p>
        </w:tc>
      </w:tr>
      <w:tr w:rsidTr="00B212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3.2.</w:t>
            </w:r>
          </w:p>
        </w:tc>
        <w:tc>
          <w:tcPr>
            <w:tcW w:w="561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Set-out measurements and calculations are conducted, validated and recorded using control network according to project specifications.</w:t>
            </w:r>
          </w:p>
        </w:tc>
      </w:tr>
      <w:tr w:rsidTr="00B212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3.3.</w:t>
            </w:r>
          </w:p>
        </w:tc>
        <w:tc>
          <w:tcPr>
            <w:tcW w:w="561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Project progress is reviewed and agreed changes are implemented to ensure consistency with project scope, objectives and constraints.</w:t>
            </w:r>
          </w:p>
        </w:tc>
      </w:tr>
      <w:tr w:rsidTr="00B212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3.4.</w:t>
            </w:r>
          </w:p>
        </w:tc>
        <w:tc>
          <w:tcPr>
            <w:tcW w:w="561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Problems are identified and resolved, and contingencies managed according to organisational requirements.</w:t>
            </w:r>
          </w:p>
        </w:tc>
      </w:tr>
      <w:tr w:rsidTr="00B212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p>
        </w:tc>
      </w:tr>
      <w:tr w:rsidTr="00B212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4.</w:t>
            </w:r>
          </w:p>
        </w:tc>
        <w:tc>
          <w:tcPr>
            <w:tcW w:w="1962" w:type="dxa"/>
            <w:vMerge w:val="restart"/>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Finalise complex engineering set-out survey.</w:t>
            </w:r>
          </w:p>
        </w:tc>
        <w:tc>
          <w:tcPr>
            <w:tcW w:w="77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4.1.</w:t>
            </w:r>
          </w:p>
        </w:tc>
        <w:tc>
          <w:tcPr>
            <w:tcW w:w="561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Project is finalised and checked for compliance with project and organisational requirements.</w:t>
            </w:r>
          </w:p>
        </w:tc>
      </w:tr>
      <w:tr w:rsidTr="00B212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4.2.</w:t>
            </w:r>
          </w:p>
        </w:tc>
        <w:tc>
          <w:tcPr>
            <w:tcW w:w="561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Appropriate persons are notified of project results according to organisational requirements.</w:t>
            </w:r>
          </w:p>
        </w:tc>
      </w:tr>
      <w:tr w:rsidTr="00B212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4.3.</w:t>
            </w:r>
          </w:p>
        </w:tc>
        <w:tc>
          <w:tcPr>
            <w:tcW w:w="561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Documentation is completed and spatial data archived according to project and organisational requirements.</w:t>
            </w:r>
          </w:p>
        </w:tc>
      </w:tr>
      <w:tr w:rsidTr="00B212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p>
        </w:tc>
      </w:tr>
      <w:tr w:rsidTr="00B212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5.</w:t>
            </w:r>
          </w:p>
        </w:tc>
        <w:tc>
          <w:tcPr>
            <w:tcW w:w="1962" w:type="dxa"/>
            <w:vMerge w:val="restart"/>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Review project.</w:t>
            </w:r>
          </w:p>
        </w:tc>
        <w:tc>
          <w:tcPr>
            <w:tcW w:w="77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5.1.</w:t>
            </w:r>
          </w:p>
        </w:tc>
        <w:tc>
          <w:tcPr>
            <w:tcW w:w="561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Project achievements are reviewed against organisational strategic goals.</w:t>
            </w:r>
          </w:p>
        </w:tc>
      </w:tr>
      <w:tr w:rsidTr="00B212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5.2.</w:t>
            </w:r>
          </w:p>
        </w:tc>
        <w:tc>
          <w:tcPr>
            <w:tcW w:w="5610" w:type="dxa"/>
            <w:tcBorders>
              <w:top w:val="nil"/>
              <w:left w:val="nil"/>
              <w:bottom w:val="nil"/>
              <w:right w:val="nil"/>
            </w:tcBorders>
            <w:tcMar>
              <w:top w:w="0" w:type="dxa"/>
              <w:left w:w="62" w:type="dxa"/>
              <w:bottom w:w="0" w:type="dxa"/>
              <w:right w:w="62" w:type="dxa"/>
            </w:tcMar>
          </w:tcPr>
          <w:p w:rsidR="00000000" w:rsidRPr="00B212FF" w:rsidP="00B212FF">
            <w:pPr>
              <w:pStyle w:val="BodyText"/>
            </w:pPr>
            <w:r w:rsidRPr="00B212FF">
              <w:t>Recommendations are made on possible links between project achievements and future organisational goals.</w:t>
            </w:r>
          </w:p>
        </w:tc>
      </w:tr>
    </w:tbl>
    <w:p w:rsidR="00000000" w:rsidRPr="00B212FF" w:rsidP="00B212FF">
      <w:pPr>
        <w:pStyle w:val="BodyText"/>
      </w:pPr>
    </w:p>
    <w:p w:rsidR="00000000" w:rsidRPr="00B212FF" w:rsidP="00B212FF">
      <w:pPr>
        <w:pStyle w:val="AllowPageBreak"/>
      </w:pPr>
    </w:p>
    <w:p w:rsidR="00000000" w:rsidRPr="00B212FF" w:rsidP="00B212FF">
      <w:pPr>
        <w:pStyle w:val="Heading1"/>
      </w:pPr>
      <w:bookmarkStart w:id="6" w:name="O_838213"/>
      <w:bookmarkEnd w:id="6"/>
      <w:r w:rsidRPr="00B212FF">
        <w:t>Foundation Skills</w:t>
      </w:r>
    </w:p>
    <w:tbl>
      <w:tblPr>
        <w:tblW w:w="0" w:type="auto"/>
        <w:tblLayout w:type="fixed"/>
        <w:tblCellMar>
          <w:left w:w="62" w:type="dxa"/>
          <w:right w:w="62" w:type="dxa"/>
        </w:tblCellMar>
        <w:tblLook w:val="0000"/>
      </w:tblPr>
      <w:tblGrid>
        <w:gridCol w:w="2195"/>
        <w:gridCol w:w="6877"/>
      </w:tblGrid>
      <w:tr w:rsidTr="00B212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This section describes the language, literacy, numeracy and employment skills essential to performance in this unit but not explicit in the performance criteria.</w:t>
            </w:r>
          </w:p>
        </w:tc>
      </w:tr>
      <w:tr w:rsidTr="00B212F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B212FF" w:rsidP="00B212FF">
            <w:pPr>
              <w:pStyle w:val="BodyText"/>
            </w:pPr>
            <w:r w:rsidRPr="00B212FF">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rPr>
                <w:rStyle w:val="SpecialBold"/>
              </w:rPr>
              <w:t>Performance feature</w:t>
            </w:r>
          </w:p>
        </w:tc>
      </w:tr>
      <w:tr w:rsidTr="00B212F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B212FF">
            <w:pPr>
              <w:pStyle w:val="ListBullet"/>
              <w:rPr>
                <w:lang w:val="en-NZ"/>
              </w:rPr>
            </w:pPr>
            <w:r w:rsidRPr="00B212FF">
              <w:t>plan and prioritise work to meet contracts and resource constraints.</w:t>
            </w:r>
          </w:p>
        </w:tc>
      </w:tr>
      <w:tr w:rsidTr="00B212F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p>
        </w:tc>
      </w:tr>
      <w:tr w:rsidTr="00B212F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Numeracy skills to:</w:t>
            </w:r>
          </w:p>
        </w:tc>
        <w:tc>
          <w:tcPr>
            <w:tcW w:w="6877" w:type="dxa"/>
            <w:tcBorders>
              <w:top w:val="nil"/>
              <w:left w:val="nil"/>
              <w:bottom w:val="nil"/>
              <w:right w:val="nil"/>
            </w:tcBorders>
            <w:tcMar>
              <w:top w:w="0" w:type="dxa"/>
              <w:left w:w="62" w:type="dxa"/>
              <w:bottom w:w="0" w:type="dxa"/>
              <w:right w:w="62" w:type="dxa"/>
            </w:tcMar>
          </w:tcPr>
          <w:p w:rsidR="00000000" w:rsidP="00B212FF">
            <w:pPr>
              <w:pStyle w:val="ListBullet"/>
              <w:rPr>
                <w:lang w:val="en-NZ"/>
              </w:rPr>
            </w:pPr>
            <w:r w:rsidRPr="00B212FF">
              <w:t>conduct precise measurements and calculations relating to height, depth, dimension, direction and position in actual operational activity and virtual representati</w:t>
            </w:r>
            <w:r w:rsidRPr="00B212FF">
              <w:t>on.</w:t>
            </w:r>
          </w:p>
        </w:tc>
      </w:tr>
      <w:tr w:rsidTr="00B212F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p>
        </w:tc>
      </w:tr>
      <w:tr w:rsidTr="00B212F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B212FF" w:rsidP="00B212FF">
            <w:pPr>
              <w:pStyle w:val="ListBullet"/>
            </w:pPr>
            <w:r w:rsidRPr="00B212FF">
              <w:t>negotiate to meet client requirements</w:t>
            </w:r>
          </w:p>
          <w:p w:rsidR="00000000" w:rsidP="00B212FF">
            <w:pPr>
              <w:pStyle w:val="ListBullet"/>
              <w:rPr>
                <w:lang w:val="en-NZ"/>
              </w:rPr>
            </w:pPr>
            <w:r w:rsidRPr="00B212FF">
              <w:t>inform clients and other stakeholders of project progress.</w:t>
            </w:r>
          </w:p>
        </w:tc>
      </w:tr>
      <w:tr w:rsidTr="00B212F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p>
        </w:tc>
      </w:tr>
      <w:tr w:rsidTr="00B212F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Reading skills to:</w:t>
            </w:r>
          </w:p>
        </w:tc>
        <w:tc>
          <w:tcPr>
            <w:tcW w:w="6877" w:type="dxa"/>
            <w:tcBorders>
              <w:top w:val="nil"/>
              <w:left w:val="nil"/>
              <w:bottom w:val="nil"/>
              <w:right w:val="nil"/>
            </w:tcBorders>
            <w:tcMar>
              <w:top w:w="0" w:type="dxa"/>
              <w:left w:w="62" w:type="dxa"/>
              <w:bottom w:w="0" w:type="dxa"/>
              <w:right w:w="62" w:type="dxa"/>
            </w:tcMar>
          </w:tcPr>
          <w:p w:rsidR="00000000" w:rsidP="00B212FF">
            <w:pPr>
              <w:pStyle w:val="ListBullet"/>
              <w:rPr>
                <w:lang w:val="en-NZ"/>
              </w:rPr>
            </w:pPr>
            <w:r w:rsidRPr="00B212FF">
              <w:t>analyse graphical and technical information in engineering plans.</w:t>
            </w:r>
          </w:p>
        </w:tc>
      </w:tr>
      <w:tr w:rsidTr="00B212F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p>
        </w:tc>
      </w:tr>
      <w:tr w:rsidTr="00B212F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Writing skills to:</w:t>
            </w:r>
          </w:p>
        </w:tc>
        <w:tc>
          <w:tcPr>
            <w:tcW w:w="6877" w:type="dxa"/>
            <w:tcBorders>
              <w:top w:val="nil"/>
              <w:left w:val="nil"/>
              <w:bottom w:val="nil"/>
              <w:right w:val="nil"/>
            </w:tcBorders>
            <w:tcMar>
              <w:top w:w="0" w:type="dxa"/>
              <w:left w:w="62" w:type="dxa"/>
              <w:bottom w:w="0" w:type="dxa"/>
              <w:right w:w="62" w:type="dxa"/>
            </w:tcMar>
          </w:tcPr>
          <w:p w:rsidR="00000000" w:rsidP="00B212FF">
            <w:pPr>
              <w:pStyle w:val="ListBullet"/>
              <w:rPr>
                <w:lang w:val="en-NZ"/>
              </w:rPr>
            </w:pPr>
            <w:r w:rsidRPr="00B212FF">
              <w:t>recor</w:t>
            </w:r>
            <w:r w:rsidRPr="00B212FF">
              <w:t>d technical information in organisational documentation.</w:t>
            </w:r>
          </w:p>
        </w:tc>
      </w:tr>
      <w:tr w:rsidTr="00B212F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p>
        </w:tc>
      </w:tr>
      <w:tr w:rsidTr="00B212F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Technology skills to:</w:t>
            </w:r>
          </w:p>
        </w:tc>
        <w:tc>
          <w:tcPr>
            <w:tcW w:w="6877" w:type="dxa"/>
            <w:tcBorders>
              <w:top w:val="nil"/>
              <w:left w:val="nil"/>
              <w:bottom w:val="nil"/>
              <w:right w:val="nil"/>
            </w:tcBorders>
            <w:tcMar>
              <w:top w:w="0" w:type="dxa"/>
              <w:left w:w="62" w:type="dxa"/>
              <w:bottom w:w="0" w:type="dxa"/>
              <w:right w:w="62" w:type="dxa"/>
            </w:tcMar>
          </w:tcPr>
          <w:p w:rsidR="00000000" w:rsidRPr="00B212FF" w:rsidP="00B212FF">
            <w:pPr>
              <w:pStyle w:val="ListBullet"/>
            </w:pPr>
            <w:r w:rsidRPr="00B212FF">
              <w:t>connect equipment to coordinate systems</w:t>
            </w:r>
          </w:p>
          <w:p w:rsidR="00000000" w:rsidP="00B212FF">
            <w:pPr>
              <w:pStyle w:val="ListBullet"/>
              <w:rPr>
                <w:lang w:val="en-NZ"/>
              </w:rPr>
            </w:pPr>
            <w:r w:rsidRPr="00B212FF">
              <w:t>set up and calibrate specialised surveying equipment.</w:t>
            </w:r>
          </w:p>
        </w:tc>
      </w:tr>
      <w:tr w:rsidTr="00B212F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p>
        </w:tc>
      </w:tr>
      <w:tr w:rsidTr="00B212F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Problem-solving skills to:</w:t>
            </w:r>
          </w:p>
        </w:tc>
        <w:tc>
          <w:tcPr>
            <w:tcW w:w="6877" w:type="dxa"/>
            <w:tcBorders>
              <w:top w:val="nil"/>
              <w:left w:val="nil"/>
              <w:bottom w:val="nil"/>
              <w:right w:val="nil"/>
            </w:tcBorders>
            <w:tcMar>
              <w:top w:w="0" w:type="dxa"/>
              <w:left w:w="62" w:type="dxa"/>
              <w:bottom w:w="0" w:type="dxa"/>
              <w:right w:w="62" w:type="dxa"/>
            </w:tcMar>
          </w:tcPr>
          <w:p w:rsidR="00000000" w:rsidRPr="00B212FF" w:rsidP="00B212FF">
            <w:pPr>
              <w:pStyle w:val="ListBullet"/>
            </w:pPr>
            <w:r w:rsidRPr="00B212FF">
              <w:t>select appropriate validation methods to verify accuracy of data.</w:t>
            </w:r>
          </w:p>
        </w:tc>
      </w:tr>
    </w:tbl>
    <w:p w:rsidR="00000000" w:rsidRPr="00B212FF" w:rsidP="00B212FF">
      <w:pPr>
        <w:pStyle w:val="BodyText"/>
      </w:pPr>
    </w:p>
    <w:p w:rsidR="00000000" w:rsidRPr="00B212FF" w:rsidP="00B212FF">
      <w:pPr>
        <w:pStyle w:val="AllowPageBreak"/>
      </w:pPr>
    </w:p>
    <w:p w:rsidR="00000000" w:rsidRPr="00B212FF" w:rsidP="00B212FF">
      <w:pPr>
        <w:pStyle w:val="Heading1"/>
      </w:pPr>
      <w:bookmarkStart w:id="7" w:name="O_838212"/>
      <w:bookmarkEnd w:id="7"/>
      <w:r w:rsidRPr="00B212FF">
        <w:t>Range of Conditions</w:t>
      </w:r>
    </w:p>
    <w:tbl>
      <w:tblPr>
        <w:tblW w:w="0" w:type="auto"/>
        <w:tblLayout w:type="fixed"/>
        <w:tblCellMar>
          <w:left w:w="62" w:type="dxa"/>
          <w:right w:w="62" w:type="dxa"/>
        </w:tblCellMar>
        <w:tblLook w:val="0000"/>
      </w:tblPr>
      <w:tblGrid>
        <w:gridCol w:w="2364"/>
        <w:gridCol w:w="6708"/>
      </w:tblGrid>
      <w:tr w:rsidTr="00B212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t>This section specifies work environments and conditions that may affect performance. Essential operating conditions that may be present (depending on t</w:t>
            </w:r>
            <w:r w:rsidRPr="00B212FF">
              <w:t>he work situation, needs of the candidate, accessibility of the item, and local industry and regional contexts) are included. Bold italicised wording, if used in the performance criteria, is detailed below.</w:t>
            </w:r>
          </w:p>
        </w:tc>
      </w:tr>
      <w:tr w:rsidTr="00B212F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212FF">
            <w:pPr>
              <w:pStyle w:val="BodyText"/>
              <w:rPr>
                <w:lang w:val="en-NZ"/>
              </w:rPr>
            </w:pPr>
            <w:r w:rsidRPr="00B212FF">
              <w:rPr>
                <w:rStyle w:val="BoldandItalics"/>
              </w:rPr>
              <w:t xml:space="preserve">Appropriate persons </w:t>
            </w:r>
            <w:r w:rsidRPr="00B212FF">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B212FF" w:rsidP="00B212FF">
            <w:pPr>
              <w:pStyle w:val="ListBullet"/>
            </w:pPr>
            <w:r w:rsidRPr="00B212FF">
              <w:t>client</w:t>
            </w:r>
          </w:p>
          <w:p w:rsidR="00000000" w:rsidRPr="00B212FF" w:rsidP="00B212FF">
            <w:pPr>
              <w:pStyle w:val="ListBullet"/>
            </w:pPr>
            <w:r w:rsidRPr="00B212FF">
              <w:t>colleague</w:t>
            </w:r>
          </w:p>
          <w:p w:rsidR="00000000" w:rsidRPr="00B212FF" w:rsidP="00B212FF">
            <w:pPr>
              <w:pStyle w:val="ListBullet"/>
            </w:pPr>
            <w:r w:rsidRPr="00B212FF">
              <w:t>end user</w:t>
            </w:r>
          </w:p>
          <w:p w:rsidR="00000000" w:rsidRPr="00B212FF" w:rsidP="00B212FF">
            <w:pPr>
              <w:pStyle w:val="ListBullet"/>
            </w:pPr>
            <w:r w:rsidRPr="00B212FF">
              <w:t>engineer</w:t>
            </w:r>
          </w:p>
          <w:p w:rsidR="00000000" w:rsidRPr="00B212FF" w:rsidP="00B212FF">
            <w:pPr>
              <w:pStyle w:val="ListBullet"/>
            </w:pPr>
            <w:r w:rsidRPr="00B212FF">
              <w:t>manager</w:t>
            </w:r>
          </w:p>
          <w:p w:rsidR="00000000" w:rsidRPr="00B212FF" w:rsidP="00B212FF">
            <w:pPr>
              <w:pStyle w:val="ListBullet"/>
            </w:pPr>
            <w:r w:rsidRPr="00B212FF">
              <w:t>registered or qualified surveyor</w:t>
            </w:r>
          </w:p>
          <w:p w:rsidR="00000000" w:rsidRPr="00B212FF" w:rsidP="00B212FF">
            <w:pPr>
              <w:pStyle w:val="ListBullet"/>
            </w:pPr>
            <w:r w:rsidRPr="00B212FF">
              <w:t>supplier.</w:t>
            </w:r>
          </w:p>
        </w:tc>
      </w:tr>
    </w:tbl>
    <w:p w:rsidR="00000000" w:rsidRPr="00B212FF" w:rsidP="00B212FF">
      <w:pPr>
        <w:pStyle w:val="BodyText"/>
      </w:pPr>
    </w:p>
    <w:p w:rsidR="00000000" w:rsidRPr="00B212FF" w:rsidP="00B212FF">
      <w:pPr>
        <w:pStyle w:val="AllowPageBreak"/>
      </w:pPr>
    </w:p>
    <w:p w:rsidR="00000000" w:rsidRPr="00B212FF" w:rsidP="00B212FF">
      <w:pPr>
        <w:pStyle w:val="Heading1"/>
      </w:pPr>
      <w:bookmarkStart w:id="8" w:name="O_838211"/>
      <w:bookmarkEnd w:id="8"/>
      <w:r w:rsidRPr="00B212FF">
        <w:t>Unit Mapping Information</w:t>
      </w:r>
    </w:p>
    <w:p w:rsidR="00000000" w:rsidRPr="00B212FF" w:rsidP="000910A2">
      <w:pPr>
        <w:pStyle w:val="BodyText"/>
      </w:pPr>
      <w:r w:rsidRPr="00B212FF">
        <w:t>CPPSIS6035A Conduct complex engineering set out surveys</w:t>
      </w:r>
    </w:p>
    <w:p w:rsidR="00000000" w:rsidRPr="00B212FF" w:rsidP="00B212FF">
      <w:pPr>
        <w:pStyle w:val="Heading1"/>
      </w:pPr>
      <w:bookmarkStart w:id="9" w:name="O_838204"/>
      <w:bookmarkEnd w:id="9"/>
      <w:r w:rsidRPr="00B212FF">
        <w:t>Links</w:t>
      </w:r>
    </w:p>
    <w:p w:rsidR="00000000" w:rsidRPr="00B212FF" w:rsidP="000910A2">
      <w:pPr>
        <w:pStyle w:val="BodyText"/>
      </w:pPr>
      <w:r w:rsidRPr="00B212FF">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B0B78">
        <w:rPr>
          <w:rStyle w:val="Hyperlink"/>
        </w:rPr>
        <w:t>https://vetnet.gov.au/Pages/TrainingDocs.aspx?q=6f3f9672-30e8-4835-b348-205dfcf13d9b</w:t>
      </w:r>
      <w:r>
        <w:fldChar w:fldCharType="end"/>
      </w:r>
    </w:p>
    <w:p w:rsidR="00000000" w:rsidRPr="00B212FF" w:rsidP="00B212FF"/>
    <w:sectPr w:rsidSect="00B212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2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2FF" w:rsidRPr="000910A2" w:rsidP="000910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2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0A2" w:rsidP="00B212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10A2" w:rsidP="00B212F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0910A2" w:rsidP="00B212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2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0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12FF" w:rsidRPr="000910A2" w:rsidP="000910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2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0A2" w:rsidRPr="002D2AF8" w:rsidP="00B212FF">
    <w:pPr>
      <w:pStyle w:val="Header"/>
      <w:framePr w:wrap="around"/>
    </w:pPr>
    <w:r>
      <w:fldChar w:fldCharType="begin"/>
    </w:r>
    <w:r>
      <w:instrText xml:space="preserve"> TITLE   \* MERGEFORMAT </w:instrText>
    </w:r>
    <w:r>
      <w:fldChar w:fldCharType="separate"/>
    </w:r>
    <w:r>
      <w:t>CPPSIS6035 Conduct complex engineering set-out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0910A2" w:rsidP="00B212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0064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1AB0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2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12FF"/>
    <w:pPr>
      <w:spacing w:before="360" w:after="60"/>
      <w:outlineLvl w:val="0"/>
    </w:pPr>
    <w:rPr>
      <w:sz w:val="32"/>
    </w:rPr>
  </w:style>
  <w:style w:type="paragraph" w:styleId="Heading2">
    <w:name w:val="heading 2"/>
    <w:basedOn w:val="HeadingBase"/>
    <w:next w:val="BodyText"/>
    <w:link w:val="Heading2Char"/>
    <w:qFormat/>
    <w:rsid w:val="00B212FF"/>
    <w:pPr>
      <w:keepLines/>
      <w:spacing w:before="240" w:after="120"/>
      <w:outlineLvl w:val="1"/>
    </w:pPr>
    <w:rPr>
      <w:sz w:val="28"/>
      <w:szCs w:val="40"/>
    </w:rPr>
  </w:style>
  <w:style w:type="paragraph" w:styleId="Heading3">
    <w:name w:val="heading 3"/>
    <w:basedOn w:val="HeadingBase"/>
    <w:next w:val="BodyText"/>
    <w:link w:val="Heading3Char"/>
    <w:qFormat/>
    <w:rsid w:val="00B212FF"/>
    <w:pPr>
      <w:spacing w:before="180" w:after="120"/>
      <w:outlineLvl w:val="2"/>
    </w:pPr>
    <w:rPr>
      <w:spacing w:val="-10"/>
      <w:kern w:val="32"/>
    </w:rPr>
  </w:style>
  <w:style w:type="paragraph" w:styleId="Heading4">
    <w:name w:val="heading 4"/>
    <w:basedOn w:val="HeadingBase"/>
    <w:next w:val="BodyText"/>
    <w:link w:val="Heading4Char"/>
    <w:qFormat/>
    <w:rsid w:val="00B212FF"/>
    <w:pPr>
      <w:spacing w:before="160" w:after="120"/>
      <w:outlineLvl w:val="3"/>
    </w:pPr>
    <w:rPr>
      <w:sz w:val="22"/>
    </w:rPr>
  </w:style>
  <w:style w:type="paragraph" w:styleId="Heading5">
    <w:name w:val="heading 5"/>
    <w:basedOn w:val="HeadingBase"/>
    <w:next w:val="Normal"/>
    <w:link w:val="Heading5Char"/>
    <w:qFormat/>
    <w:rsid w:val="00B212FF"/>
    <w:pPr>
      <w:spacing w:before="80"/>
      <w:outlineLvl w:val="4"/>
    </w:pPr>
    <w:rPr>
      <w:color w:val="918585"/>
      <w:sz w:val="20"/>
    </w:rPr>
  </w:style>
  <w:style w:type="paragraph" w:styleId="Heading6">
    <w:name w:val="heading 6"/>
    <w:basedOn w:val="HeadingBase"/>
    <w:next w:val="Normal"/>
    <w:link w:val="Heading6Char"/>
    <w:qFormat/>
    <w:rsid w:val="00B212FF"/>
    <w:pPr>
      <w:spacing w:before="60"/>
      <w:outlineLvl w:val="5"/>
    </w:pPr>
    <w:rPr>
      <w:color w:val="918585"/>
      <w:sz w:val="20"/>
    </w:rPr>
  </w:style>
  <w:style w:type="paragraph" w:styleId="Heading7">
    <w:name w:val="heading 7"/>
    <w:basedOn w:val="Normal"/>
    <w:next w:val="Normal"/>
    <w:link w:val="Heading7Char"/>
    <w:qFormat/>
    <w:rsid w:val="00B212FF"/>
    <w:pPr>
      <w:ind w:left="720"/>
      <w:outlineLvl w:val="6"/>
    </w:pPr>
    <w:rPr>
      <w:i/>
    </w:rPr>
  </w:style>
  <w:style w:type="paragraph" w:styleId="Heading8">
    <w:name w:val="heading 8"/>
    <w:basedOn w:val="Normal"/>
    <w:next w:val="Normal"/>
    <w:link w:val="Heading8Char"/>
    <w:qFormat/>
    <w:rsid w:val="00B212FF"/>
    <w:pPr>
      <w:ind w:left="720"/>
      <w:outlineLvl w:val="7"/>
    </w:pPr>
    <w:rPr>
      <w:i/>
    </w:rPr>
  </w:style>
  <w:style w:type="paragraph" w:styleId="Heading9">
    <w:name w:val="heading 9"/>
    <w:basedOn w:val="Normal"/>
    <w:next w:val="Normal"/>
    <w:link w:val="Heading9Char"/>
    <w:qFormat/>
    <w:rsid w:val="00B212FF"/>
    <w:pPr>
      <w:ind w:left="720"/>
      <w:outlineLvl w:val="8"/>
    </w:pPr>
    <w:rPr>
      <w:i/>
    </w:rPr>
  </w:style>
  <w:style w:type="character" w:default="1" w:styleId="DefaultParagraphFont">
    <w:name w:val="Default Paragraph Font"/>
    <w:uiPriority w:val="1"/>
    <w:unhideWhenUsed/>
    <w:rsid w:val="00B212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12FF"/>
  </w:style>
  <w:style w:type="character" w:customStyle="1" w:styleId="Heading1Char">
    <w:name w:val="Heading 1 Char"/>
    <w:basedOn w:val="DefaultParagraphFont"/>
    <w:link w:val="Heading1"/>
    <w:rsid w:val="00B212FF"/>
    <w:rPr>
      <w:rFonts w:ascii="Times New Roman" w:eastAsia="Times New Roman" w:hAnsi="Times New Roman" w:cs="Times New Roman"/>
      <w:b/>
      <w:sz w:val="32"/>
      <w:szCs w:val="20"/>
      <w:lang w:eastAsia="en-US"/>
    </w:rPr>
  </w:style>
  <w:style w:type="paragraph" w:styleId="BodyText">
    <w:name w:val="Body Text"/>
    <w:basedOn w:val="Normal"/>
    <w:link w:val="BodyTextChar"/>
    <w:rsid w:val="00B212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12FF"/>
    <w:rPr>
      <w:rFonts w:ascii="Times New Roman" w:eastAsia="Times New Roman" w:hAnsi="Times New Roman" w:cs="Times New Roman"/>
      <w:sz w:val="24"/>
      <w:lang w:eastAsia="en-US"/>
    </w:rPr>
  </w:style>
  <w:style w:type="paragraph" w:styleId="ListBullet">
    <w:name w:val="List Bullet"/>
    <w:basedOn w:val="List"/>
    <w:rsid w:val="00B212FF"/>
    <w:pPr>
      <w:numPr>
        <w:numId w:val="11"/>
      </w:numPr>
      <w:tabs>
        <w:tab w:val="clear" w:pos="340"/>
      </w:tabs>
      <w:spacing w:before="40" w:after="40"/>
    </w:pPr>
  </w:style>
  <w:style w:type="character" w:customStyle="1" w:styleId="SpecialBold">
    <w:name w:val="Special Bold"/>
    <w:basedOn w:val="DefaultParagraphFont"/>
    <w:rsid w:val="00B212FF"/>
    <w:rPr>
      <w:b/>
      <w:spacing w:val="0"/>
    </w:rPr>
  </w:style>
  <w:style w:type="paragraph" w:customStyle="1" w:styleId="SuperHeading">
    <w:name w:val="SuperHeading"/>
    <w:basedOn w:val="Normal"/>
    <w:rsid w:val="00B212FF"/>
    <w:pPr>
      <w:spacing w:before="240" w:after="120"/>
      <w:outlineLvl w:val="0"/>
    </w:pPr>
    <w:rPr>
      <w:rFonts w:ascii="Times New Roman" w:hAnsi="Times New Roman"/>
      <w:b/>
      <w:sz w:val="32"/>
    </w:rPr>
  </w:style>
  <w:style w:type="paragraph" w:customStyle="1" w:styleId="AllowPageBreak">
    <w:name w:val="AllowPageBreak"/>
    <w:rsid w:val="00B212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212FF"/>
    <w:rPr>
      <w:b/>
      <w:i/>
      <w:u w:val="none"/>
    </w:rPr>
  </w:style>
  <w:style w:type="character" w:customStyle="1" w:styleId="Heading2Char">
    <w:name w:val="Heading 2 Char"/>
    <w:basedOn w:val="DefaultParagraphFont"/>
    <w:link w:val="Heading2"/>
    <w:rsid w:val="00B212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12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12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12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12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12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12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12FF"/>
    <w:rPr>
      <w:rFonts w:ascii="Courier New" w:eastAsia="Times New Roman" w:hAnsi="Courier New" w:cs="Times New Roman"/>
      <w:i/>
      <w:szCs w:val="20"/>
      <w:lang w:eastAsia="en-US"/>
    </w:rPr>
  </w:style>
  <w:style w:type="paragraph" w:customStyle="1" w:styleId="HeadingBase">
    <w:name w:val="Heading Base"/>
    <w:rsid w:val="00B212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12FF"/>
    <w:pPr>
      <w:tabs>
        <w:tab w:val="right" w:leader="dot" w:pos="9072"/>
      </w:tabs>
      <w:ind w:left="567"/>
    </w:pPr>
    <w:rPr>
      <w:szCs w:val="22"/>
    </w:rPr>
  </w:style>
  <w:style w:type="paragraph" w:customStyle="1" w:styleId="TOCBase">
    <w:name w:val="TOC Base"/>
    <w:rsid w:val="00B212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12FF"/>
    <w:pPr>
      <w:tabs>
        <w:tab w:val="right" w:leader="dot" w:pos="9072"/>
      </w:tabs>
      <w:spacing w:before="40" w:after="40"/>
      <w:ind w:left="284"/>
    </w:pPr>
    <w:rPr>
      <w:rFonts w:ascii="Times New Roman" w:hAnsi="Times New Roman"/>
    </w:rPr>
  </w:style>
  <w:style w:type="paragraph" w:styleId="TOC1">
    <w:name w:val="toc 1"/>
    <w:basedOn w:val="TOCBase"/>
    <w:next w:val="Normal"/>
    <w:rsid w:val="00B212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12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12FF"/>
    <w:rPr>
      <w:rFonts w:ascii="Times New Roman" w:eastAsia="Times New Roman" w:hAnsi="Times New Roman" w:cs="Times New Roman"/>
      <w:sz w:val="16"/>
      <w:lang w:eastAsia="en-US"/>
    </w:rPr>
  </w:style>
  <w:style w:type="paragraph" w:styleId="Title">
    <w:name w:val="Title"/>
    <w:basedOn w:val="HeadingBase"/>
    <w:link w:val="TitleChar"/>
    <w:qFormat/>
    <w:rsid w:val="00B212FF"/>
    <w:pPr>
      <w:spacing w:before="5040"/>
      <w:jc w:val="center"/>
    </w:pPr>
    <w:rPr>
      <w:sz w:val="48"/>
      <w:szCs w:val="72"/>
      <w:lang w:val="en-US"/>
    </w:rPr>
  </w:style>
  <w:style w:type="character" w:customStyle="1" w:styleId="TitleChar">
    <w:name w:val="Title Char"/>
    <w:basedOn w:val="DefaultParagraphFont"/>
    <w:link w:val="Title"/>
    <w:rsid w:val="00B212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12FF"/>
    <w:pPr>
      <w:tabs>
        <w:tab w:val="left" w:pos="3600"/>
        <w:tab w:val="left" w:pos="3958"/>
      </w:tabs>
    </w:pPr>
  </w:style>
  <w:style w:type="paragraph" w:styleId="List">
    <w:name w:val="List"/>
    <w:basedOn w:val="BodyText"/>
    <w:next w:val="BodyText"/>
    <w:rsid w:val="00B212FF"/>
    <w:pPr>
      <w:tabs>
        <w:tab w:val="left" w:pos="340"/>
      </w:tabs>
      <w:spacing w:before="60" w:after="60"/>
      <w:ind w:left="340" w:hanging="340"/>
    </w:pPr>
  </w:style>
  <w:style w:type="paragraph" w:customStyle="1" w:styleId="Note">
    <w:name w:val="Note"/>
    <w:basedOn w:val="BodyText"/>
    <w:rsid w:val="00B212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12FF"/>
    <w:pPr>
      <w:framePr w:wrap="auto" w:hAnchor="text" w:y="6049"/>
    </w:pPr>
    <w:rPr>
      <w:color w:val="000000"/>
      <w:sz w:val="40"/>
    </w:rPr>
  </w:style>
  <w:style w:type="paragraph" w:customStyle="1" w:styleId="TOCTitle">
    <w:name w:val="TOCTitle"/>
    <w:basedOn w:val="Heading1"/>
    <w:rsid w:val="00B212FF"/>
    <w:pPr>
      <w:spacing w:after="240"/>
      <w:jc w:val="center"/>
      <w:outlineLvl w:val="9"/>
    </w:pPr>
    <w:rPr>
      <w:caps/>
    </w:rPr>
  </w:style>
  <w:style w:type="paragraph" w:customStyle="1" w:styleId="Version">
    <w:name w:val="Version"/>
    <w:rsid w:val="00B212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12FF"/>
    <w:pPr>
      <w:numPr>
        <w:numId w:val="12"/>
      </w:numPr>
      <w:tabs>
        <w:tab w:val="clear" w:pos="680"/>
      </w:tabs>
    </w:pPr>
  </w:style>
  <w:style w:type="paragraph" w:styleId="Index1">
    <w:name w:val="index 1"/>
    <w:basedOn w:val="Normal"/>
    <w:next w:val="Normal"/>
    <w:semiHidden/>
    <w:rsid w:val="00B212FF"/>
    <w:pPr>
      <w:keepNext w:val="0"/>
      <w:tabs>
        <w:tab w:val="right" w:pos="4176"/>
      </w:tabs>
      <w:ind w:left="198" w:hanging="198"/>
    </w:pPr>
    <w:rPr>
      <w:rFonts w:ascii="Garamond" w:hAnsi="Garamond"/>
    </w:rPr>
  </w:style>
  <w:style w:type="paragraph" w:styleId="IndexHeading">
    <w:name w:val="index heading"/>
    <w:basedOn w:val="Normal"/>
    <w:next w:val="Index1"/>
    <w:semiHidden/>
    <w:rsid w:val="00B212FF"/>
    <w:pPr>
      <w:spacing w:before="120" w:after="120"/>
    </w:pPr>
    <w:rPr>
      <w:rFonts w:ascii="Arial" w:hAnsi="Arial"/>
      <w:b/>
      <w:color w:val="918585"/>
      <w:sz w:val="24"/>
    </w:rPr>
  </w:style>
  <w:style w:type="paragraph" w:styleId="Header">
    <w:name w:val="header"/>
    <w:basedOn w:val="Normal"/>
    <w:link w:val="HeaderChar"/>
    <w:rsid w:val="00B212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12FF"/>
    <w:rPr>
      <w:rFonts w:ascii="Times New Roman" w:eastAsia="Times New Roman" w:hAnsi="Times New Roman" w:cs="Times New Roman"/>
      <w:sz w:val="16"/>
      <w:szCs w:val="20"/>
      <w:lang w:val="en-GB" w:eastAsia="en-US"/>
    </w:rPr>
  </w:style>
  <w:style w:type="paragraph" w:customStyle="1" w:styleId="Chapter">
    <w:name w:val="Chapter"/>
    <w:basedOn w:val="Normal"/>
    <w:rsid w:val="00B212FF"/>
    <w:pPr>
      <w:spacing w:before="240"/>
    </w:pPr>
    <w:rPr>
      <w:rFonts w:ascii="Times New Roman" w:hAnsi="Times New Roman"/>
      <w:smallCaps/>
      <w:spacing w:val="80"/>
      <w:sz w:val="28"/>
    </w:rPr>
  </w:style>
  <w:style w:type="paragraph" w:customStyle="1" w:styleId="InChapter">
    <w:name w:val="InChapter"/>
    <w:basedOn w:val="Heading3"/>
    <w:rsid w:val="00B212FF"/>
    <w:pPr>
      <w:spacing w:after="240"/>
      <w:outlineLvl w:val="9"/>
    </w:pPr>
    <w:rPr>
      <w:noProof/>
    </w:rPr>
  </w:style>
  <w:style w:type="paragraph" w:styleId="Index2">
    <w:name w:val="index 2"/>
    <w:basedOn w:val="Normal"/>
    <w:next w:val="Normal"/>
    <w:semiHidden/>
    <w:rsid w:val="00B212FF"/>
    <w:pPr>
      <w:tabs>
        <w:tab w:val="right" w:pos="4176"/>
      </w:tabs>
      <w:ind w:left="568" w:hanging="284"/>
    </w:pPr>
    <w:rPr>
      <w:rFonts w:ascii="Garamond" w:hAnsi="Garamond"/>
    </w:rPr>
  </w:style>
  <w:style w:type="paragraph" w:customStyle="1" w:styleId="Byline">
    <w:name w:val="Byline"/>
    <w:rsid w:val="00B212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12FF"/>
    <w:pPr>
      <w:tabs>
        <w:tab w:val="clear" w:pos="3600"/>
        <w:tab w:val="clear" w:pos="3958"/>
      </w:tabs>
      <w:jc w:val="right"/>
    </w:pPr>
  </w:style>
  <w:style w:type="character" w:styleId="Emphasis">
    <w:name w:val="Emphasis"/>
    <w:basedOn w:val="DefaultParagraphFont"/>
    <w:qFormat/>
    <w:rsid w:val="00B212FF"/>
    <w:rPr>
      <w:i/>
    </w:rPr>
  </w:style>
  <w:style w:type="paragraph" w:styleId="Caption">
    <w:name w:val="caption"/>
    <w:basedOn w:val="BodyText"/>
    <w:next w:val="Normal"/>
    <w:qFormat/>
    <w:rsid w:val="00B212FF"/>
    <w:pPr>
      <w:framePr w:w="2268" w:hSpace="181" w:vSpace="181" w:wrap="around" w:vAnchor="text" w:hAnchor="page" w:x="1135" w:y="285" w:anchorLock="1"/>
    </w:pPr>
    <w:rPr>
      <w:i/>
    </w:rPr>
  </w:style>
  <w:style w:type="paragraph" w:customStyle="1" w:styleId="MiniTOCTitle">
    <w:name w:val="MiniTOCTitle"/>
    <w:basedOn w:val="Heading4"/>
    <w:rsid w:val="00B212FF"/>
    <w:pPr>
      <w:spacing w:before="240"/>
      <w:outlineLvl w:val="9"/>
    </w:pPr>
    <w:rPr>
      <w:noProof/>
      <w:sz w:val="24"/>
    </w:rPr>
  </w:style>
  <w:style w:type="paragraph" w:customStyle="1" w:styleId="MiniTOCItem">
    <w:name w:val="MiniTOCItem"/>
    <w:basedOn w:val="ListBullet"/>
    <w:rsid w:val="00B212FF"/>
    <w:pPr>
      <w:numPr>
        <w:numId w:val="0"/>
      </w:numPr>
      <w:tabs>
        <w:tab w:val="right" w:leader="dot" w:pos="6521"/>
      </w:tabs>
      <w:spacing w:before="0" w:after="0"/>
    </w:pPr>
  </w:style>
  <w:style w:type="paragraph" w:customStyle="1" w:styleId="TOFTitle">
    <w:name w:val="TOFTitle"/>
    <w:basedOn w:val="TOCTitle"/>
    <w:rsid w:val="00B212FF"/>
  </w:style>
  <w:style w:type="paragraph" w:styleId="TableofFigures">
    <w:name w:val="table of figures"/>
    <w:basedOn w:val="Normal"/>
    <w:next w:val="Normal"/>
    <w:semiHidden/>
    <w:rsid w:val="00B212FF"/>
    <w:pPr>
      <w:tabs>
        <w:tab w:val="right" w:leader="dot" w:pos="9072"/>
      </w:tabs>
      <w:ind w:left="970" w:hanging="403"/>
    </w:pPr>
    <w:rPr>
      <w:rFonts w:ascii="Times New Roman" w:hAnsi="Times New Roman"/>
      <w:b/>
    </w:rPr>
  </w:style>
  <w:style w:type="paragraph" w:styleId="ListNumber">
    <w:name w:val="List Number"/>
    <w:basedOn w:val="List"/>
    <w:rsid w:val="00B212FF"/>
    <w:pPr>
      <w:numPr>
        <w:numId w:val="14"/>
      </w:numPr>
      <w:tabs>
        <w:tab w:val="clear" w:pos="340"/>
      </w:tabs>
    </w:pPr>
  </w:style>
  <w:style w:type="character" w:customStyle="1" w:styleId="WingdingSymbols">
    <w:name w:val="Wingding Symbols"/>
    <w:rsid w:val="00B212FF"/>
    <w:rPr>
      <w:rFonts w:ascii="Wingdings" w:hAnsi="Wingdings"/>
    </w:rPr>
  </w:style>
  <w:style w:type="paragraph" w:customStyle="1" w:styleId="TableHeading">
    <w:name w:val="Table Heading"/>
    <w:basedOn w:val="HeadingBase"/>
    <w:rsid w:val="00B212FF"/>
    <w:pPr>
      <w:keepLines/>
      <w:pBdr>
        <w:bottom w:val="single" w:sz="6" w:space="1" w:color="918585"/>
      </w:pBdr>
      <w:spacing w:before="240"/>
    </w:pPr>
  </w:style>
  <w:style w:type="character" w:customStyle="1" w:styleId="HotSpot">
    <w:name w:val="HotSpot"/>
    <w:rsid w:val="00B212FF"/>
    <w:rPr>
      <w:color w:val="0033CC"/>
      <w:u w:val="none"/>
    </w:rPr>
  </w:style>
  <w:style w:type="paragraph" w:customStyle="1" w:styleId="BodyTextRight">
    <w:name w:val="Body Text Right"/>
    <w:basedOn w:val="BodyText"/>
    <w:rsid w:val="00B212FF"/>
    <w:pPr>
      <w:spacing w:before="0" w:after="0"/>
      <w:jc w:val="right"/>
    </w:pPr>
  </w:style>
  <w:style w:type="paragraph" w:styleId="Index3">
    <w:name w:val="index 3"/>
    <w:basedOn w:val="ListNumber2"/>
    <w:next w:val="Normal"/>
    <w:semiHidden/>
    <w:rsid w:val="00B212FF"/>
    <w:pPr>
      <w:numPr>
        <w:numId w:val="0"/>
      </w:numPr>
      <w:tabs>
        <w:tab w:val="right" w:leader="dot" w:pos="4176"/>
      </w:tabs>
    </w:pPr>
  </w:style>
  <w:style w:type="paragraph" w:styleId="ListNumber2">
    <w:name w:val="List Number 2"/>
    <w:basedOn w:val="List2"/>
    <w:rsid w:val="00B212FF"/>
    <w:pPr>
      <w:numPr>
        <w:numId w:val="9"/>
      </w:numPr>
      <w:tabs>
        <w:tab w:val="clear" w:pos="1060"/>
      </w:tabs>
    </w:pPr>
  </w:style>
  <w:style w:type="paragraph" w:customStyle="1" w:styleId="MarginNote">
    <w:name w:val="Margin Note"/>
    <w:basedOn w:val="BodyText"/>
    <w:rsid w:val="00B212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12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12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12FF"/>
    <w:rPr>
      <w:sz w:val="32"/>
    </w:rPr>
  </w:style>
  <w:style w:type="paragraph" w:customStyle="1" w:styleId="HeadingProcedure">
    <w:name w:val="Heading Procedure"/>
    <w:basedOn w:val="HeadingBase"/>
    <w:next w:val="Normal"/>
    <w:rsid w:val="00B212FF"/>
    <w:pPr>
      <w:tabs>
        <w:tab w:val="left" w:pos="0"/>
      </w:tabs>
      <w:spacing w:before="120" w:after="60"/>
    </w:pPr>
    <w:rPr>
      <w:i/>
      <w:color w:val="918585"/>
      <w:sz w:val="22"/>
    </w:rPr>
  </w:style>
  <w:style w:type="paragraph" w:customStyle="1" w:styleId="TableBodyText">
    <w:name w:val="Table Body Text"/>
    <w:basedOn w:val="BodyText"/>
    <w:rsid w:val="00B212FF"/>
    <w:pPr>
      <w:spacing w:before="60" w:after="60"/>
    </w:pPr>
  </w:style>
  <w:style w:type="paragraph" w:styleId="ListContinue">
    <w:name w:val="List Continue"/>
    <w:basedOn w:val="List"/>
    <w:rsid w:val="00B212FF"/>
    <w:pPr>
      <w:ind w:firstLine="0"/>
    </w:pPr>
  </w:style>
  <w:style w:type="paragraph" w:customStyle="1" w:styleId="ListNote">
    <w:name w:val="List Note"/>
    <w:basedOn w:val="List"/>
    <w:rsid w:val="00B212FF"/>
    <w:pPr>
      <w:pBdr>
        <w:top w:val="single" w:sz="6" w:space="2" w:color="918585"/>
        <w:bottom w:val="single" w:sz="6" w:space="2" w:color="918585"/>
      </w:pBdr>
      <w:tabs>
        <w:tab w:val="left" w:pos="1021"/>
      </w:tabs>
      <w:ind w:firstLine="0"/>
    </w:pPr>
  </w:style>
  <w:style w:type="paragraph" w:customStyle="1" w:styleId="Warning">
    <w:name w:val="Warning"/>
    <w:basedOn w:val="BodyText"/>
    <w:rsid w:val="00B212FF"/>
    <w:pPr>
      <w:shd w:val="clear" w:color="auto" w:fill="D9D9D9"/>
      <w:tabs>
        <w:tab w:val="left" w:pos="992"/>
      </w:tabs>
      <w:ind w:left="119" w:right="119"/>
    </w:pPr>
    <w:rPr>
      <w:sz w:val="20"/>
    </w:rPr>
  </w:style>
  <w:style w:type="paragraph" w:customStyle="1" w:styleId="MarginIcons">
    <w:name w:val="Margin Icons"/>
    <w:basedOn w:val="BodyText"/>
    <w:rsid w:val="00B212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12FF"/>
    <w:rPr>
      <w:rFonts w:ascii="Courier New" w:hAnsi="Courier New"/>
    </w:rPr>
  </w:style>
  <w:style w:type="paragraph" w:customStyle="1" w:styleId="NoteBullet">
    <w:name w:val="Note Bullet"/>
    <w:basedOn w:val="Note"/>
    <w:rsid w:val="00B212FF"/>
    <w:pPr>
      <w:tabs>
        <w:tab w:val="clear" w:pos="680"/>
      </w:tabs>
      <w:spacing w:before="60" w:after="60"/>
    </w:pPr>
  </w:style>
  <w:style w:type="paragraph" w:customStyle="1" w:styleId="SubHeading2">
    <w:name w:val="SubHeading2"/>
    <w:basedOn w:val="HeadingBase"/>
    <w:rsid w:val="00B212FF"/>
    <w:pPr>
      <w:spacing w:before="240" w:after="60"/>
    </w:pPr>
    <w:rPr>
      <w:sz w:val="20"/>
    </w:rPr>
  </w:style>
  <w:style w:type="paragraph" w:customStyle="1" w:styleId="SubHeading1">
    <w:name w:val="SubHeading1"/>
    <w:basedOn w:val="HeadingBase"/>
    <w:rsid w:val="00B212FF"/>
    <w:pPr>
      <w:spacing w:before="240" w:after="60"/>
    </w:pPr>
    <w:rPr>
      <w:color w:val="918585"/>
      <w:sz w:val="22"/>
    </w:rPr>
  </w:style>
  <w:style w:type="paragraph" w:customStyle="1" w:styleId="SideHeading">
    <w:name w:val="Side Heading"/>
    <w:basedOn w:val="HeadingBase"/>
    <w:rsid w:val="00B212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12FF"/>
    <w:pPr>
      <w:numPr>
        <w:numId w:val="10"/>
      </w:numPr>
    </w:pPr>
  </w:style>
  <w:style w:type="paragraph" w:styleId="PlainText">
    <w:name w:val="Plain Text"/>
    <w:basedOn w:val="Normal"/>
    <w:link w:val="PlainTextChar"/>
    <w:rsid w:val="00B212FF"/>
    <w:rPr>
      <w:sz w:val="20"/>
    </w:rPr>
  </w:style>
  <w:style w:type="character" w:customStyle="1" w:styleId="PlainTextChar">
    <w:name w:val="Plain Text Char"/>
    <w:basedOn w:val="DefaultParagraphFont"/>
    <w:link w:val="PlainText"/>
    <w:rsid w:val="00B212FF"/>
    <w:rPr>
      <w:rFonts w:ascii="Courier New" w:eastAsia="Times New Roman" w:hAnsi="Courier New" w:cs="Times New Roman"/>
      <w:sz w:val="20"/>
      <w:szCs w:val="20"/>
      <w:lang w:eastAsia="en-US"/>
    </w:rPr>
  </w:style>
  <w:style w:type="character" w:customStyle="1" w:styleId="MenuOption">
    <w:name w:val="Menu Option"/>
    <w:basedOn w:val="DefaultParagraphFont"/>
    <w:rsid w:val="00B212FF"/>
    <w:rPr>
      <w:b/>
      <w:smallCaps/>
    </w:rPr>
  </w:style>
  <w:style w:type="paragraph" w:customStyle="1" w:styleId="TableListNumber">
    <w:name w:val="Table List Number"/>
    <w:basedOn w:val="ListNumber"/>
    <w:rsid w:val="00B212FF"/>
    <w:pPr>
      <w:numPr>
        <w:numId w:val="0"/>
      </w:numPr>
    </w:pPr>
  </w:style>
  <w:style w:type="paragraph" w:styleId="TOC4">
    <w:name w:val="toc 4"/>
    <w:basedOn w:val="TOCBase"/>
    <w:next w:val="Normal"/>
    <w:semiHidden/>
    <w:rsid w:val="00B212FF"/>
    <w:pPr>
      <w:tabs>
        <w:tab w:val="right" w:leader="dot" w:pos="9071"/>
      </w:tabs>
      <w:ind w:left="1701"/>
    </w:pPr>
  </w:style>
  <w:style w:type="paragraph" w:customStyle="1" w:styleId="ListAlpha">
    <w:name w:val="List Alpha"/>
    <w:basedOn w:val="List"/>
    <w:rsid w:val="00B212FF"/>
    <w:pPr>
      <w:numPr>
        <w:numId w:val="8"/>
      </w:numPr>
    </w:pPr>
  </w:style>
  <w:style w:type="paragraph" w:customStyle="1" w:styleId="ListAlpha2">
    <w:name w:val="List Alpha 2"/>
    <w:basedOn w:val="List2"/>
    <w:rsid w:val="00B212FF"/>
    <w:pPr>
      <w:numPr>
        <w:numId w:val="7"/>
      </w:numPr>
    </w:pPr>
  </w:style>
  <w:style w:type="paragraph" w:styleId="List2">
    <w:name w:val="List 2"/>
    <w:basedOn w:val="BodyText"/>
    <w:rsid w:val="00B212FF"/>
    <w:pPr>
      <w:tabs>
        <w:tab w:val="left" w:pos="680"/>
      </w:tabs>
      <w:spacing w:before="60" w:after="60"/>
      <w:ind w:left="680" w:hanging="340"/>
    </w:pPr>
  </w:style>
  <w:style w:type="paragraph" w:styleId="List3">
    <w:name w:val="List 3"/>
    <w:basedOn w:val="BodyText"/>
    <w:rsid w:val="00B212FF"/>
    <w:pPr>
      <w:tabs>
        <w:tab w:val="left" w:pos="1021"/>
      </w:tabs>
      <w:spacing w:before="60" w:after="60"/>
      <w:ind w:left="1020" w:hanging="340"/>
    </w:pPr>
  </w:style>
  <w:style w:type="paragraph" w:styleId="List4">
    <w:name w:val="List 4"/>
    <w:basedOn w:val="BodyText"/>
    <w:rsid w:val="00B212FF"/>
    <w:pPr>
      <w:tabs>
        <w:tab w:val="left" w:pos="1361"/>
      </w:tabs>
      <w:spacing w:before="60" w:after="60"/>
      <w:ind w:left="1361" w:hanging="340"/>
    </w:pPr>
  </w:style>
  <w:style w:type="paragraph" w:styleId="List5">
    <w:name w:val="List 5"/>
    <w:basedOn w:val="BodyText"/>
    <w:rsid w:val="00B212FF"/>
    <w:pPr>
      <w:tabs>
        <w:tab w:val="left" w:pos="1701"/>
      </w:tabs>
      <w:spacing w:before="60" w:after="60"/>
      <w:ind w:left="1701" w:hanging="340"/>
    </w:pPr>
  </w:style>
  <w:style w:type="paragraph" w:styleId="ListBullet3">
    <w:name w:val="List Bullet 3"/>
    <w:basedOn w:val="List3"/>
    <w:rsid w:val="00B212FF"/>
    <w:pPr>
      <w:numPr>
        <w:numId w:val="13"/>
      </w:numPr>
      <w:tabs>
        <w:tab w:val="clear" w:pos="1021"/>
      </w:tabs>
      <w:ind w:left="1037" w:hanging="357"/>
    </w:pPr>
  </w:style>
  <w:style w:type="paragraph" w:styleId="ListBullet4">
    <w:name w:val="List Bullet 4"/>
    <w:basedOn w:val="List4"/>
    <w:rsid w:val="00B212FF"/>
    <w:pPr>
      <w:numPr>
        <w:numId w:val="2"/>
      </w:numPr>
      <w:tabs>
        <w:tab w:val="clear" w:pos="1361"/>
      </w:tabs>
    </w:pPr>
  </w:style>
  <w:style w:type="paragraph" w:styleId="ListBullet5">
    <w:name w:val="List Bullet 5"/>
    <w:basedOn w:val="List5"/>
    <w:rsid w:val="00B212FF"/>
    <w:pPr>
      <w:numPr>
        <w:numId w:val="3"/>
      </w:numPr>
    </w:pPr>
  </w:style>
  <w:style w:type="paragraph" w:styleId="ListContinue2">
    <w:name w:val="List Continue 2"/>
    <w:basedOn w:val="List2"/>
    <w:rsid w:val="00B212FF"/>
    <w:pPr>
      <w:ind w:firstLine="0"/>
    </w:pPr>
  </w:style>
  <w:style w:type="paragraph" w:styleId="ListContinue3">
    <w:name w:val="List Continue 3"/>
    <w:basedOn w:val="List3"/>
    <w:rsid w:val="00B212FF"/>
    <w:pPr>
      <w:ind w:left="1021" w:firstLine="0"/>
    </w:pPr>
  </w:style>
  <w:style w:type="paragraph" w:styleId="ListContinue4">
    <w:name w:val="List Continue 4"/>
    <w:basedOn w:val="List4"/>
    <w:rsid w:val="00B212FF"/>
    <w:pPr>
      <w:ind w:firstLine="0"/>
    </w:pPr>
  </w:style>
  <w:style w:type="paragraph" w:styleId="ListContinue5">
    <w:name w:val="List Continue 5"/>
    <w:basedOn w:val="List5"/>
    <w:rsid w:val="00B212FF"/>
    <w:pPr>
      <w:ind w:firstLine="0"/>
    </w:pPr>
  </w:style>
  <w:style w:type="paragraph" w:styleId="ListNumber3">
    <w:name w:val="List Number 3"/>
    <w:basedOn w:val="List3"/>
    <w:rsid w:val="00B212FF"/>
    <w:pPr>
      <w:numPr>
        <w:numId w:val="4"/>
      </w:numPr>
    </w:pPr>
  </w:style>
  <w:style w:type="paragraph" w:styleId="ListNumber4">
    <w:name w:val="List Number 4"/>
    <w:basedOn w:val="List4"/>
    <w:rsid w:val="00B212FF"/>
    <w:pPr>
      <w:numPr>
        <w:numId w:val="5"/>
      </w:numPr>
    </w:pPr>
  </w:style>
  <w:style w:type="paragraph" w:styleId="ListNumber5">
    <w:name w:val="List Number 5"/>
    <w:basedOn w:val="List5"/>
    <w:rsid w:val="00B212FF"/>
    <w:pPr>
      <w:numPr>
        <w:numId w:val="6"/>
      </w:numPr>
    </w:pPr>
  </w:style>
  <w:style w:type="paragraph" w:styleId="BlockText">
    <w:name w:val="Block Text"/>
    <w:basedOn w:val="Normal"/>
    <w:rsid w:val="00B212FF"/>
    <w:pPr>
      <w:spacing w:after="120"/>
      <w:ind w:left="1440" w:right="1440"/>
    </w:pPr>
  </w:style>
  <w:style w:type="character" w:customStyle="1" w:styleId="Subscript">
    <w:name w:val="Subscript"/>
    <w:basedOn w:val="DefaultParagraphFont"/>
    <w:rsid w:val="00B212FF"/>
    <w:rPr>
      <w:sz w:val="16"/>
      <w:vertAlign w:val="subscript"/>
    </w:rPr>
  </w:style>
  <w:style w:type="character" w:customStyle="1" w:styleId="Superscript">
    <w:name w:val="Superscript"/>
    <w:basedOn w:val="DefaultParagraphFont"/>
    <w:rsid w:val="00B212FF"/>
    <w:rPr>
      <w:sz w:val="16"/>
      <w:vertAlign w:val="superscript"/>
    </w:rPr>
  </w:style>
  <w:style w:type="character" w:customStyle="1" w:styleId="Symbols">
    <w:name w:val="Symbols"/>
    <w:basedOn w:val="DefaultParagraphFont"/>
    <w:rsid w:val="00B212FF"/>
    <w:rPr>
      <w:rFonts w:ascii="Symbol" w:hAnsi="Symbol"/>
    </w:rPr>
  </w:style>
  <w:style w:type="character" w:customStyle="1" w:styleId="MenuOptions">
    <w:name w:val="Menu Options"/>
    <w:basedOn w:val="DefaultParagraphFont"/>
    <w:rsid w:val="00B212FF"/>
    <w:rPr>
      <w:rFonts w:ascii="Arial Narrow" w:hAnsi="Arial Narrow"/>
      <w:smallCaps/>
    </w:rPr>
  </w:style>
  <w:style w:type="character" w:customStyle="1" w:styleId="Buttons">
    <w:name w:val="Buttons"/>
    <w:basedOn w:val="DefaultParagraphFont"/>
    <w:rsid w:val="00B212FF"/>
    <w:rPr>
      <w:b/>
    </w:rPr>
  </w:style>
  <w:style w:type="character" w:customStyle="1" w:styleId="Underlined">
    <w:name w:val="Underlined"/>
    <w:basedOn w:val="DefaultParagraphFont"/>
    <w:rsid w:val="00B212FF"/>
    <w:rPr>
      <w:u w:val="single"/>
    </w:rPr>
  </w:style>
  <w:style w:type="paragraph" w:customStyle="1" w:styleId="TableBodyTextRight">
    <w:name w:val="Table Body Text Right"/>
    <w:basedOn w:val="TableBodyText"/>
    <w:rsid w:val="00B212FF"/>
    <w:pPr>
      <w:widowControl w:val="0"/>
      <w:autoSpaceDE w:val="0"/>
      <w:autoSpaceDN w:val="0"/>
      <w:adjustRightInd w:val="0"/>
      <w:jc w:val="right"/>
    </w:pPr>
    <w:rPr>
      <w:rFonts w:cs="Arial"/>
      <w:szCs w:val="18"/>
    </w:rPr>
  </w:style>
  <w:style w:type="paragraph" w:customStyle="1" w:styleId="CopyrightText">
    <w:name w:val="Copyright Text"/>
    <w:basedOn w:val="BodyText"/>
    <w:rsid w:val="00B212FF"/>
    <w:rPr>
      <w:sz w:val="18"/>
    </w:rPr>
  </w:style>
  <w:style w:type="paragraph" w:customStyle="1" w:styleId="BodySmallRight">
    <w:name w:val="Body Small Right"/>
    <w:basedOn w:val="BodyTextRight"/>
    <w:rsid w:val="00B212FF"/>
    <w:rPr>
      <w:sz w:val="18"/>
      <w:szCs w:val="18"/>
    </w:rPr>
  </w:style>
  <w:style w:type="paragraph" w:customStyle="1" w:styleId="MarginEdition">
    <w:name w:val="Margin Edition"/>
    <w:basedOn w:val="MarginNote"/>
    <w:rsid w:val="00B212FF"/>
    <w:pPr>
      <w:spacing w:before="0" w:after="0"/>
    </w:pPr>
    <w:rPr>
      <w:rFonts w:ascii="Times New Roman" w:hAnsi="Times New Roman"/>
      <w:color w:val="999999"/>
    </w:rPr>
  </w:style>
  <w:style w:type="paragraph" w:customStyle="1" w:styleId="Spacer">
    <w:name w:val="Spacer"/>
    <w:basedOn w:val="Normal"/>
    <w:rsid w:val="00B212FF"/>
    <w:rPr>
      <w:sz w:val="2"/>
      <w:szCs w:val="2"/>
    </w:rPr>
  </w:style>
  <w:style w:type="character" w:customStyle="1" w:styleId="Small">
    <w:name w:val="Small"/>
    <w:basedOn w:val="DefaultParagraphFont"/>
    <w:rsid w:val="00B212FF"/>
    <w:rPr>
      <w:sz w:val="16"/>
    </w:rPr>
  </w:style>
  <w:style w:type="paragraph" w:customStyle="1" w:styleId="WideTable">
    <w:name w:val="Wide Table"/>
    <w:basedOn w:val="Normal"/>
    <w:rsid w:val="00B212FF"/>
    <w:pPr>
      <w:ind w:left="-1418"/>
    </w:pPr>
    <w:rPr>
      <w:sz w:val="2"/>
      <w:szCs w:val="2"/>
    </w:rPr>
  </w:style>
  <w:style w:type="character" w:styleId="PageNumber">
    <w:name w:val="page number"/>
    <w:basedOn w:val="DefaultParagraphFont"/>
    <w:rsid w:val="00B212FF"/>
  </w:style>
  <w:style w:type="paragraph" w:styleId="Quote">
    <w:name w:val="Quote"/>
    <w:basedOn w:val="Heading1"/>
    <w:link w:val="QuoteChar"/>
    <w:qFormat/>
    <w:rsid w:val="00B212FF"/>
    <w:rPr>
      <w:b w:val="0"/>
      <w:sz w:val="72"/>
      <w:szCs w:val="72"/>
      <w:lang w:val="en-NZ"/>
    </w:rPr>
  </w:style>
  <w:style w:type="character" w:customStyle="1" w:styleId="QuoteChar">
    <w:name w:val="Quote Char"/>
    <w:basedOn w:val="DefaultParagraphFont"/>
    <w:link w:val="Quote"/>
    <w:rsid w:val="00B212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12FF"/>
    <w:pPr>
      <w:pageBreakBefore/>
    </w:pPr>
  </w:style>
  <w:style w:type="paragraph" w:customStyle="1" w:styleId="Border">
    <w:name w:val="Border"/>
    <w:basedOn w:val="Normal"/>
    <w:qFormat/>
    <w:rsid w:val="00B212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12FF"/>
    <w:rPr>
      <w:b/>
      <w:bCs/>
      <w:i/>
      <w:iCs/>
      <w:color w:val="auto"/>
    </w:rPr>
  </w:style>
  <w:style w:type="paragraph" w:styleId="IntenseQuote">
    <w:name w:val="Intense Quote"/>
    <w:basedOn w:val="Normal"/>
    <w:next w:val="Normal"/>
    <w:link w:val="IntenseQuoteChar"/>
    <w:uiPriority w:val="30"/>
    <w:qFormat/>
    <w:rsid w:val="00B212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12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12FF"/>
    <w:rPr>
      <w:smallCaps/>
      <w:color w:val="auto"/>
      <w:u w:val="single"/>
    </w:rPr>
  </w:style>
  <w:style w:type="character" w:styleId="IntenseReference">
    <w:name w:val="Intense Reference"/>
    <w:basedOn w:val="DefaultParagraphFont"/>
    <w:uiPriority w:val="32"/>
    <w:qFormat/>
    <w:rsid w:val="00B212FF"/>
    <w:rPr>
      <w:b/>
      <w:bCs/>
      <w:smallCaps/>
      <w:color w:val="auto"/>
      <w:spacing w:val="5"/>
      <w:u w:val="single"/>
    </w:rPr>
  </w:style>
  <w:style w:type="paragraph" w:customStyle="1" w:styleId="2ColumnHeading">
    <w:name w:val="2Column Heading"/>
    <w:basedOn w:val="BodyText"/>
    <w:qFormat/>
    <w:rsid w:val="00B212FF"/>
    <w:pPr>
      <w:spacing w:after="60"/>
      <w:ind w:left="-2268"/>
    </w:pPr>
    <w:rPr>
      <w:b/>
    </w:rPr>
  </w:style>
  <w:style w:type="paragraph" w:customStyle="1" w:styleId="Heading1TOC">
    <w:name w:val="Heading1 TOC"/>
    <w:basedOn w:val="Normal"/>
    <w:qFormat/>
    <w:rsid w:val="00B212FF"/>
    <w:pPr>
      <w:spacing w:before="240" w:after="120"/>
    </w:pPr>
    <w:rPr>
      <w:rFonts w:ascii="Times New Roman" w:hAnsi="Times New Roman"/>
      <w:b/>
      <w:sz w:val="32"/>
    </w:rPr>
  </w:style>
  <w:style w:type="paragraph" w:customStyle="1" w:styleId="Heading2TOC">
    <w:name w:val="Heading2 TOC"/>
    <w:basedOn w:val="Normal"/>
    <w:qFormat/>
    <w:rsid w:val="00B212FF"/>
    <w:pPr>
      <w:spacing w:before="240" w:after="60"/>
    </w:pPr>
    <w:rPr>
      <w:rFonts w:ascii="Times New Roman" w:hAnsi="Times New Roman"/>
      <w:b/>
      <w:sz w:val="28"/>
    </w:rPr>
  </w:style>
  <w:style w:type="character" w:customStyle="1" w:styleId="Underline">
    <w:name w:val="Underline"/>
    <w:basedOn w:val="DefaultParagraphFont"/>
    <w:qFormat/>
    <w:rsid w:val="00B212FF"/>
    <w:rPr>
      <w:u w:val="single"/>
    </w:rPr>
  </w:style>
  <w:style w:type="paragraph" w:styleId="BalloonText">
    <w:name w:val="Balloon Text"/>
    <w:basedOn w:val="Normal"/>
    <w:link w:val="BalloonTextChar"/>
    <w:rsid w:val="00B212FF"/>
    <w:rPr>
      <w:rFonts w:ascii="Tahoma" w:hAnsi="Tahoma" w:cs="Tahoma"/>
      <w:sz w:val="16"/>
      <w:szCs w:val="16"/>
    </w:rPr>
  </w:style>
  <w:style w:type="character" w:customStyle="1" w:styleId="BalloonTextChar">
    <w:name w:val="Balloon Text Char"/>
    <w:basedOn w:val="DefaultParagraphFont"/>
    <w:link w:val="BalloonText"/>
    <w:rsid w:val="00B212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12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12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12FF"/>
    <w:rPr>
      <w:b/>
      <w:color w:val="660033"/>
      <w:spacing w:val="0"/>
    </w:rPr>
  </w:style>
  <w:style w:type="paragraph" w:customStyle="1" w:styleId="Nameditemlist">
    <w:name w:val="Named item list"/>
    <w:basedOn w:val="BodyText"/>
    <w:qFormat/>
    <w:rsid w:val="00B212FF"/>
    <w:pPr>
      <w:tabs>
        <w:tab w:val="left" w:pos="2835"/>
      </w:tabs>
      <w:ind w:left="2835" w:hanging="2835"/>
    </w:pPr>
  </w:style>
  <w:style w:type="paragraph" w:customStyle="1" w:styleId="BodyTextnopadding">
    <w:name w:val="Body Text no padding"/>
    <w:basedOn w:val="BodyText"/>
    <w:qFormat/>
    <w:rsid w:val="00B212FF"/>
    <w:pPr>
      <w:spacing w:before="0" w:after="0"/>
    </w:pPr>
  </w:style>
  <w:style w:type="paragraph" w:customStyle="1" w:styleId="BodyTextBold">
    <w:name w:val="Body Text Bold"/>
    <w:basedOn w:val="BodyText"/>
    <w:qFormat/>
    <w:rsid w:val="00B212FF"/>
    <w:rPr>
      <w:b/>
    </w:rPr>
  </w:style>
  <w:style w:type="character" w:styleId="Hyperlink">
    <w:name w:val="Hyperlink"/>
    <w:basedOn w:val="DefaultParagraphFont"/>
    <w:uiPriority w:val="99"/>
    <w:unhideWhenUsed/>
    <w:rsid w:val="000910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815</Words>
  <Characters>5494</Characters>
  <Application>Microsoft Office Word</Application>
  <DocSecurity>0</DocSecurity>
  <Lines>249</Lines>
  <Paragraphs>119</Paragraphs>
  <ScaleCrop>false</ScaleCrop>
  <Company>Author-it Software Corporation Ltd.</Company>
  <LinksUpToDate>false</LinksUpToDate>
  <CharactersWithSpaces>6190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CPPSIS6035 Conduct complex engineering set-out surveys</dc:title>
  <dc:subject>Approved</dc:subject>
  <dc:creator>Artibus Innovation</dc:creator>
  <cp:keywords>Release: 1</cp:keywords>
  <dc:description>Review Date: 12 April 2008</dc:description>
  <cp:lastModifiedBy>HSD_TPCMSd.prod</cp:lastModifiedBy>
  <cp:revision>3</cp:revision>
  <dcterms:created xsi:type="dcterms:W3CDTF">2021-01-07T13:50:00Z</dcterms:created>
  <dcterms:modified xsi:type="dcterms:W3CDTF">2021-01-07T13:50:00Z</dcterms:modified>
</cp:coreProperties>
</file>