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01E19" w:rsidP="00101E19">
      <w:pPr>
        <w:pStyle w:val="Title"/>
      </w:pPr>
      <w:r>
        <w:fldChar w:fldCharType="begin"/>
      </w:r>
      <w:r>
        <w:instrText xml:space="preserve"> TITLE   \* MERGEFORMAT </w:instrText>
      </w:r>
      <w:r>
        <w:fldChar w:fldCharType="separate"/>
      </w:r>
      <w:r>
        <w:t>CPPSIS6034 Conduct mining geology operations</w:t>
      </w:r>
      <w:r>
        <w:fldChar w:fldCharType="end"/>
      </w:r>
    </w:p>
    <w:p w:rsidR="00101E19" w:rsidP="00101E19">
      <w:pPr>
        <w:pStyle w:val="Version"/>
        <w:sectPr w:rsidSect="00B1034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1034B" w:rsidP="00B1034B">
      <w:pPr>
        <w:pStyle w:val="SuperHeading"/>
      </w:pPr>
      <w:r w:rsidRPr="00B1034B">
        <w:t>CPPSIS6034 Conduct mining geology operations</w:t>
      </w:r>
    </w:p>
    <w:p w:rsidR="00000000" w:rsidRPr="00B1034B" w:rsidP="00B1034B">
      <w:pPr>
        <w:pStyle w:val="Heading1"/>
      </w:pPr>
      <w:bookmarkStart w:id="1" w:name="O_838192"/>
      <w:bookmarkEnd w:id="1"/>
      <w:r w:rsidRPr="00B1034B">
        <w:t>Modification History</w:t>
      </w:r>
    </w:p>
    <w:p w:rsidR="00000000" w:rsidRPr="00B1034B" w:rsidP="00101E19">
      <w:pPr>
        <w:pStyle w:val="BodyText"/>
      </w:pPr>
      <w:r w:rsidRPr="00B1034B">
        <w:t>Release 1.</w:t>
      </w:r>
    </w:p>
    <w:p w:rsidR="00000000" w:rsidRPr="00B1034B" w:rsidP="00101E19">
      <w:pPr>
        <w:pStyle w:val="BodyText"/>
      </w:pPr>
      <w:r w:rsidRPr="00B1034B">
        <w:t>Replaces superseded equivalent CPPSIS6034A Conduct mining geology operations.</w:t>
      </w:r>
    </w:p>
    <w:p w:rsidR="00000000" w:rsidRPr="00B1034B" w:rsidP="00101E19">
      <w:pPr>
        <w:pStyle w:val="BodyText"/>
      </w:pPr>
      <w:r w:rsidRPr="00B1034B">
        <w:t>This version first released with CPP Property Services Training Package Version 3.</w:t>
      </w:r>
    </w:p>
    <w:p w:rsidR="00000000" w:rsidRPr="00B1034B" w:rsidP="00B1034B">
      <w:pPr>
        <w:pStyle w:val="Heading1"/>
      </w:pPr>
      <w:bookmarkStart w:id="2" w:name="O_838199"/>
      <w:bookmarkEnd w:id="2"/>
      <w:r w:rsidRPr="00B1034B">
        <w:t>Application</w:t>
      </w:r>
    </w:p>
    <w:p w:rsidR="00000000" w:rsidRPr="00B1034B" w:rsidP="00101E19">
      <w:pPr>
        <w:pStyle w:val="BodyText"/>
      </w:pPr>
      <w:r w:rsidRPr="00B1034B">
        <w:t>This unit of competency specifie</w:t>
      </w:r>
      <w:r w:rsidRPr="00B1034B">
        <w:t>s the outcomes required to conduct mining geology operations. The unit covers analysing organisational priorities and specifications to identify projects; and planning projects to identify and document factors, such as objectives, deliverables, risks, cons</w:t>
      </w:r>
      <w:r w:rsidRPr="00B1034B">
        <w:t>traints and equipment requirements, in order to comply with regulations and legislation applicable to the mining industry. The unit also covers analysing mining geology to assess and recognise geological aspects of possible ore deposits, rock types and str</w:t>
      </w:r>
      <w:r w:rsidRPr="00B1034B">
        <w:t xml:space="preserve">uctures, and levels of rock stability and ground support; using surveying techniques to take measurements and reduce and manipulate spatial data to assist in analysing the geology of the mining operation. The unit requires the ability to implement project </w:t>
      </w:r>
      <w:r w:rsidRPr="00B1034B">
        <w:t>management activities relating to scheduling, measuring, recording, monitoring and reporting work progress. It also requires the ability to evaluate project activities and outcomes for compliance with specifications. It requires knowledge of underground mi</w:t>
      </w:r>
      <w:r w:rsidRPr="00B1034B">
        <w:t>ning and mining geology operations.</w:t>
      </w:r>
    </w:p>
    <w:p w:rsidR="00000000" w:rsidRPr="00B1034B" w:rsidP="00101E19">
      <w:pPr>
        <w:pStyle w:val="BodyText"/>
      </w:pPr>
      <w:r w:rsidRPr="00B1034B">
        <w:t>The unit supports surveyors of mine geology who work in a surveying team in a mining environment.</w:t>
      </w:r>
    </w:p>
    <w:p w:rsidR="00000000" w:rsidRPr="00B1034B" w:rsidP="00101E19">
      <w:pPr>
        <w:pStyle w:val="BodyText"/>
      </w:pPr>
      <w:r w:rsidRPr="00B1034B">
        <w:t>Licensing, legislative, regulatory or certification requirements apply to this unit in some States where mining surveyin</w:t>
      </w:r>
      <w:r w:rsidRPr="00B1034B">
        <w:t>g must be undertaken under the supervision of a registered surveyor. Relevant state and territory regulatory authorities should be consulted to confirm those requirements.</w:t>
      </w:r>
    </w:p>
    <w:p w:rsidR="00000000" w:rsidRPr="00B1034B" w:rsidP="00B1034B">
      <w:pPr>
        <w:pStyle w:val="Heading1"/>
      </w:pPr>
      <w:bookmarkStart w:id="3" w:name="O_838198"/>
      <w:bookmarkEnd w:id="3"/>
      <w:r w:rsidRPr="00B1034B">
        <w:t>Pre-requisite Unit</w:t>
      </w:r>
    </w:p>
    <w:p w:rsidR="00000000" w:rsidRPr="00B1034B" w:rsidP="00101E19">
      <w:pPr>
        <w:pStyle w:val="BodyText"/>
      </w:pPr>
      <w:r w:rsidRPr="00B1034B">
        <w:t>Nil</w:t>
      </w:r>
    </w:p>
    <w:p w:rsidR="00000000" w:rsidRPr="00B1034B" w:rsidP="00B1034B">
      <w:pPr>
        <w:pStyle w:val="Heading1"/>
      </w:pPr>
      <w:bookmarkStart w:id="4" w:name="O_838197"/>
      <w:bookmarkEnd w:id="4"/>
      <w:r w:rsidRPr="00B1034B">
        <w:t>Unit Sector</w:t>
      </w:r>
    </w:p>
    <w:p w:rsidR="00000000" w:rsidRPr="00B1034B" w:rsidP="00101E19">
      <w:pPr>
        <w:pStyle w:val="BodyText"/>
      </w:pPr>
      <w:r w:rsidRPr="00B1034B">
        <w:t>Surveying and s</w:t>
      </w:r>
      <w:r w:rsidRPr="00B1034B">
        <w:t>patial information services</w:t>
      </w:r>
    </w:p>
    <w:p w:rsidR="00000000" w:rsidRPr="00B1034B" w:rsidP="00B1034B">
      <w:pPr>
        <w:pStyle w:val="Heading1"/>
      </w:pPr>
      <w:bookmarkStart w:id="5" w:name="O_838196"/>
      <w:bookmarkEnd w:id="5"/>
      <w:r w:rsidRPr="00B1034B">
        <w:t>Elements and Performance Criteria</w:t>
      </w:r>
    </w:p>
    <w:tbl>
      <w:tblPr>
        <w:tblW w:w="0" w:type="auto"/>
        <w:tblLayout w:type="fixed"/>
        <w:tblCellMar>
          <w:left w:w="62" w:type="dxa"/>
          <w:right w:w="62" w:type="dxa"/>
        </w:tblCellMar>
        <w:tblLook w:val="0000"/>
      </w:tblPr>
      <w:tblGrid>
        <w:gridCol w:w="616"/>
        <w:gridCol w:w="1962"/>
        <w:gridCol w:w="770"/>
        <w:gridCol w:w="5610"/>
      </w:tblGrid>
      <w:tr w:rsidTr="00B1034B">
        <w:tblPrEx>
          <w:tblW w:w="0" w:type="auto"/>
          <w:tblLayout w:type="fixed"/>
          <w:tblCellMar>
            <w:left w:w="62" w:type="dxa"/>
            <w:right w:w="62" w:type="dxa"/>
          </w:tblCellMar>
          <w:tblLook w:val="0000"/>
        </w:tblPrEx>
        <w:tc>
          <w:tcPr>
            <w:tcW w:w="2578" w:type="dxa"/>
            <w:gridSpan w:val="2"/>
            <w:tcBorders>
              <w:top w:val="nil"/>
              <w:left w:val="nil"/>
              <w:bottom w:val="nil"/>
              <w:right w:val="nil"/>
            </w:tcBorders>
            <w:tcMar>
              <w:top w:w="0" w:type="dxa"/>
              <w:left w:w="62" w:type="dxa"/>
              <w:bottom w:w="0" w:type="dxa"/>
              <w:right w:w="62" w:type="dxa"/>
            </w:tcMar>
          </w:tcPr>
          <w:p w:rsidR="00000000" w:rsidP="00B1034B">
            <w:pPr>
              <w:pStyle w:val="BodyText"/>
              <w:rPr>
                <w:lang w:val="en-NZ"/>
              </w:rPr>
            </w:pPr>
            <w:r w:rsidRPr="00B1034B">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B1034B">
            <w:pPr>
              <w:pStyle w:val="BodyText"/>
              <w:rPr>
                <w:lang w:val="en-NZ"/>
              </w:rPr>
            </w:pPr>
            <w:r w:rsidRPr="00B1034B">
              <w:t>Performance criteria describe the performance needed to demonstrate achievement of the element. Where bold italicised text is used, fu</w:t>
            </w:r>
            <w:r w:rsidRPr="00B1034B">
              <w:t>rther information is detailed in the range of conditions.</w:t>
            </w:r>
          </w:p>
        </w:tc>
      </w:tr>
      <w:tr w:rsidTr="00B1034B">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B1034B">
            <w:pPr>
              <w:pStyle w:val="BodyText"/>
              <w:rPr>
                <w:lang w:val="en-NZ"/>
              </w:rPr>
            </w:pPr>
            <w:r w:rsidRPr="00B1034B">
              <w:t>1.</w:t>
            </w:r>
          </w:p>
        </w:tc>
        <w:tc>
          <w:tcPr>
            <w:tcW w:w="1962" w:type="dxa"/>
            <w:vMerge w:val="restart"/>
            <w:tcBorders>
              <w:top w:val="nil"/>
              <w:left w:val="nil"/>
              <w:bottom w:val="nil"/>
              <w:right w:val="nil"/>
            </w:tcBorders>
            <w:tcMar>
              <w:top w:w="0" w:type="dxa"/>
              <w:left w:w="62" w:type="dxa"/>
              <w:bottom w:w="0" w:type="dxa"/>
              <w:right w:w="62" w:type="dxa"/>
            </w:tcMar>
          </w:tcPr>
          <w:p w:rsidR="00000000" w:rsidP="00B1034B">
            <w:pPr>
              <w:pStyle w:val="BodyText"/>
              <w:rPr>
                <w:lang w:val="en-NZ"/>
              </w:rPr>
            </w:pPr>
            <w:r w:rsidRPr="00B1034B">
              <w:t>Identify and plan project.</w:t>
            </w:r>
          </w:p>
        </w:tc>
        <w:tc>
          <w:tcPr>
            <w:tcW w:w="770" w:type="dxa"/>
            <w:tcBorders>
              <w:top w:val="nil"/>
              <w:left w:val="nil"/>
              <w:bottom w:val="nil"/>
              <w:right w:val="nil"/>
            </w:tcBorders>
            <w:tcMar>
              <w:top w:w="0" w:type="dxa"/>
              <w:left w:w="62" w:type="dxa"/>
              <w:bottom w:w="0" w:type="dxa"/>
              <w:right w:w="62" w:type="dxa"/>
            </w:tcMar>
          </w:tcPr>
          <w:p w:rsidR="00000000" w:rsidP="00B1034B">
            <w:pPr>
              <w:pStyle w:val="BodyText"/>
              <w:rPr>
                <w:lang w:val="en-NZ"/>
              </w:rPr>
            </w:pPr>
            <w:r w:rsidRPr="00B1034B">
              <w:t>1.1.</w:t>
            </w:r>
          </w:p>
        </w:tc>
        <w:tc>
          <w:tcPr>
            <w:tcW w:w="5610" w:type="dxa"/>
            <w:tcBorders>
              <w:top w:val="nil"/>
              <w:left w:val="nil"/>
              <w:bottom w:val="nil"/>
              <w:right w:val="nil"/>
            </w:tcBorders>
            <w:tcMar>
              <w:top w:w="0" w:type="dxa"/>
              <w:left w:w="62" w:type="dxa"/>
              <w:bottom w:w="0" w:type="dxa"/>
              <w:right w:w="62" w:type="dxa"/>
            </w:tcMar>
          </w:tcPr>
          <w:p w:rsidR="00000000" w:rsidP="00B1034B">
            <w:pPr>
              <w:pStyle w:val="BodyText"/>
              <w:rPr>
                <w:lang w:val="en-NZ"/>
              </w:rPr>
            </w:pPr>
            <w:r w:rsidRPr="00B1034B">
              <w:t>Organisational priorities are determined to identify project objectives and specifications.</w:t>
            </w:r>
          </w:p>
        </w:tc>
      </w:tr>
      <w:tr w:rsidTr="00B1034B">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1034B">
            <w:pPr>
              <w:pStyle w:val="BodyText"/>
              <w:rPr>
                <w:lang w:val="en-NZ"/>
              </w:rPr>
            </w:pPr>
            <w:r w:rsidRPr="00B1034B">
              <w:t>1.2.</w:t>
            </w:r>
          </w:p>
        </w:tc>
        <w:tc>
          <w:tcPr>
            <w:tcW w:w="5610" w:type="dxa"/>
            <w:tcBorders>
              <w:top w:val="nil"/>
              <w:left w:val="nil"/>
              <w:bottom w:val="nil"/>
              <w:right w:val="nil"/>
            </w:tcBorders>
            <w:tcMar>
              <w:top w:w="0" w:type="dxa"/>
              <w:left w:w="62" w:type="dxa"/>
              <w:bottom w:w="0" w:type="dxa"/>
              <w:right w:w="62" w:type="dxa"/>
            </w:tcMar>
          </w:tcPr>
          <w:p w:rsidR="00000000" w:rsidP="00B1034B">
            <w:pPr>
              <w:pStyle w:val="BodyText"/>
              <w:rPr>
                <w:lang w:val="en-NZ"/>
              </w:rPr>
            </w:pPr>
            <w:r w:rsidRPr="00B1034B">
              <w:t xml:space="preserve">Project specifications are presented to </w:t>
            </w:r>
            <w:r w:rsidRPr="00B1034B">
              <w:rPr>
                <w:rStyle w:val="BoldandItalics"/>
              </w:rPr>
              <w:t>appropriate persons</w:t>
            </w:r>
            <w:r w:rsidRPr="00B1034B">
              <w:t>.</w:t>
            </w:r>
          </w:p>
        </w:tc>
      </w:tr>
      <w:tr w:rsidTr="00B1034B">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1034B">
            <w:pPr>
              <w:pStyle w:val="BodyText"/>
              <w:rPr>
                <w:lang w:val="en-NZ"/>
              </w:rPr>
            </w:pPr>
            <w:r w:rsidRPr="00B1034B">
              <w:t>1.3.</w:t>
            </w:r>
          </w:p>
        </w:tc>
        <w:tc>
          <w:tcPr>
            <w:tcW w:w="5610" w:type="dxa"/>
            <w:tcBorders>
              <w:top w:val="nil"/>
              <w:left w:val="nil"/>
              <w:bottom w:val="nil"/>
              <w:right w:val="nil"/>
            </w:tcBorders>
            <w:tcMar>
              <w:top w:w="0" w:type="dxa"/>
              <w:left w:w="62" w:type="dxa"/>
              <w:bottom w:w="0" w:type="dxa"/>
              <w:right w:w="62" w:type="dxa"/>
            </w:tcMar>
          </w:tcPr>
          <w:p w:rsidR="00000000" w:rsidP="00B1034B">
            <w:pPr>
              <w:pStyle w:val="BodyText"/>
              <w:rPr>
                <w:lang w:val="en-NZ"/>
              </w:rPr>
            </w:pPr>
            <w:r w:rsidRPr="00B1034B">
              <w:t xml:space="preserve">Project objectives, deliverables, constraints, </w:t>
            </w:r>
            <w:r w:rsidRPr="00B1034B">
              <w:rPr>
                <w:rStyle w:val="BoldandItalics"/>
              </w:rPr>
              <w:t>environmental considerations</w:t>
            </w:r>
            <w:r w:rsidRPr="00B1034B">
              <w:t xml:space="preserve"> and work activities are planned and documented according to organisational requirements.</w:t>
            </w:r>
          </w:p>
        </w:tc>
      </w:tr>
      <w:tr w:rsidTr="00B1034B">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1034B">
            <w:pPr>
              <w:pStyle w:val="BodyText"/>
              <w:rPr>
                <w:lang w:val="en-NZ"/>
              </w:rPr>
            </w:pPr>
            <w:r w:rsidRPr="00B1034B">
              <w:t>1.4.</w:t>
            </w:r>
          </w:p>
        </w:tc>
        <w:tc>
          <w:tcPr>
            <w:tcW w:w="5610" w:type="dxa"/>
            <w:tcBorders>
              <w:top w:val="nil"/>
              <w:left w:val="nil"/>
              <w:bottom w:val="nil"/>
              <w:right w:val="nil"/>
            </w:tcBorders>
            <w:tcMar>
              <w:top w:w="0" w:type="dxa"/>
              <w:left w:w="62" w:type="dxa"/>
              <w:bottom w:w="0" w:type="dxa"/>
              <w:right w:w="62" w:type="dxa"/>
            </w:tcMar>
          </w:tcPr>
          <w:p w:rsidR="00000000" w:rsidP="00B1034B">
            <w:pPr>
              <w:pStyle w:val="BodyText"/>
              <w:rPr>
                <w:lang w:val="en-NZ"/>
              </w:rPr>
            </w:pPr>
            <w:r w:rsidRPr="00B1034B">
              <w:t>Mining regulations with regard to management and safety are detailed according to legislative and organisational requirements.</w:t>
            </w:r>
          </w:p>
        </w:tc>
      </w:tr>
      <w:tr w:rsidTr="00B1034B">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1034B">
            <w:pPr>
              <w:pStyle w:val="BodyText"/>
              <w:rPr>
                <w:lang w:val="en-NZ"/>
              </w:rPr>
            </w:pPr>
            <w:r w:rsidRPr="00B1034B">
              <w:t>1.5.</w:t>
            </w:r>
          </w:p>
        </w:tc>
        <w:tc>
          <w:tcPr>
            <w:tcW w:w="5610" w:type="dxa"/>
            <w:tcBorders>
              <w:top w:val="nil"/>
              <w:left w:val="nil"/>
              <w:bottom w:val="nil"/>
              <w:right w:val="nil"/>
            </w:tcBorders>
            <w:tcMar>
              <w:top w:w="0" w:type="dxa"/>
              <w:left w:w="62" w:type="dxa"/>
              <w:bottom w:w="0" w:type="dxa"/>
              <w:right w:w="62" w:type="dxa"/>
            </w:tcMar>
          </w:tcPr>
          <w:p w:rsidR="00000000" w:rsidP="00B1034B">
            <w:pPr>
              <w:pStyle w:val="BodyText"/>
              <w:rPr>
                <w:lang w:val="en-NZ"/>
              </w:rPr>
            </w:pPr>
            <w:r w:rsidRPr="00B1034B">
              <w:t>Equipment is selected and checked to ensure correct operation and functionality according to organisational requirements.</w:t>
            </w:r>
          </w:p>
        </w:tc>
      </w:tr>
      <w:tr w:rsidTr="00B1034B">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5610" w:type="dxa"/>
            <w:tcBorders>
              <w:top w:val="nil"/>
              <w:left w:val="nil"/>
              <w:bottom w:val="nil"/>
              <w:right w:val="nil"/>
            </w:tcBorders>
            <w:tcMar>
              <w:top w:w="0" w:type="dxa"/>
              <w:left w:w="62" w:type="dxa"/>
              <w:bottom w:w="0" w:type="dxa"/>
              <w:right w:w="62" w:type="dxa"/>
            </w:tcMar>
          </w:tcPr>
          <w:p w:rsidR="00000000" w:rsidP="00B1034B">
            <w:pPr>
              <w:pStyle w:val="BodyText"/>
              <w:rPr>
                <w:lang w:val="en-NZ"/>
              </w:rPr>
            </w:pPr>
          </w:p>
        </w:tc>
      </w:tr>
      <w:tr w:rsidTr="00B1034B">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B1034B">
            <w:pPr>
              <w:pStyle w:val="BodyText"/>
              <w:rPr>
                <w:lang w:val="en-NZ"/>
              </w:rPr>
            </w:pPr>
            <w:r w:rsidRPr="00B1034B">
              <w:t>2.</w:t>
            </w:r>
          </w:p>
        </w:tc>
        <w:tc>
          <w:tcPr>
            <w:tcW w:w="1962" w:type="dxa"/>
            <w:vMerge w:val="restart"/>
            <w:tcBorders>
              <w:top w:val="nil"/>
              <w:left w:val="nil"/>
              <w:bottom w:val="nil"/>
              <w:right w:val="nil"/>
            </w:tcBorders>
            <w:tcMar>
              <w:top w:w="0" w:type="dxa"/>
              <w:left w:w="62" w:type="dxa"/>
              <w:bottom w:w="0" w:type="dxa"/>
              <w:right w:w="62" w:type="dxa"/>
            </w:tcMar>
          </w:tcPr>
          <w:p w:rsidR="00000000" w:rsidP="00B1034B">
            <w:pPr>
              <w:pStyle w:val="BodyText"/>
              <w:rPr>
                <w:lang w:val="en-NZ"/>
              </w:rPr>
            </w:pPr>
            <w:r w:rsidRPr="00B1034B">
              <w:t>Analyse mining geology.</w:t>
            </w:r>
          </w:p>
        </w:tc>
        <w:tc>
          <w:tcPr>
            <w:tcW w:w="770" w:type="dxa"/>
            <w:tcBorders>
              <w:top w:val="nil"/>
              <w:left w:val="nil"/>
              <w:bottom w:val="nil"/>
              <w:right w:val="nil"/>
            </w:tcBorders>
            <w:tcMar>
              <w:top w:w="0" w:type="dxa"/>
              <w:left w:w="62" w:type="dxa"/>
              <w:bottom w:w="0" w:type="dxa"/>
              <w:right w:w="62" w:type="dxa"/>
            </w:tcMar>
          </w:tcPr>
          <w:p w:rsidR="00000000" w:rsidP="00B1034B">
            <w:pPr>
              <w:pStyle w:val="BodyText"/>
              <w:rPr>
                <w:lang w:val="en-NZ"/>
              </w:rPr>
            </w:pPr>
            <w:r w:rsidRPr="00B1034B">
              <w:t>2.1.</w:t>
            </w:r>
          </w:p>
        </w:tc>
        <w:tc>
          <w:tcPr>
            <w:tcW w:w="5610" w:type="dxa"/>
            <w:tcBorders>
              <w:top w:val="nil"/>
              <w:left w:val="nil"/>
              <w:bottom w:val="nil"/>
              <w:right w:val="nil"/>
            </w:tcBorders>
            <w:tcMar>
              <w:top w:w="0" w:type="dxa"/>
              <w:left w:w="62" w:type="dxa"/>
              <w:bottom w:w="0" w:type="dxa"/>
              <w:right w:w="62" w:type="dxa"/>
            </w:tcMar>
          </w:tcPr>
          <w:p w:rsidR="00000000" w:rsidP="00B1034B">
            <w:pPr>
              <w:pStyle w:val="BodyText"/>
              <w:rPr>
                <w:lang w:val="en-NZ"/>
              </w:rPr>
            </w:pPr>
            <w:r w:rsidRPr="00B1034B">
              <w:t>Geological aspects of possible ore deposits are identified by assessing the environment, and information is verified.</w:t>
            </w:r>
          </w:p>
        </w:tc>
      </w:tr>
      <w:tr w:rsidTr="00B1034B">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1034B">
            <w:pPr>
              <w:pStyle w:val="BodyText"/>
              <w:rPr>
                <w:lang w:val="en-NZ"/>
              </w:rPr>
            </w:pPr>
            <w:r w:rsidRPr="00B1034B">
              <w:t>2.2.</w:t>
            </w:r>
          </w:p>
        </w:tc>
        <w:tc>
          <w:tcPr>
            <w:tcW w:w="5610" w:type="dxa"/>
            <w:tcBorders>
              <w:top w:val="nil"/>
              <w:left w:val="nil"/>
              <w:bottom w:val="nil"/>
              <w:right w:val="nil"/>
            </w:tcBorders>
            <w:tcMar>
              <w:top w:w="0" w:type="dxa"/>
              <w:left w:w="62" w:type="dxa"/>
              <w:bottom w:w="0" w:type="dxa"/>
              <w:right w:w="62" w:type="dxa"/>
            </w:tcMar>
          </w:tcPr>
          <w:p w:rsidR="00000000" w:rsidP="00B1034B">
            <w:pPr>
              <w:pStyle w:val="BodyText"/>
              <w:rPr>
                <w:lang w:val="en-NZ"/>
              </w:rPr>
            </w:pPr>
            <w:r w:rsidRPr="00B1034B">
              <w:t>Rock types and structures fundamental to mining operations a</w:t>
            </w:r>
            <w:r w:rsidRPr="00B1034B">
              <w:t>re identified and analysed according to project specifications.</w:t>
            </w:r>
          </w:p>
        </w:tc>
      </w:tr>
      <w:tr w:rsidTr="00B1034B">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1034B">
            <w:pPr>
              <w:pStyle w:val="BodyText"/>
              <w:rPr>
                <w:lang w:val="en-NZ"/>
              </w:rPr>
            </w:pPr>
            <w:r w:rsidRPr="00B1034B">
              <w:t>2.3.</w:t>
            </w:r>
          </w:p>
        </w:tc>
        <w:tc>
          <w:tcPr>
            <w:tcW w:w="5610" w:type="dxa"/>
            <w:tcBorders>
              <w:top w:val="nil"/>
              <w:left w:val="nil"/>
              <w:bottom w:val="nil"/>
              <w:right w:val="nil"/>
            </w:tcBorders>
            <w:tcMar>
              <w:top w:w="0" w:type="dxa"/>
              <w:left w:w="62" w:type="dxa"/>
              <w:bottom w:w="0" w:type="dxa"/>
              <w:right w:w="62" w:type="dxa"/>
            </w:tcMar>
          </w:tcPr>
          <w:p w:rsidR="00000000" w:rsidP="00B1034B">
            <w:pPr>
              <w:pStyle w:val="BodyText"/>
              <w:rPr>
                <w:lang w:val="en-NZ"/>
              </w:rPr>
            </w:pPr>
            <w:r w:rsidRPr="00B1034B">
              <w:t>Levels of rock stability and ground support requirements are observed according to project specifications.</w:t>
            </w:r>
          </w:p>
        </w:tc>
      </w:tr>
      <w:tr w:rsidTr="00B1034B">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1034B">
            <w:pPr>
              <w:pStyle w:val="BodyText"/>
              <w:rPr>
                <w:lang w:val="en-NZ"/>
              </w:rPr>
            </w:pPr>
            <w:r w:rsidRPr="00B1034B">
              <w:t>2.4.</w:t>
            </w:r>
          </w:p>
        </w:tc>
        <w:tc>
          <w:tcPr>
            <w:tcW w:w="5610" w:type="dxa"/>
            <w:tcBorders>
              <w:top w:val="nil"/>
              <w:left w:val="nil"/>
              <w:bottom w:val="nil"/>
              <w:right w:val="nil"/>
            </w:tcBorders>
            <w:tcMar>
              <w:top w:w="0" w:type="dxa"/>
              <w:left w:w="62" w:type="dxa"/>
              <w:bottom w:w="0" w:type="dxa"/>
              <w:right w:w="62" w:type="dxa"/>
            </w:tcMar>
          </w:tcPr>
          <w:p w:rsidR="00000000" w:rsidP="00B1034B">
            <w:pPr>
              <w:pStyle w:val="BodyText"/>
              <w:rPr>
                <w:lang w:val="en-NZ"/>
              </w:rPr>
            </w:pPr>
            <w:r w:rsidRPr="00B1034B">
              <w:t>Ore and minerals fundamental to mining operations are identified and analysed according to project specifications.</w:t>
            </w:r>
          </w:p>
        </w:tc>
      </w:tr>
      <w:tr w:rsidTr="00B1034B">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1034B">
            <w:pPr>
              <w:pStyle w:val="BodyText"/>
              <w:rPr>
                <w:lang w:val="en-NZ"/>
              </w:rPr>
            </w:pPr>
            <w:r w:rsidRPr="00B1034B">
              <w:t>2.5.</w:t>
            </w:r>
          </w:p>
        </w:tc>
        <w:tc>
          <w:tcPr>
            <w:tcW w:w="5610" w:type="dxa"/>
            <w:tcBorders>
              <w:top w:val="nil"/>
              <w:left w:val="nil"/>
              <w:bottom w:val="nil"/>
              <w:right w:val="nil"/>
            </w:tcBorders>
            <w:tcMar>
              <w:top w:w="0" w:type="dxa"/>
              <w:left w:w="62" w:type="dxa"/>
              <w:bottom w:w="0" w:type="dxa"/>
              <w:right w:w="62" w:type="dxa"/>
            </w:tcMar>
          </w:tcPr>
          <w:p w:rsidR="00000000" w:rsidP="00B1034B">
            <w:pPr>
              <w:pStyle w:val="BodyText"/>
              <w:rPr>
                <w:lang w:val="en-NZ"/>
              </w:rPr>
            </w:pPr>
            <w:r w:rsidRPr="00B1034B">
              <w:t>Methods for obtaining ore and mineral samples are identified and analysed according to project specifications.</w:t>
            </w:r>
          </w:p>
        </w:tc>
      </w:tr>
      <w:tr w:rsidTr="00B1034B">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1034B">
            <w:pPr>
              <w:pStyle w:val="BodyText"/>
              <w:rPr>
                <w:lang w:val="en-NZ"/>
              </w:rPr>
            </w:pPr>
            <w:r w:rsidRPr="00B1034B">
              <w:t>2.6.</w:t>
            </w:r>
          </w:p>
        </w:tc>
        <w:tc>
          <w:tcPr>
            <w:tcW w:w="5610" w:type="dxa"/>
            <w:tcBorders>
              <w:top w:val="nil"/>
              <w:left w:val="nil"/>
              <w:bottom w:val="nil"/>
              <w:right w:val="nil"/>
            </w:tcBorders>
            <w:tcMar>
              <w:top w:w="0" w:type="dxa"/>
              <w:left w:w="62" w:type="dxa"/>
              <w:bottom w:w="0" w:type="dxa"/>
              <w:right w:w="62" w:type="dxa"/>
            </w:tcMar>
          </w:tcPr>
          <w:p w:rsidR="00000000" w:rsidP="00B1034B">
            <w:pPr>
              <w:pStyle w:val="BodyText"/>
              <w:rPr>
                <w:lang w:val="en-NZ"/>
              </w:rPr>
            </w:pPr>
            <w:r w:rsidRPr="00B1034B">
              <w:t>Measurements a</w:t>
            </w:r>
            <w:r w:rsidRPr="00B1034B">
              <w:t>re conducted and spatial data is reduced and manipulated according to project specifications.</w:t>
            </w:r>
          </w:p>
        </w:tc>
      </w:tr>
      <w:tr w:rsidTr="00B1034B">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5610" w:type="dxa"/>
            <w:tcBorders>
              <w:top w:val="nil"/>
              <w:left w:val="nil"/>
              <w:bottom w:val="nil"/>
              <w:right w:val="nil"/>
            </w:tcBorders>
            <w:tcMar>
              <w:top w:w="0" w:type="dxa"/>
              <w:left w:w="62" w:type="dxa"/>
              <w:bottom w:w="0" w:type="dxa"/>
              <w:right w:w="62" w:type="dxa"/>
            </w:tcMar>
          </w:tcPr>
          <w:p w:rsidR="00000000" w:rsidP="00B1034B">
            <w:pPr>
              <w:pStyle w:val="BodyText"/>
              <w:rPr>
                <w:lang w:val="en-NZ"/>
              </w:rPr>
            </w:pPr>
          </w:p>
        </w:tc>
      </w:tr>
      <w:tr w:rsidTr="00B1034B">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B1034B">
            <w:pPr>
              <w:pStyle w:val="BodyText"/>
              <w:rPr>
                <w:lang w:val="en-NZ"/>
              </w:rPr>
            </w:pPr>
            <w:r w:rsidRPr="00B1034B">
              <w:t>3.</w:t>
            </w:r>
          </w:p>
        </w:tc>
        <w:tc>
          <w:tcPr>
            <w:tcW w:w="1962" w:type="dxa"/>
            <w:vMerge w:val="restart"/>
            <w:tcBorders>
              <w:top w:val="nil"/>
              <w:left w:val="nil"/>
              <w:bottom w:val="nil"/>
              <w:right w:val="nil"/>
            </w:tcBorders>
            <w:tcMar>
              <w:top w:w="0" w:type="dxa"/>
              <w:left w:w="62" w:type="dxa"/>
              <w:bottom w:w="0" w:type="dxa"/>
              <w:right w:w="62" w:type="dxa"/>
            </w:tcMar>
          </w:tcPr>
          <w:p w:rsidR="00000000" w:rsidP="00B1034B">
            <w:pPr>
              <w:pStyle w:val="BodyText"/>
              <w:rPr>
                <w:lang w:val="en-NZ"/>
              </w:rPr>
            </w:pPr>
            <w:r w:rsidRPr="00B1034B">
              <w:t>Manage project.</w:t>
            </w:r>
          </w:p>
        </w:tc>
        <w:tc>
          <w:tcPr>
            <w:tcW w:w="770" w:type="dxa"/>
            <w:tcBorders>
              <w:top w:val="nil"/>
              <w:left w:val="nil"/>
              <w:bottom w:val="nil"/>
              <w:right w:val="nil"/>
            </w:tcBorders>
            <w:tcMar>
              <w:top w:w="0" w:type="dxa"/>
              <w:left w:w="62" w:type="dxa"/>
              <w:bottom w:w="0" w:type="dxa"/>
              <w:right w:w="62" w:type="dxa"/>
            </w:tcMar>
          </w:tcPr>
          <w:p w:rsidR="00000000" w:rsidP="00B1034B">
            <w:pPr>
              <w:pStyle w:val="BodyText"/>
              <w:rPr>
                <w:lang w:val="en-NZ"/>
              </w:rPr>
            </w:pPr>
            <w:r w:rsidRPr="00B1034B">
              <w:t>3.1.</w:t>
            </w:r>
          </w:p>
        </w:tc>
        <w:tc>
          <w:tcPr>
            <w:tcW w:w="5610" w:type="dxa"/>
            <w:tcBorders>
              <w:top w:val="nil"/>
              <w:left w:val="nil"/>
              <w:bottom w:val="nil"/>
              <w:right w:val="nil"/>
            </w:tcBorders>
            <w:tcMar>
              <w:top w:w="0" w:type="dxa"/>
              <w:left w:w="62" w:type="dxa"/>
              <w:bottom w:w="0" w:type="dxa"/>
              <w:right w:w="62" w:type="dxa"/>
            </w:tcMar>
          </w:tcPr>
          <w:p w:rsidR="00000000" w:rsidP="00B1034B">
            <w:pPr>
              <w:pStyle w:val="BodyText"/>
              <w:rPr>
                <w:lang w:val="en-NZ"/>
              </w:rPr>
            </w:pPr>
            <w:r w:rsidRPr="00B1034B">
              <w:t>Project management mechanisms are implemented to schedule, record and report progress of activities in relation to agreed timeframes and plans.</w:t>
            </w:r>
          </w:p>
        </w:tc>
      </w:tr>
      <w:tr w:rsidTr="00B1034B">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1034B">
            <w:pPr>
              <w:pStyle w:val="BodyText"/>
              <w:rPr>
                <w:lang w:val="en-NZ"/>
              </w:rPr>
            </w:pPr>
            <w:r w:rsidRPr="00B1034B">
              <w:t>3.2.</w:t>
            </w:r>
          </w:p>
        </w:tc>
        <w:tc>
          <w:tcPr>
            <w:tcW w:w="5610" w:type="dxa"/>
            <w:tcBorders>
              <w:top w:val="nil"/>
              <w:left w:val="nil"/>
              <w:bottom w:val="nil"/>
              <w:right w:val="nil"/>
            </w:tcBorders>
            <w:tcMar>
              <w:top w:w="0" w:type="dxa"/>
              <w:left w:w="62" w:type="dxa"/>
              <w:bottom w:w="0" w:type="dxa"/>
              <w:right w:w="62" w:type="dxa"/>
            </w:tcMar>
          </w:tcPr>
          <w:p w:rsidR="00000000" w:rsidP="00B1034B">
            <w:pPr>
              <w:pStyle w:val="BodyText"/>
              <w:rPr>
                <w:lang w:val="en-NZ"/>
              </w:rPr>
            </w:pPr>
            <w:r w:rsidRPr="00B1034B">
              <w:t>Agreed communication processes between client and other appropriate persons are implemented and maintain</w:t>
            </w:r>
            <w:r w:rsidRPr="00B1034B">
              <w:t>ed.</w:t>
            </w:r>
          </w:p>
        </w:tc>
      </w:tr>
      <w:tr w:rsidTr="00B1034B">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1034B">
            <w:pPr>
              <w:pStyle w:val="BodyText"/>
              <w:rPr>
                <w:lang w:val="en-NZ"/>
              </w:rPr>
            </w:pPr>
            <w:r w:rsidRPr="00B1034B">
              <w:t>3.3.</w:t>
            </w:r>
          </w:p>
        </w:tc>
        <w:tc>
          <w:tcPr>
            <w:tcW w:w="5610" w:type="dxa"/>
            <w:tcBorders>
              <w:top w:val="nil"/>
              <w:left w:val="nil"/>
              <w:bottom w:val="nil"/>
              <w:right w:val="nil"/>
            </w:tcBorders>
            <w:tcMar>
              <w:top w:w="0" w:type="dxa"/>
              <w:left w:w="62" w:type="dxa"/>
              <w:bottom w:w="0" w:type="dxa"/>
              <w:right w:w="62" w:type="dxa"/>
            </w:tcMar>
          </w:tcPr>
          <w:p w:rsidR="00000000" w:rsidP="00B1034B">
            <w:pPr>
              <w:pStyle w:val="BodyText"/>
              <w:rPr>
                <w:lang w:val="en-NZ"/>
              </w:rPr>
            </w:pPr>
            <w:r w:rsidRPr="00B1034B">
              <w:t>Pertinent legal and statutory requirements and standards are identified and analysed to ensure compliance.</w:t>
            </w:r>
          </w:p>
        </w:tc>
      </w:tr>
      <w:tr w:rsidTr="00B1034B">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1034B">
            <w:pPr>
              <w:pStyle w:val="BodyText"/>
              <w:rPr>
                <w:lang w:val="en-NZ"/>
              </w:rPr>
            </w:pPr>
            <w:r w:rsidRPr="00B1034B">
              <w:t>3.4.</w:t>
            </w:r>
          </w:p>
        </w:tc>
        <w:tc>
          <w:tcPr>
            <w:tcW w:w="5610" w:type="dxa"/>
            <w:tcBorders>
              <w:top w:val="nil"/>
              <w:left w:val="nil"/>
              <w:bottom w:val="nil"/>
              <w:right w:val="nil"/>
            </w:tcBorders>
            <w:tcMar>
              <w:top w:w="0" w:type="dxa"/>
              <w:left w:w="62" w:type="dxa"/>
              <w:bottom w:w="0" w:type="dxa"/>
              <w:right w:w="62" w:type="dxa"/>
            </w:tcMar>
          </w:tcPr>
          <w:p w:rsidR="00000000" w:rsidP="00B1034B">
            <w:pPr>
              <w:pStyle w:val="BodyText"/>
              <w:rPr>
                <w:lang w:val="en-NZ"/>
              </w:rPr>
            </w:pPr>
            <w:r w:rsidRPr="00B1034B">
              <w:t>Risk management and contingency strategies are devised and followed to ensure project complies with legal and statutory standards and organisational requirements.</w:t>
            </w:r>
          </w:p>
        </w:tc>
      </w:tr>
      <w:tr w:rsidTr="00B1034B">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1034B">
            <w:pPr>
              <w:pStyle w:val="BodyText"/>
              <w:rPr>
                <w:lang w:val="en-NZ"/>
              </w:rPr>
            </w:pPr>
            <w:r w:rsidRPr="00B1034B">
              <w:t>3.5.</w:t>
            </w:r>
          </w:p>
        </w:tc>
        <w:tc>
          <w:tcPr>
            <w:tcW w:w="5610" w:type="dxa"/>
            <w:tcBorders>
              <w:top w:val="nil"/>
              <w:left w:val="nil"/>
              <w:bottom w:val="nil"/>
              <w:right w:val="nil"/>
            </w:tcBorders>
            <w:tcMar>
              <w:top w:w="0" w:type="dxa"/>
              <w:left w:w="62" w:type="dxa"/>
              <w:bottom w:w="0" w:type="dxa"/>
              <w:right w:w="62" w:type="dxa"/>
            </w:tcMar>
          </w:tcPr>
          <w:p w:rsidR="00000000" w:rsidP="00B1034B">
            <w:pPr>
              <w:pStyle w:val="BodyText"/>
              <w:rPr>
                <w:lang w:val="en-NZ"/>
              </w:rPr>
            </w:pPr>
            <w:r w:rsidRPr="00B1034B">
              <w:t>Problems are identified and resolved, and contingencies and constraints are managed a</w:t>
            </w:r>
            <w:r w:rsidRPr="00B1034B">
              <w:t>ccording to organisational requirements.</w:t>
            </w:r>
          </w:p>
        </w:tc>
      </w:tr>
      <w:tr w:rsidTr="00B1034B">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5610" w:type="dxa"/>
            <w:tcBorders>
              <w:top w:val="nil"/>
              <w:left w:val="nil"/>
              <w:bottom w:val="nil"/>
              <w:right w:val="nil"/>
            </w:tcBorders>
            <w:tcMar>
              <w:top w:w="0" w:type="dxa"/>
              <w:left w:w="62" w:type="dxa"/>
              <w:bottom w:w="0" w:type="dxa"/>
              <w:right w:w="62" w:type="dxa"/>
            </w:tcMar>
          </w:tcPr>
          <w:p w:rsidR="00000000" w:rsidP="00B1034B">
            <w:pPr>
              <w:pStyle w:val="BodyText"/>
              <w:rPr>
                <w:lang w:val="en-NZ"/>
              </w:rPr>
            </w:pPr>
          </w:p>
        </w:tc>
      </w:tr>
      <w:tr w:rsidTr="00B1034B">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B1034B">
            <w:pPr>
              <w:pStyle w:val="BodyText"/>
              <w:rPr>
                <w:lang w:val="en-NZ"/>
              </w:rPr>
            </w:pPr>
            <w:r w:rsidRPr="00B1034B">
              <w:t>4.</w:t>
            </w:r>
          </w:p>
        </w:tc>
        <w:tc>
          <w:tcPr>
            <w:tcW w:w="1962" w:type="dxa"/>
            <w:vMerge w:val="restart"/>
            <w:tcBorders>
              <w:top w:val="nil"/>
              <w:left w:val="nil"/>
              <w:bottom w:val="nil"/>
              <w:right w:val="nil"/>
            </w:tcBorders>
            <w:tcMar>
              <w:top w:w="0" w:type="dxa"/>
              <w:left w:w="62" w:type="dxa"/>
              <w:bottom w:w="0" w:type="dxa"/>
              <w:right w:w="62" w:type="dxa"/>
            </w:tcMar>
          </w:tcPr>
          <w:p w:rsidR="00000000" w:rsidP="00B1034B">
            <w:pPr>
              <w:pStyle w:val="BodyText"/>
              <w:rPr>
                <w:lang w:val="en-NZ"/>
              </w:rPr>
            </w:pPr>
            <w:r w:rsidRPr="00B1034B">
              <w:t>Finalise project.</w:t>
            </w:r>
          </w:p>
        </w:tc>
        <w:tc>
          <w:tcPr>
            <w:tcW w:w="770" w:type="dxa"/>
            <w:tcBorders>
              <w:top w:val="nil"/>
              <w:left w:val="nil"/>
              <w:bottom w:val="nil"/>
              <w:right w:val="nil"/>
            </w:tcBorders>
            <w:tcMar>
              <w:top w:w="0" w:type="dxa"/>
              <w:left w:w="62" w:type="dxa"/>
              <w:bottom w:w="0" w:type="dxa"/>
              <w:right w:w="62" w:type="dxa"/>
            </w:tcMar>
          </w:tcPr>
          <w:p w:rsidR="00000000" w:rsidP="00B1034B">
            <w:pPr>
              <w:pStyle w:val="BodyText"/>
              <w:rPr>
                <w:lang w:val="en-NZ"/>
              </w:rPr>
            </w:pPr>
            <w:r w:rsidRPr="00B1034B">
              <w:t>4.1.</w:t>
            </w:r>
          </w:p>
        </w:tc>
        <w:tc>
          <w:tcPr>
            <w:tcW w:w="5610" w:type="dxa"/>
            <w:tcBorders>
              <w:top w:val="nil"/>
              <w:left w:val="nil"/>
              <w:bottom w:val="nil"/>
              <w:right w:val="nil"/>
            </w:tcBorders>
            <w:tcMar>
              <w:top w:w="0" w:type="dxa"/>
              <w:left w:w="62" w:type="dxa"/>
              <w:bottom w:w="0" w:type="dxa"/>
              <w:right w:w="62" w:type="dxa"/>
            </w:tcMar>
          </w:tcPr>
          <w:p w:rsidR="00000000" w:rsidP="00B1034B">
            <w:pPr>
              <w:pStyle w:val="BodyText"/>
              <w:rPr>
                <w:lang w:val="en-NZ"/>
              </w:rPr>
            </w:pPr>
            <w:r w:rsidRPr="00B1034B">
              <w:t>Mining geology project is evaluated for compliance with project specifications and organisational requirements.</w:t>
            </w:r>
          </w:p>
        </w:tc>
      </w:tr>
      <w:tr w:rsidTr="00B1034B">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1034B">
            <w:pPr>
              <w:pStyle w:val="BodyText"/>
              <w:rPr>
                <w:lang w:val="en-NZ"/>
              </w:rPr>
            </w:pPr>
            <w:r w:rsidRPr="00B1034B">
              <w:t>4.2.</w:t>
            </w:r>
          </w:p>
        </w:tc>
        <w:tc>
          <w:tcPr>
            <w:tcW w:w="5610" w:type="dxa"/>
            <w:tcBorders>
              <w:top w:val="nil"/>
              <w:left w:val="nil"/>
              <w:bottom w:val="nil"/>
              <w:right w:val="nil"/>
            </w:tcBorders>
            <w:tcMar>
              <w:top w:w="0" w:type="dxa"/>
              <w:left w:w="62" w:type="dxa"/>
              <w:bottom w:w="0" w:type="dxa"/>
              <w:right w:w="62" w:type="dxa"/>
            </w:tcMar>
          </w:tcPr>
          <w:p w:rsidR="00000000" w:rsidP="00B1034B">
            <w:pPr>
              <w:pStyle w:val="BodyText"/>
              <w:rPr>
                <w:lang w:val="en-NZ"/>
              </w:rPr>
            </w:pPr>
            <w:r w:rsidRPr="00B1034B">
              <w:t>Appropriate persons are notified of project results according to organisational requirements.</w:t>
            </w:r>
          </w:p>
        </w:tc>
      </w:tr>
      <w:tr w:rsidTr="00B1034B">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1034B">
            <w:pPr>
              <w:pStyle w:val="BodyText"/>
              <w:rPr>
                <w:lang w:val="en-NZ"/>
              </w:rPr>
            </w:pPr>
            <w:r w:rsidRPr="00B1034B">
              <w:t>4.3.</w:t>
            </w:r>
          </w:p>
        </w:tc>
        <w:tc>
          <w:tcPr>
            <w:tcW w:w="5610" w:type="dxa"/>
            <w:tcBorders>
              <w:top w:val="nil"/>
              <w:left w:val="nil"/>
              <w:bottom w:val="nil"/>
              <w:right w:val="nil"/>
            </w:tcBorders>
            <w:tcMar>
              <w:top w:w="0" w:type="dxa"/>
              <w:left w:w="62" w:type="dxa"/>
              <w:bottom w:w="0" w:type="dxa"/>
              <w:right w:w="62" w:type="dxa"/>
            </w:tcMar>
          </w:tcPr>
          <w:p w:rsidR="00000000" w:rsidRPr="00B1034B" w:rsidP="00B1034B">
            <w:pPr>
              <w:pStyle w:val="BodyText"/>
            </w:pPr>
            <w:r w:rsidRPr="00B1034B">
              <w:t>Documentation is completed and spatial data archived according to project and organisational requirements.</w:t>
            </w:r>
          </w:p>
        </w:tc>
      </w:tr>
    </w:tbl>
    <w:p w:rsidR="00000000" w:rsidRPr="00B1034B" w:rsidP="00B1034B">
      <w:pPr>
        <w:pStyle w:val="BodyText"/>
      </w:pPr>
    </w:p>
    <w:p w:rsidR="00000000" w:rsidRPr="00B1034B" w:rsidP="00B1034B">
      <w:pPr>
        <w:pStyle w:val="AllowPageBreak"/>
      </w:pPr>
    </w:p>
    <w:p w:rsidR="00000000" w:rsidRPr="00B1034B" w:rsidP="00B1034B">
      <w:pPr>
        <w:pStyle w:val="Heading1"/>
      </w:pPr>
      <w:bookmarkStart w:id="6" w:name="O_838195"/>
      <w:bookmarkEnd w:id="6"/>
      <w:r w:rsidRPr="00B1034B">
        <w:t>Foundation Skills</w:t>
      </w:r>
    </w:p>
    <w:tbl>
      <w:tblPr>
        <w:tblW w:w="0" w:type="auto"/>
        <w:tblLayout w:type="fixed"/>
        <w:tblCellMar>
          <w:left w:w="62" w:type="dxa"/>
          <w:right w:w="62" w:type="dxa"/>
        </w:tblCellMar>
        <w:tblLook w:val="0000"/>
      </w:tblPr>
      <w:tblGrid>
        <w:gridCol w:w="2195"/>
        <w:gridCol w:w="6877"/>
      </w:tblGrid>
      <w:tr w:rsidTr="00B1034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B1034B">
            <w:pPr>
              <w:pStyle w:val="BodyText"/>
              <w:rPr>
                <w:lang w:val="en-NZ"/>
              </w:rPr>
            </w:pPr>
            <w:r w:rsidRPr="00B1034B">
              <w:t>This section describes the language, literacy, numeracy and employment skills essential to performance in this unit but not explicit in the performance criteria.</w:t>
            </w:r>
          </w:p>
        </w:tc>
      </w:tr>
      <w:tr w:rsidTr="00B1034B">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RPr="00B1034B" w:rsidP="00B1034B">
            <w:pPr>
              <w:pStyle w:val="BodyText"/>
            </w:pPr>
            <w:r w:rsidRPr="00B1034B">
              <w:rPr>
                <w:rStyle w:val="SpecialBold"/>
              </w:rPr>
              <w:t>Skill</w:t>
            </w:r>
          </w:p>
        </w:tc>
        <w:tc>
          <w:tcPr>
            <w:tcW w:w="6877" w:type="dxa"/>
            <w:tcBorders>
              <w:top w:val="nil"/>
              <w:left w:val="nil"/>
              <w:bottom w:val="nil"/>
              <w:right w:val="nil"/>
            </w:tcBorders>
            <w:tcMar>
              <w:top w:w="0" w:type="dxa"/>
              <w:left w:w="62" w:type="dxa"/>
              <w:bottom w:w="0" w:type="dxa"/>
              <w:right w:w="62" w:type="dxa"/>
            </w:tcMar>
          </w:tcPr>
          <w:p w:rsidR="00000000" w:rsidP="00B1034B">
            <w:pPr>
              <w:pStyle w:val="BodyText"/>
              <w:rPr>
                <w:lang w:val="en-NZ"/>
              </w:rPr>
            </w:pPr>
            <w:r w:rsidRPr="00B1034B">
              <w:rPr>
                <w:rStyle w:val="SpecialBold"/>
              </w:rPr>
              <w:t>Performance feature</w:t>
            </w:r>
          </w:p>
        </w:tc>
      </w:tr>
      <w:tr w:rsidTr="00B1034B">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B1034B">
            <w:pPr>
              <w:pStyle w:val="BodyText"/>
              <w:rPr>
                <w:lang w:val="en-NZ"/>
              </w:rPr>
            </w:pPr>
            <w:r w:rsidRPr="00B1034B">
              <w:t>Planning and organising skills to:</w:t>
            </w:r>
          </w:p>
        </w:tc>
        <w:tc>
          <w:tcPr>
            <w:tcW w:w="6877" w:type="dxa"/>
            <w:tcBorders>
              <w:top w:val="nil"/>
              <w:left w:val="nil"/>
              <w:bottom w:val="nil"/>
              <w:right w:val="nil"/>
            </w:tcBorders>
            <w:tcMar>
              <w:top w:w="0" w:type="dxa"/>
              <w:left w:w="62" w:type="dxa"/>
              <w:bottom w:w="0" w:type="dxa"/>
              <w:right w:w="62" w:type="dxa"/>
            </w:tcMar>
          </w:tcPr>
          <w:p w:rsidR="00000000" w:rsidP="00B1034B">
            <w:pPr>
              <w:pStyle w:val="ListBullet"/>
              <w:rPr>
                <w:lang w:val="en-NZ"/>
              </w:rPr>
            </w:pPr>
            <w:r w:rsidRPr="00B1034B">
              <w:t>plan and prioritise work to meet schedules.</w:t>
            </w:r>
          </w:p>
        </w:tc>
      </w:tr>
      <w:tr w:rsidTr="00B1034B">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B1034B">
            <w:pPr>
              <w:pStyle w:val="BodyText"/>
              <w:rPr>
                <w:lang w:val="en-NZ"/>
              </w:rPr>
            </w:pPr>
          </w:p>
        </w:tc>
      </w:tr>
      <w:tr w:rsidTr="00B1034B">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B1034B">
            <w:pPr>
              <w:pStyle w:val="BodyText"/>
              <w:rPr>
                <w:lang w:val="en-NZ"/>
              </w:rPr>
            </w:pPr>
            <w:r w:rsidRPr="00B1034B">
              <w:t>Numeracy skills to:</w:t>
            </w:r>
          </w:p>
        </w:tc>
        <w:tc>
          <w:tcPr>
            <w:tcW w:w="6877" w:type="dxa"/>
            <w:tcBorders>
              <w:top w:val="nil"/>
              <w:left w:val="nil"/>
              <w:bottom w:val="nil"/>
              <w:right w:val="nil"/>
            </w:tcBorders>
            <w:tcMar>
              <w:top w:w="0" w:type="dxa"/>
              <w:left w:w="62" w:type="dxa"/>
              <w:bottom w:w="0" w:type="dxa"/>
              <w:right w:w="62" w:type="dxa"/>
            </w:tcMar>
          </w:tcPr>
          <w:p w:rsidR="00000000" w:rsidP="00B1034B">
            <w:pPr>
              <w:pStyle w:val="ListBullet"/>
              <w:rPr>
                <w:lang w:val="en-NZ"/>
              </w:rPr>
            </w:pPr>
            <w:r w:rsidRPr="00B1034B">
              <w:t>conduct precise measurements and calculations relating to height, depth, dimension, direction and position in actual operational activity and virtual representation.</w:t>
            </w:r>
          </w:p>
        </w:tc>
      </w:tr>
      <w:tr w:rsidTr="00B1034B">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B1034B">
            <w:pPr>
              <w:pStyle w:val="BodyText"/>
              <w:rPr>
                <w:lang w:val="en-NZ"/>
              </w:rPr>
            </w:pPr>
          </w:p>
        </w:tc>
      </w:tr>
      <w:tr w:rsidTr="00B1034B">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B1034B">
            <w:pPr>
              <w:pStyle w:val="BodyText"/>
              <w:rPr>
                <w:lang w:val="en-NZ"/>
              </w:rPr>
            </w:pPr>
            <w:r w:rsidRPr="00B1034B">
              <w:t>Oral communicatio</w:t>
            </w:r>
            <w:r w:rsidRPr="00B1034B">
              <w:t>n skills to:</w:t>
            </w:r>
          </w:p>
        </w:tc>
        <w:tc>
          <w:tcPr>
            <w:tcW w:w="6877" w:type="dxa"/>
            <w:tcBorders>
              <w:top w:val="nil"/>
              <w:left w:val="nil"/>
              <w:bottom w:val="nil"/>
              <w:right w:val="nil"/>
            </w:tcBorders>
            <w:tcMar>
              <w:top w:w="0" w:type="dxa"/>
              <w:left w:w="62" w:type="dxa"/>
              <w:bottom w:w="0" w:type="dxa"/>
              <w:right w:w="62" w:type="dxa"/>
            </w:tcMar>
          </w:tcPr>
          <w:p w:rsidR="00000000" w:rsidP="00B1034B">
            <w:pPr>
              <w:pStyle w:val="ListBullet"/>
              <w:rPr>
                <w:lang w:val="en-NZ"/>
              </w:rPr>
            </w:pPr>
            <w:r w:rsidRPr="00B1034B">
              <w:t>negotiate to achieve client requirements.</w:t>
            </w:r>
          </w:p>
        </w:tc>
      </w:tr>
      <w:tr w:rsidTr="00B1034B">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B1034B">
            <w:pPr>
              <w:pStyle w:val="BodyText"/>
              <w:rPr>
                <w:lang w:val="en-NZ"/>
              </w:rPr>
            </w:pPr>
          </w:p>
        </w:tc>
      </w:tr>
      <w:tr w:rsidTr="00B1034B">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B1034B">
            <w:pPr>
              <w:pStyle w:val="BodyText"/>
              <w:rPr>
                <w:lang w:val="en-NZ"/>
              </w:rPr>
            </w:pPr>
            <w:r w:rsidRPr="00B1034B">
              <w:t>Reading skills to:</w:t>
            </w:r>
          </w:p>
        </w:tc>
        <w:tc>
          <w:tcPr>
            <w:tcW w:w="6877" w:type="dxa"/>
            <w:tcBorders>
              <w:top w:val="nil"/>
              <w:left w:val="nil"/>
              <w:bottom w:val="nil"/>
              <w:right w:val="nil"/>
            </w:tcBorders>
            <w:tcMar>
              <w:top w:w="0" w:type="dxa"/>
              <w:left w:w="62" w:type="dxa"/>
              <w:bottom w:w="0" w:type="dxa"/>
              <w:right w:w="62" w:type="dxa"/>
            </w:tcMar>
          </w:tcPr>
          <w:p w:rsidR="00000000" w:rsidP="00B1034B">
            <w:pPr>
              <w:pStyle w:val="ListBullet"/>
              <w:rPr>
                <w:lang w:val="en-NZ"/>
              </w:rPr>
            </w:pPr>
            <w:r w:rsidRPr="00B1034B">
              <w:t>analyse graphical and technical information in specifications.</w:t>
            </w:r>
          </w:p>
        </w:tc>
      </w:tr>
      <w:tr w:rsidTr="00B1034B">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B1034B">
            <w:pPr>
              <w:pStyle w:val="BodyText"/>
              <w:rPr>
                <w:lang w:val="en-NZ"/>
              </w:rPr>
            </w:pPr>
          </w:p>
        </w:tc>
      </w:tr>
      <w:tr w:rsidTr="00B1034B">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B1034B">
            <w:pPr>
              <w:pStyle w:val="BodyText"/>
              <w:rPr>
                <w:lang w:val="en-NZ"/>
              </w:rPr>
            </w:pPr>
            <w:r w:rsidRPr="00B1034B">
              <w:t>Writing skills to:</w:t>
            </w:r>
          </w:p>
        </w:tc>
        <w:tc>
          <w:tcPr>
            <w:tcW w:w="6877" w:type="dxa"/>
            <w:tcBorders>
              <w:top w:val="nil"/>
              <w:left w:val="nil"/>
              <w:bottom w:val="nil"/>
              <w:right w:val="nil"/>
            </w:tcBorders>
            <w:tcMar>
              <w:top w:w="0" w:type="dxa"/>
              <w:left w:w="62" w:type="dxa"/>
              <w:bottom w:w="0" w:type="dxa"/>
              <w:right w:w="62" w:type="dxa"/>
            </w:tcMar>
          </w:tcPr>
          <w:p w:rsidR="00000000" w:rsidP="00B1034B">
            <w:pPr>
              <w:pStyle w:val="ListBullet"/>
              <w:rPr>
                <w:lang w:val="en-NZ"/>
              </w:rPr>
            </w:pPr>
            <w:r w:rsidRPr="00B1034B">
              <w:t>record technical information in organisational documentation.</w:t>
            </w:r>
          </w:p>
        </w:tc>
      </w:tr>
      <w:tr w:rsidTr="00B1034B">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B1034B">
            <w:pPr>
              <w:pStyle w:val="BodyText"/>
              <w:rPr>
                <w:lang w:val="en-NZ"/>
              </w:rPr>
            </w:pPr>
          </w:p>
        </w:tc>
      </w:tr>
      <w:tr w:rsidTr="00B1034B">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B1034B">
            <w:pPr>
              <w:pStyle w:val="BodyText"/>
              <w:rPr>
                <w:lang w:val="en-NZ"/>
              </w:rPr>
            </w:pPr>
            <w:r w:rsidRPr="00B1034B">
              <w:t>Technology skills to:</w:t>
            </w:r>
          </w:p>
        </w:tc>
        <w:tc>
          <w:tcPr>
            <w:tcW w:w="6877" w:type="dxa"/>
            <w:tcBorders>
              <w:top w:val="nil"/>
              <w:left w:val="nil"/>
              <w:bottom w:val="nil"/>
              <w:right w:val="nil"/>
            </w:tcBorders>
            <w:tcMar>
              <w:top w:w="0" w:type="dxa"/>
              <w:left w:w="62" w:type="dxa"/>
              <w:bottom w:w="0" w:type="dxa"/>
              <w:right w:w="62" w:type="dxa"/>
            </w:tcMar>
          </w:tcPr>
          <w:p w:rsidR="00000000" w:rsidP="00B1034B">
            <w:pPr>
              <w:pStyle w:val="ListBullet"/>
              <w:rPr>
                <w:lang w:val="en-NZ"/>
              </w:rPr>
            </w:pPr>
            <w:r w:rsidRPr="00B1034B">
              <w:t>calibrate and program specialised surveying instruments.</w:t>
            </w:r>
          </w:p>
        </w:tc>
      </w:tr>
      <w:tr w:rsidTr="00B1034B">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B1034B">
            <w:pPr>
              <w:pStyle w:val="BodyText"/>
              <w:rPr>
                <w:lang w:val="en-NZ"/>
              </w:rPr>
            </w:pPr>
          </w:p>
        </w:tc>
      </w:tr>
      <w:tr w:rsidTr="00B1034B">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B1034B">
            <w:pPr>
              <w:pStyle w:val="BodyText"/>
              <w:rPr>
                <w:lang w:val="en-NZ"/>
              </w:rPr>
            </w:pPr>
            <w:r w:rsidRPr="00B1034B">
              <w:t>Problem-solving skills to:</w:t>
            </w:r>
          </w:p>
        </w:tc>
        <w:tc>
          <w:tcPr>
            <w:tcW w:w="6877" w:type="dxa"/>
            <w:tcBorders>
              <w:top w:val="nil"/>
              <w:left w:val="nil"/>
              <w:bottom w:val="nil"/>
              <w:right w:val="nil"/>
            </w:tcBorders>
            <w:tcMar>
              <w:top w:w="0" w:type="dxa"/>
              <w:left w:w="62" w:type="dxa"/>
              <w:bottom w:w="0" w:type="dxa"/>
              <w:right w:w="62" w:type="dxa"/>
            </w:tcMar>
          </w:tcPr>
          <w:p w:rsidR="00000000" w:rsidRPr="00B1034B" w:rsidP="00B1034B">
            <w:pPr>
              <w:pStyle w:val="ListBullet"/>
            </w:pPr>
            <w:r w:rsidRPr="00B1034B">
              <w:t>identify and resolve areas of potential non-compliance of operations with pertinent legislation, regulations and standards.</w:t>
            </w:r>
          </w:p>
        </w:tc>
      </w:tr>
    </w:tbl>
    <w:p w:rsidR="00000000" w:rsidRPr="00B1034B" w:rsidP="00B1034B">
      <w:pPr>
        <w:pStyle w:val="BodyText"/>
      </w:pPr>
    </w:p>
    <w:p w:rsidR="00000000" w:rsidRPr="00B1034B" w:rsidP="00B1034B">
      <w:pPr>
        <w:pStyle w:val="AllowPageBreak"/>
      </w:pPr>
    </w:p>
    <w:p w:rsidR="00000000" w:rsidRPr="00B1034B" w:rsidP="00B1034B">
      <w:pPr>
        <w:pStyle w:val="Heading1"/>
      </w:pPr>
      <w:bookmarkStart w:id="7" w:name="O_838194"/>
      <w:bookmarkEnd w:id="7"/>
      <w:r w:rsidRPr="00B1034B">
        <w:t>Range of Conditions</w:t>
      </w:r>
    </w:p>
    <w:tbl>
      <w:tblPr>
        <w:tblW w:w="0" w:type="auto"/>
        <w:tblLayout w:type="fixed"/>
        <w:tblCellMar>
          <w:left w:w="62" w:type="dxa"/>
          <w:right w:w="62" w:type="dxa"/>
        </w:tblCellMar>
        <w:tblLook w:val="0000"/>
      </w:tblPr>
      <w:tblGrid>
        <w:gridCol w:w="2364"/>
        <w:gridCol w:w="6708"/>
      </w:tblGrid>
      <w:tr w:rsidTr="00B1034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B1034B">
            <w:pPr>
              <w:pStyle w:val="BodyText"/>
              <w:rPr>
                <w:lang w:val="en-NZ"/>
              </w:rPr>
            </w:pPr>
            <w:r w:rsidRPr="00B1034B">
              <w:t>This section specifies work environments and conditions that may affect performance. Essential operating conditions that may be present (depending on the work situation, needs of the candidate, accessibility of the item, and local industry and regional con</w:t>
            </w:r>
            <w:r w:rsidRPr="00B1034B">
              <w:t>texts) are included. Bold italicised wording, if used in the performance criteria, is detailed below.</w:t>
            </w:r>
          </w:p>
        </w:tc>
      </w:tr>
      <w:tr w:rsidTr="00B1034B">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B1034B">
            <w:pPr>
              <w:pStyle w:val="BodyText"/>
              <w:rPr>
                <w:lang w:val="en-NZ"/>
              </w:rPr>
            </w:pPr>
            <w:r w:rsidRPr="00B1034B">
              <w:rPr>
                <w:rStyle w:val="BoldandItalics"/>
              </w:rPr>
              <w:t xml:space="preserve">Appropriate persons </w:t>
            </w:r>
            <w:r w:rsidRPr="00B1034B">
              <w:t>must include at least two of the following:</w:t>
            </w:r>
          </w:p>
        </w:tc>
        <w:tc>
          <w:tcPr>
            <w:tcW w:w="6708" w:type="dxa"/>
            <w:tcBorders>
              <w:top w:val="nil"/>
              <w:left w:val="nil"/>
              <w:bottom w:val="nil"/>
              <w:right w:val="nil"/>
            </w:tcBorders>
            <w:tcMar>
              <w:top w:w="0" w:type="dxa"/>
              <w:left w:w="62" w:type="dxa"/>
              <w:bottom w:w="0" w:type="dxa"/>
              <w:right w:w="62" w:type="dxa"/>
            </w:tcMar>
          </w:tcPr>
          <w:p w:rsidR="00000000" w:rsidRPr="00B1034B" w:rsidP="00B1034B">
            <w:pPr>
              <w:pStyle w:val="ListBullet"/>
            </w:pPr>
            <w:r w:rsidRPr="00B1034B">
              <w:t>client</w:t>
            </w:r>
          </w:p>
          <w:p w:rsidR="00000000" w:rsidRPr="00B1034B" w:rsidP="00B1034B">
            <w:pPr>
              <w:pStyle w:val="ListBullet"/>
            </w:pPr>
            <w:r w:rsidRPr="00B1034B">
              <w:t>colleague</w:t>
            </w:r>
          </w:p>
          <w:p w:rsidR="00000000" w:rsidRPr="00B1034B" w:rsidP="00B1034B">
            <w:pPr>
              <w:pStyle w:val="ListBullet"/>
            </w:pPr>
            <w:r w:rsidRPr="00B1034B">
              <w:t>engineer</w:t>
            </w:r>
          </w:p>
          <w:p w:rsidR="00000000" w:rsidRPr="00B1034B" w:rsidP="00B1034B">
            <w:pPr>
              <w:pStyle w:val="ListBullet"/>
            </w:pPr>
            <w:r w:rsidRPr="00B1034B">
              <w:t>manager</w:t>
            </w:r>
          </w:p>
          <w:p w:rsidR="00000000" w:rsidRPr="00B1034B" w:rsidP="00B1034B">
            <w:pPr>
              <w:pStyle w:val="ListBullet"/>
            </w:pPr>
            <w:r w:rsidRPr="00B1034B">
              <w:t>registered or qualified surveyor</w:t>
            </w:r>
          </w:p>
          <w:p w:rsidR="00000000" w:rsidP="00B1034B">
            <w:pPr>
              <w:pStyle w:val="ListBullet"/>
              <w:rPr>
                <w:lang w:val="en-NZ"/>
              </w:rPr>
            </w:pPr>
            <w:r w:rsidRPr="00B1034B">
              <w:t>supplier.</w:t>
            </w:r>
          </w:p>
        </w:tc>
      </w:tr>
      <w:tr w:rsidTr="00B1034B">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708" w:type="dxa"/>
            <w:tcBorders>
              <w:top w:val="nil"/>
              <w:left w:val="nil"/>
              <w:bottom w:val="nil"/>
              <w:right w:val="nil"/>
            </w:tcBorders>
            <w:tcMar>
              <w:top w:w="0" w:type="dxa"/>
              <w:left w:w="62" w:type="dxa"/>
              <w:bottom w:w="0" w:type="dxa"/>
              <w:right w:w="62" w:type="dxa"/>
            </w:tcMar>
          </w:tcPr>
          <w:p w:rsidR="00000000" w:rsidP="00B1034B">
            <w:pPr>
              <w:pStyle w:val="BodyText"/>
              <w:rPr>
                <w:lang w:val="en-NZ"/>
              </w:rPr>
            </w:pPr>
          </w:p>
        </w:tc>
      </w:tr>
      <w:tr w:rsidTr="00B1034B">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B1034B">
            <w:pPr>
              <w:pStyle w:val="BodyText"/>
              <w:rPr>
                <w:lang w:val="en-NZ"/>
              </w:rPr>
            </w:pPr>
            <w:r w:rsidRPr="00B1034B">
              <w:rPr>
                <w:rStyle w:val="BoldandItalics"/>
              </w:rPr>
              <w:t xml:space="preserve">Environmental considerations </w:t>
            </w:r>
            <w:r w:rsidRPr="00B1034B">
              <w:t>must include at least one of the following:</w:t>
            </w:r>
          </w:p>
        </w:tc>
        <w:tc>
          <w:tcPr>
            <w:tcW w:w="6708" w:type="dxa"/>
            <w:tcBorders>
              <w:top w:val="nil"/>
              <w:left w:val="nil"/>
              <w:bottom w:val="nil"/>
              <w:right w:val="nil"/>
            </w:tcBorders>
            <w:tcMar>
              <w:top w:w="0" w:type="dxa"/>
              <w:left w:w="62" w:type="dxa"/>
              <w:bottom w:w="0" w:type="dxa"/>
              <w:right w:w="62" w:type="dxa"/>
            </w:tcMar>
          </w:tcPr>
          <w:p w:rsidR="00000000" w:rsidRPr="00B1034B" w:rsidP="00B1034B">
            <w:pPr>
              <w:pStyle w:val="ListBullet"/>
            </w:pPr>
            <w:r w:rsidRPr="00B1034B">
              <w:t>chemical leakage</w:t>
            </w:r>
          </w:p>
          <w:p w:rsidR="00000000" w:rsidRPr="00B1034B" w:rsidP="00B1034B">
            <w:pPr>
              <w:pStyle w:val="ListBullet"/>
            </w:pPr>
            <w:r w:rsidRPr="00B1034B">
              <w:t>coal fire</w:t>
            </w:r>
          </w:p>
          <w:p w:rsidR="00000000" w:rsidRPr="00B1034B" w:rsidP="00B1034B">
            <w:pPr>
              <w:pStyle w:val="ListBullet"/>
            </w:pPr>
            <w:r w:rsidRPr="00B1034B">
              <w:t>erosion</w:t>
            </w:r>
          </w:p>
          <w:p w:rsidR="00000000" w:rsidRPr="00B1034B" w:rsidP="00B1034B">
            <w:pPr>
              <w:pStyle w:val="ListBullet"/>
            </w:pPr>
            <w:r w:rsidRPr="00B1034B">
              <w:t>loss of biodiversity</w:t>
            </w:r>
          </w:p>
          <w:p w:rsidR="00000000" w:rsidRPr="00B1034B" w:rsidP="00B1034B">
            <w:pPr>
              <w:pStyle w:val="ListBullet"/>
            </w:pPr>
            <w:r w:rsidRPr="00B1034B">
              <w:t>sinkhole formation</w:t>
            </w:r>
          </w:p>
          <w:p w:rsidR="00000000" w:rsidRPr="00B1034B" w:rsidP="00B1034B">
            <w:pPr>
              <w:pStyle w:val="ListBullet"/>
            </w:pPr>
            <w:r w:rsidRPr="00B1034B">
              <w:t>soil, groundwater and surface water contamination.</w:t>
            </w:r>
          </w:p>
        </w:tc>
      </w:tr>
    </w:tbl>
    <w:p w:rsidR="00000000" w:rsidRPr="00B1034B" w:rsidP="00B1034B">
      <w:pPr>
        <w:pStyle w:val="BodyText"/>
      </w:pPr>
    </w:p>
    <w:p w:rsidR="00000000" w:rsidRPr="00B1034B" w:rsidP="00B1034B">
      <w:pPr>
        <w:pStyle w:val="AllowPageBreak"/>
      </w:pPr>
    </w:p>
    <w:p w:rsidR="00000000" w:rsidRPr="00B1034B" w:rsidP="00B1034B">
      <w:pPr>
        <w:pStyle w:val="Heading1"/>
      </w:pPr>
      <w:bookmarkStart w:id="8" w:name="O_838193"/>
      <w:bookmarkEnd w:id="8"/>
      <w:r w:rsidRPr="00B1034B">
        <w:t>Unit Mapping Information</w:t>
      </w:r>
    </w:p>
    <w:p w:rsidR="00000000" w:rsidRPr="00B1034B" w:rsidP="00101E19">
      <w:pPr>
        <w:pStyle w:val="BodyText"/>
      </w:pPr>
      <w:r w:rsidRPr="00B1034B">
        <w:t xml:space="preserve">CPPSIS6034A </w:t>
      </w:r>
      <w:r w:rsidRPr="00B1034B">
        <w:t>Conduct mining geology operations</w:t>
      </w:r>
    </w:p>
    <w:p w:rsidR="00000000" w:rsidRPr="00B1034B" w:rsidP="00B1034B">
      <w:pPr>
        <w:pStyle w:val="Heading1"/>
      </w:pPr>
      <w:bookmarkStart w:id="9" w:name="O_838186"/>
      <w:bookmarkEnd w:id="9"/>
      <w:r w:rsidRPr="00B1034B">
        <w:t>Links</w:t>
      </w:r>
    </w:p>
    <w:p w:rsidR="00000000" w:rsidRPr="00B1034B" w:rsidP="00101E19">
      <w:pPr>
        <w:pStyle w:val="BodyText"/>
      </w:pPr>
      <w:r w:rsidRPr="00B1034B">
        <w:t xml:space="preserve">Companion Volume implementation guides are found in VETNet - </w:t>
      </w:r>
      <w:r>
        <w:fldChar w:fldCharType="begin"/>
      </w:r>
      <w:r>
        <w:instrText xml:space="preserve"> HYPERLINK "https://vetnet.gov.au/Pages/TrainingDocs.aspx?q=6f3f9672-30e8-4835-b348-205dfcf13d9b" </w:instrText>
      </w:r>
      <w:r>
        <w:fldChar w:fldCharType="separate"/>
      </w:r>
      <w:r w:rsidRPr="00160771">
        <w:rPr>
          <w:rStyle w:val="Hyperlink"/>
        </w:rPr>
        <w:t>https://vetnet.gov.au/Pages/TrainingDocs.aspx?q=6f3f9672-30e8-4835-b348-205dfcf13d9b</w:t>
      </w:r>
      <w:r>
        <w:fldChar w:fldCharType="end"/>
      </w:r>
    </w:p>
    <w:p w:rsidR="00000000" w:rsidRPr="00B1034B" w:rsidP="00B1034B"/>
    <w:sectPr w:rsidSect="00B1034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034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034B" w:rsidRPr="00101E19" w:rsidP="00101E1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034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1E19" w:rsidP="00B1034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01E19" w:rsidP="00B1034B">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Artibus Innovation</w:t>
    </w:r>
    <w:r>
      <w:fldChar w:fldCharType="end"/>
    </w:r>
  </w:p>
  <w:p w:rsidR="00101E19" w:rsidP="00B1034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034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1E1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1034B" w:rsidRPr="00101E19" w:rsidP="00101E1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034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1E19" w:rsidRPr="002D2AF8" w:rsidP="00B1034B">
    <w:pPr>
      <w:pStyle w:val="Header"/>
      <w:framePr w:wrap="around"/>
    </w:pPr>
    <w:r>
      <w:fldChar w:fldCharType="begin"/>
    </w:r>
    <w:r>
      <w:instrText xml:space="preserve"> TITLE   \* MERGEFORMAT </w:instrText>
    </w:r>
    <w:r>
      <w:fldChar w:fldCharType="separate"/>
    </w:r>
    <w:r>
      <w:t>CPPSIS6034 Conduct mining geology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January 2021</w:t>
    </w:r>
    <w:r>
      <w:fldChar w:fldCharType="end"/>
    </w:r>
  </w:p>
  <w:p w:rsidR="00101E19" w:rsidP="00B1034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A803AF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946A64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1034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1034B"/>
    <w:pPr>
      <w:spacing w:before="360" w:after="60"/>
      <w:outlineLvl w:val="0"/>
    </w:pPr>
    <w:rPr>
      <w:sz w:val="32"/>
    </w:rPr>
  </w:style>
  <w:style w:type="paragraph" w:styleId="Heading2">
    <w:name w:val="heading 2"/>
    <w:basedOn w:val="HeadingBase"/>
    <w:next w:val="BodyText"/>
    <w:link w:val="Heading2Char"/>
    <w:qFormat/>
    <w:rsid w:val="00B1034B"/>
    <w:pPr>
      <w:keepLines/>
      <w:spacing w:before="240" w:after="120"/>
      <w:outlineLvl w:val="1"/>
    </w:pPr>
    <w:rPr>
      <w:sz w:val="28"/>
      <w:szCs w:val="40"/>
    </w:rPr>
  </w:style>
  <w:style w:type="paragraph" w:styleId="Heading3">
    <w:name w:val="heading 3"/>
    <w:basedOn w:val="HeadingBase"/>
    <w:next w:val="BodyText"/>
    <w:link w:val="Heading3Char"/>
    <w:qFormat/>
    <w:rsid w:val="00B1034B"/>
    <w:pPr>
      <w:spacing w:before="180" w:after="120"/>
      <w:outlineLvl w:val="2"/>
    </w:pPr>
    <w:rPr>
      <w:spacing w:val="-10"/>
      <w:kern w:val="32"/>
    </w:rPr>
  </w:style>
  <w:style w:type="paragraph" w:styleId="Heading4">
    <w:name w:val="heading 4"/>
    <w:basedOn w:val="HeadingBase"/>
    <w:next w:val="BodyText"/>
    <w:link w:val="Heading4Char"/>
    <w:qFormat/>
    <w:rsid w:val="00B1034B"/>
    <w:pPr>
      <w:spacing w:before="160" w:after="120"/>
      <w:outlineLvl w:val="3"/>
    </w:pPr>
    <w:rPr>
      <w:sz w:val="22"/>
    </w:rPr>
  </w:style>
  <w:style w:type="paragraph" w:styleId="Heading5">
    <w:name w:val="heading 5"/>
    <w:basedOn w:val="HeadingBase"/>
    <w:next w:val="Normal"/>
    <w:link w:val="Heading5Char"/>
    <w:qFormat/>
    <w:rsid w:val="00B1034B"/>
    <w:pPr>
      <w:spacing w:before="80"/>
      <w:outlineLvl w:val="4"/>
    </w:pPr>
    <w:rPr>
      <w:color w:val="918585"/>
      <w:sz w:val="20"/>
    </w:rPr>
  </w:style>
  <w:style w:type="paragraph" w:styleId="Heading6">
    <w:name w:val="heading 6"/>
    <w:basedOn w:val="HeadingBase"/>
    <w:next w:val="Normal"/>
    <w:link w:val="Heading6Char"/>
    <w:qFormat/>
    <w:rsid w:val="00B1034B"/>
    <w:pPr>
      <w:spacing w:before="60"/>
      <w:outlineLvl w:val="5"/>
    </w:pPr>
    <w:rPr>
      <w:color w:val="918585"/>
      <w:sz w:val="20"/>
    </w:rPr>
  </w:style>
  <w:style w:type="paragraph" w:styleId="Heading7">
    <w:name w:val="heading 7"/>
    <w:basedOn w:val="Normal"/>
    <w:next w:val="Normal"/>
    <w:link w:val="Heading7Char"/>
    <w:qFormat/>
    <w:rsid w:val="00B1034B"/>
    <w:pPr>
      <w:ind w:left="720"/>
      <w:outlineLvl w:val="6"/>
    </w:pPr>
    <w:rPr>
      <w:i/>
    </w:rPr>
  </w:style>
  <w:style w:type="paragraph" w:styleId="Heading8">
    <w:name w:val="heading 8"/>
    <w:basedOn w:val="Normal"/>
    <w:next w:val="Normal"/>
    <w:link w:val="Heading8Char"/>
    <w:qFormat/>
    <w:rsid w:val="00B1034B"/>
    <w:pPr>
      <w:ind w:left="720"/>
      <w:outlineLvl w:val="7"/>
    </w:pPr>
    <w:rPr>
      <w:i/>
    </w:rPr>
  </w:style>
  <w:style w:type="paragraph" w:styleId="Heading9">
    <w:name w:val="heading 9"/>
    <w:basedOn w:val="Normal"/>
    <w:next w:val="Normal"/>
    <w:link w:val="Heading9Char"/>
    <w:qFormat/>
    <w:rsid w:val="00B1034B"/>
    <w:pPr>
      <w:ind w:left="720"/>
      <w:outlineLvl w:val="8"/>
    </w:pPr>
    <w:rPr>
      <w:i/>
    </w:rPr>
  </w:style>
  <w:style w:type="character" w:default="1" w:styleId="DefaultParagraphFont">
    <w:name w:val="Default Paragraph Font"/>
    <w:uiPriority w:val="1"/>
    <w:unhideWhenUsed/>
    <w:rsid w:val="00B1034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1034B"/>
  </w:style>
  <w:style w:type="character" w:customStyle="1" w:styleId="Heading1Char">
    <w:name w:val="Heading 1 Char"/>
    <w:basedOn w:val="DefaultParagraphFont"/>
    <w:link w:val="Heading1"/>
    <w:rsid w:val="00B1034B"/>
    <w:rPr>
      <w:rFonts w:ascii="Times New Roman" w:eastAsia="Times New Roman" w:hAnsi="Times New Roman" w:cs="Times New Roman"/>
      <w:b/>
      <w:sz w:val="32"/>
      <w:szCs w:val="20"/>
      <w:lang w:eastAsia="en-US"/>
    </w:rPr>
  </w:style>
  <w:style w:type="paragraph" w:styleId="BodyText">
    <w:name w:val="Body Text"/>
    <w:basedOn w:val="Normal"/>
    <w:link w:val="BodyTextChar"/>
    <w:rsid w:val="00B1034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1034B"/>
    <w:rPr>
      <w:rFonts w:ascii="Times New Roman" w:eastAsia="Times New Roman" w:hAnsi="Times New Roman" w:cs="Times New Roman"/>
      <w:sz w:val="24"/>
      <w:lang w:eastAsia="en-US"/>
    </w:rPr>
  </w:style>
  <w:style w:type="paragraph" w:styleId="ListBullet">
    <w:name w:val="List Bullet"/>
    <w:basedOn w:val="List"/>
    <w:rsid w:val="00B1034B"/>
    <w:pPr>
      <w:numPr>
        <w:numId w:val="11"/>
      </w:numPr>
      <w:tabs>
        <w:tab w:val="clear" w:pos="340"/>
      </w:tabs>
      <w:spacing w:before="40" w:after="40"/>
    </w:pPr>
  </w:style>
  <w:style w:type="character" w:customStyle="1" w:styleId="SpecialBold">
    <w:name w:val="Special Bold"/>
    <w:basedOn w:val="DefaultParagraphFont"/>
    <w:rsid w:val="00B1034B"/>
    <w:rPr>
      <w:b/>
      <w:spacing w:val="0"/>
    </w:rPr>
  </w:style>
  <w:style w:type="paragraph" w:customStyle="1" w:styleId="SuperHeading">
    <w:name w:val="SuperHeading"/>
    <w:basedOn w:val="Normal"/>
    <w:rsid w:val="00B1034B"/>
    <w:pPr>
      <w:spacing w:before="240" w:after="120"/>
      <w:outlineLvl w:val="0"/>
    </w:pPr>
    <w:rPr>
      <w:rFonts w:ascii="Times New Roman" w:hAnsi="Times New Roman"/>
      <w:b/>
      <w:sz w:val="32"/>
    </w:rPr>
  </w:style>
  <w:style w:type="paragraph" w:customStyle="1" w:styleId="AllowPageBreak">
    <w:name w:val="AllowPageBreak"/>
    <w:rsid w:val="00B1034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B1034B"/>
    <w:rPr>
      <w:b/>
      <w:i/>
      <w:u w:val="none"/>
    </w:rPr>
  </w:style>
  <w:style w:type="character" w:customStyle="1" w:styleId="Heading2Char">
    <w:name w:val="Heading 2 Char"/>
    <w:basedOn w:val="DefaultParagraphFont"/>
    <w:link w:val="Heading2"/>
    <w:rsid w:val="00B1034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1034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1034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1034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1034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1034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1034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1034B"/>
    <w:rPr>
      <w:rFonts w:ascii="Courier New" w:eastAsia="Times New Roman" w:hAnsi="Courier New" w:cs="Times New Roman"/>
      <w:i/>
      <w:szCs w:val="20"/>
      <w:lang w:eastAsia="en-US"/>
    </w:rPr>
  </w:style>
  <w:style w:type="paragraph" w:customStyle="1" w:styleId="HeadingBase">
    <w:name w:val="Heading Base"/>
    <w:rsid w:val="00B1034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1034B"/>
    <w:pPr>
      <w:tabs>
        <w:tab w:val="right" w:leader="dot" w:pos="9072"/>
      </w:tabs>
      <w:ind w:left="567"/>
    </w:pPr>
    <w:rPr>
      <w:szCs w:val="22"/>
    </w:rPr>
  </w:style>
  <w:style w:type="paragraph" w:customStyle="1" w:styleId="TOCBase">
    <w:name w:val="TOC Base"/>
    <w:rsid w:val="00B1034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1034B"/>
    <w:pPr>
      <w:tabs>
        <w:tab w:val="right" w:leader="dot" w:pos="9072"/>
      </w:tabs>
      <w:spacing w:before="40" w:after="40"/>
      <w:ind w:left="284"/>
    </w:pPr>
    <w:rPr>
      <w:rFonts w:ascii="Times New Roman" w:hAnsi="Times New Roman"/>
    </w:rPr>
  </w:style>
  <w:style w:type="paragraph" w:styleId="TOC1">
    <w:name w:val="toc 1"/>
    <w:basedOn w:val="TOCBase"/>
    <w:next w:val="Normal"/>
    <w:rsid w:val="00B1034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1034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1034B"/>
    <w:rPr>
      <w:rFonts w:ascii="Times New Roman" w:eastAsia="Times New Roman" w:hAnsi="Times New Roman" w:cs="Times New Roman"/>
      <w:sz w:val="16"/>
      <w:lang w:eastAsia="en-US"/>
    </w:rPr>
  </w:style>
  <w:style w:type="paragraph" w:styleId="Title">
    <w:name w:val="Title"/>
    <w:basedOn w:val="HeadingBase"/>
    <w:link w:val="TitleChar"/>
    <w:qFormat/>
    <w:rsid w:val="00B1034B"/>
    <w:pPr>
      <w:spacing w:before="5040"/>
      <w:jc w:val="center"/>
    </w:pPr>
    <w:rPr>
      <w:sz w:val="48"/>
      <w:szCs w:val="72"/>
      <w:lang w:val="en-US"/>
    </w:rPr>
  </w:style>
  <w:style w:type="character" w:customStyle="1" w:styleId="TitleChar">
    <w:name w:val="Title Char"/>
    <w:basedOn w:val="DefaultParagraphFont"/>
    <w:link w:val="Title"/>
    <w:rsid w:val="00B1034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1034B"/>
    <w:pPr>
      <w:tabs>
        <w:tab w:val="left" w:pos="3600"/>
        <w:tab w:val="left" w:pos="3958"/>
      </w:tabs>
    </w:pPr>
  </w:style>
  <w:style w:type="paragraph" w:styleId="List">
    <w:name w:val="List"/>
    <w:basedOn w:val="BodyText"/>
    <w:next w:val="BodyText"/>
    <w:rsid w:val="00B1034B"/>
    <w:pPr>
      <w:tabs>
        <w:tab w:val="left" w:pos="340"/>
      </w:tabs>
      <w:spacing w:before="60" w:after="60"/>
      <w:ind w:left="340" w:hanging="340"/>
    </w:pPr>
  </w:style>
  <w:style w:type="paragraph" w:customStyle="1" w:styleId="Note">
    <w:name w:val="Note"/>
    <w:basedOn w:val="BodyText"/>
    <w:rsid w:val="00B1034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1034B"/>
    <w:pPr>
      <w:framePr w:wrap="auto" w:hAnchor="text" w:y="6049"/>
    </w:pPr>
    <w:rPr>
      <w:color w:val="000000"/>
      <w:sz w:val="40"/>
    </w:rPr>
  </w:style>
  <w:style w:type="paragraph" w:customStyle="1" w:styleId="TOCTitle">
    <w:name w:val="TOCTitle"/>
    <w:basedOn w:val="Heading1"/>
    <w:rsid w:val="00B1034B"/>
    <w:pPr>
      <w:spacing w:after="240"/>
      <w:jc w:val="center"/>
      <w:outlineLvl w:val="9"/>
    </w:pPr>
    <w:rPr>
      <w:caps/>
    </w:rPr>
  </w:style>
  <w:style w:type="paragraph" w:customStyle="1" w:styleId="Version">
    <w:name w:val="Version"/>
    <w:rsid w:val="00B1034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1034B"/>
    <w:pPr>
      <w:numPr>
        <w:numId w:val="12"/>
      </w:numPr>
      <w:tabs>
        <w:tab w:val="clear" w:pos="680"/>
      </w:tabs>
    </w:pPr>
  </w:style>
  <w:style w:type="paragraph" w:styleId="Index1">
    <w:name w:val="index 1"/>
    <w:basedOn w:val="Normal"/>
    <w:next w:val="Normal"/>
    <w:semiHidden/>
    <w:rsid w:val="00B1034B"/>
    <w:pPr>
      <w:keepNext w:val="0"/>
      <w:tabs>
        <w:tab w:val="right" w:pos="4176"/>
      </w:tabs>
      <w:ind w:left="198" w:hanging="198"/>
    </w:pPr>
    <w:rPr>
      <w:rFonts w:ascii="Garamond" w:hAnsi="Garamond"/>
    </w:rPr>
  </w:style>
  <w:style w:type="paragraph" w:styleId="IndexHeading">
    <w:name w:val="index heading"/>
    <w:basedOn w:val="Normal"/>
    <w:next w:val="Index1"/>
    <w:semiHidden/>
    <w:rsid w:val="00B1034B"/>
    <w:pPr>
      <w:spacing w:before="120" w:after="120"/>
    </w:pPr>
    <w:rPr>
      <w:rFonts w:ascii="Arial" w:hAnsi="Arial"/>
      <w:b/>
      <w:color w:val="918585"/>
      <w:sz w:val="24"/>
    </w:rPr>
  </w:style>
  <w:style w:type="paragraph" w:styleId="Header">
    <w:name w:val="header"/>
    <w:basedOn w:val="Normal"/>
    <w:link w:val="HeaderChar"/>
    <w:rsid w:val="00B1034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1034B"/>
    <w:rPr>
      <w:rFonts w:ascii="Times New Roman" w:eastAsia="Times New Roman" w:hAnsi="Times New Roman" w:cs="Times New Roman"/>
      <w:sz w:val="16"/>
      <w:szCs w:val="20"/>
      <w:lang w:val="en-GB" w:eastAsia="en-US"/>
    </w:rPr>
  </w:style>
  <w:style w:type="paragraph" w:customStyle="1" w:styleId="Chapter">
    <w:name w:val="Chapter"/>
    <w:basedOn w:val="Normal"/>
    <w:rsid w:val="00B1034B"/>
    <w:pPr>
      <w:spacing w:before="240"/>
    </w:pPr>
    <w:rPr>
      <w:rFonts w:ascii="Times New Roman" w:hAnsi="Times New Roman"/>
      <w:smallCaps/>
      <w:spacing w:val="80"/>
      <w:sz w:val="28"/>
    </w:rPr>
  </w:style>
  <w:style w:type="paragraph" w:customStyle="1" w:styleId="InChapter">
    <w:name w:val="InChapter"/>
    <w:basedOn w:val="Heading3"/>
    <w:rsid w:val="00B1034B"/>
    <w:pPr>
      <w:spacing w:after="240"/>
      <w:outlineLvl w:val="9"/>
    </w:pPr>
    <w:rPr>
      <w:noProof/>
    </w:rPr>
  </w:style>
  <w:style w:type="paragraph" w:styleId="Index2">
    <w:name w:val="index 2"/>
    <w:basedOn w:val="Normal"/>
    <w:next w:val="Normal"/>
    <w:semiHidden/>
    <w:rsid w:val="00B1034B"/>
    <w:pPr>
      <w:tabs>
        <w:tab w:val="right" w:pos="4176"/>
      </w:tabs>
      <w:ind w:left="568" w:hanging="284"/>
    </w:pPr>
    <w:rPr>
      <w:rFonts w:ascii="Garamond" w:hAnsi="Garamond"/>
    </w:rPr>
  </w:style>
  <w:style w:type="paragraph" w:customStyle="1" w:styleId="Byline">
    <w:name w:val="Byline"/>
    <w:rsid w:val="00B1034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1034B"/>
    <w:pPr>
      <w:tabs>
        <w:tab w:val="clear" w:pos="3600"/>
        <w:tab w:val="clear" w:pos="3958"/>
      </w:tabs>
      <w:jc w:val="right"/>
    </w:pPr>
  </w:style>
  <w:style w:type="character" w:styleId="Emphasis">
    <w:name w:val="Emphasis"/>
    <w:basedOn w:val="DefaultParagraphFont"/>
    <w:qFormat/>
    <w:rsid w:val="00B1034B"/>
    <w:rPr>
      <w:i/>
    </w:rPr>
  </w:style>
  <w:style w:type="paragraph" w:styleId="Caption">
    <w:name w:val="caption"/>
    <w:basedOn w:val="BodyText"/>
    <w:next w:val="Normal"/>
    <w:qFormat/>
    <w:rsid w:val="00B1034B"/>
    <w:pPr>
      <w:framePr w:w="2268" w:hSpace="181" w:vSpace="181" w:wrap="around" w:vAnchor="text" w:hAnchor="page" w:x="1135" w:y="285" w:anchorLock="1"/>
    </w:pPr>
    <w:rPr>
      <w:i/>
    </w:rPr>
  </w:style>
  <w:style w:type="paragraph" w:customStyle="1" w:styleId="MiniTOCTitle">
    <w:name w:val="MiniTOCTitle"/>
    <w:basedOn w:val="Heading4"/>
    <w:rsid w:val="00B1034B"/>
    <w:pPr>
      <w:spacing w:before="240"/>
      <w:outlineLvl w:val="9"/>
    </w:pPr>
    <w:rPr>
      <w:noProof/>
      <w:sz w:val="24"/>
    </w:rPr>
  </w:style>
  <w:style w:type="paragraph" w:customStyle="1" w:styleId="MiniTOCItem">
    <w:name w:val="MiniTOCItem"/>
    <w:basedOn w:val="ListBullet"/>
    <w:rsid w:val="00B1034B"/>
    <w:pPr>
      <w:numPr>
        <w:numId w:val="0"/>
      </w:numPr>
      <w:tabs>
        <w:tab w:val="right" w:leader="dot" w:pos="6521"/>
      </w:tabs>
      <w:spacing w:before="0" w:after="0"/>
    </w:pPr>
  </w:style>
  <w:style w:type="paragraph" w:customStyle="1" w:styleId="TOFTitle">
    <w:name w:val="TOFTitle"/>
    <w:basedOn w:val="TOCTitle"/>
    <w:rsid w:val="00B1034B"/>
  </w:style>
  <w:style w:type="paragraph" w:styleId="TableofFigures">
    <w:name w:val="table of figures"/>
    <w:basedOn w:val="Normal"/>
    <w:next w:val="Normal"/>
    <w:semiHidden/>
    <w:rsid w:val="00B1034B"/>
    <w:pPr>
      <w:tabs>
        <w:tab w:val="right" w:leader="dot" w:pos="9072"/>
      </w:tabs>
      <w:ind w:left="970" w:hanging="403"/>
    </w:pPr>
    <w:rPr>
      <w:rFonts w:ascii="Times New Roman" w:hAnsi="Times New Roman"/>
      <w:b/>
    </w:rPr>
  </w:style>
  <w:style w:type="paragraph" w:styleId="ListNumber">
    <w:name w:val="List Number"/>
    <w:basedOn w:val="List"/>
    <w:rsid w:val="00B1034B"/>
    <w:pPr>
      <w:numPr>
        <w:numId w:val="14"/>
      </w:numPr>
      <w:tabs>
        <w:tab w:val="clear" w:pos="340"/>
      </w:tabs>
    </w:pPr>
  </w:style>
  <w:style w:type="character" w:customStyle="1" w:styleId="WingdingSymbols">
    <w:name w:val="Wingding Symbols"/>
    <w:rsid w:val="00B1034B"/>
    <w:rPr>
      <w:rFonts w:ascii="Wingdings" w:hAnsi="Wingdings"/>
    </w:rPr>
  </w:style>
  <w:style w:type="paragraph" w:customStyle="1" w:styleId="TableHeading">
    <w:name w:val="Table Heading"/>
    <w:basedOn w:val="HeadingBase"/>
    <w:rsid w:val="00B1034B"/>
    <w:pPr>
      <w:keepLines/>
      <w:pBdr>
        <w:bottom w:val="single" w:sz="6" w:space="1" w:color="918585"/>
      </w:pBdr>
      <w:spacing w:before="240"/>
    </w:pPr>
  </w:style>
  <w:style w:type="character" w:customStyle="1" w:styleId="HotSpot">
    <w:name w:val="HotSpot"/>
    <w:rsid w:val="00B1034B"/>
    <w:rPr>
      <w:color w:val="0033CC"/>
      <w:u w:val="none"/>
    </w:rPr>
  </w:style>
  <w:style w:type="paragraph" w:customStyle="1" w:styleId="BodyTextRight">
    <w:name w:val="Body Text Right"/>
    <w:basedOn w:val="BodyText"/>
    <w:rsid w:val="00B1034B"/>
    <w:pPr>
      <w:spacing w:before="0" w:after="0"/>
      <w:jc w:val="right"/>
    </w:pPr>
  </w:style>
  <w:style w:type="paragraph" w:styleId="Index3">
    <w:name w:val="index 3"/>
    <w:basedOn w:val="ListNumber2"/>
    <w:next w:val="Normal"/>
    <w:semiHidden/>
    <w:rsid w:val="00B1034B"/>
    <w:pPr>
      <w:numPr>
        <w:numId w:val="0"/>
      </w:numPr>
      <w:tabs>
        <w:tab w:val="right" w:leader="dot" w:pos="4176"/>
      </w:tabs>
    </w:pPr>
  </w:style>
  <w:style w:type="paragraph" w:styleId="ListNumber2">
    <w:name w:val="List Number 2"/>
    <w:basedOn w:val="List2"/>
    <w:rsid w:val="00B1034B"/>
    <w:pPr>
      <w:numPr>
        <w:numId w:val="9"/>
      </w:numPr>
      <w:tabs>
        <w:tab w:val="clear" w:pos="1060"/>
      </w:tabs>
    </w:pPr>
  </w:style>
  <w:style w:type="paragraph" w:customStyle="1" w:styleId="MarginNote">
    <w:name w:val="Margin Note"/>
    <w:basedOn w:val="BodyText"/>
    <w:rsid w:val="00B1034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1034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1034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1034B"/>
    <w:rPr>
      <w:sz w:val="32"/>
    </w:rPr>
  </w:style>
  <w:style w:type="paragraph" w:customStyle="1" w:styleId="HeadingProcedure">
    <w:name w:val="Heading Procedure"/>
    <w:basedOn w:val="HeadingBase"/>
    <w:next w:val="Normal"/>
    <w:rsid w:val="00B1034B"/>
    <w:pPr>
      <w:tabs>
        <w:tab w:val="left" w:pos="0"/>
      </w:tabs>
      <w:spacing w:before="120" w:after="60"/>
    </w:pPr>
    <w:rPr>
      <w:i/>
      <w:color w:val="918585"/>
      <w:sz w:val="22"/>
    </w:rPr>
  </w:style>
  <w:style w:type="paragraph" w:customStyle="1" w:styleId="TableBodyText">
    <w:name w:val="Table Body Text"/>
    <w:basedOn w:val="BodyText"/>
    <w:rsid w:val="00B1034B"/>
    <w:pPr>
      <w:spacing w:before="60" w:after="60"/>
    </w:pPr>
  </w:style>
  <w:style w:type="paragraph" w:styleId="ListContinue">
    <w:name w:val="List Continue"/>
    <w:basedOn w:val="List"/>
    <w:rsid w:val="00B1034B"/>
    <w:pPr>
      <w:ind w:firstLine="0"/>
    </w:pPr>
  </w:style>
  <w:style w:type="paragraph" w:customStyle="1" w:styleId="ListNote">
    <w:name w:val="List Note"/>
    <w:basedOn w:val="List"/>
    <w:rsid w:val="00B1034B"/>
    <w:pPr>
      <w:pBdr>
        <w:top w:val="single" w:sz="6" w:space="2" w:color="918585"/>
        <w:bottom w:val="single" w:sz="6" w:space="2" w:color="918585"/>
      </w:pBdr>
      <w:tabs>
        <w:tab w:val="left" w:pos="1021"/>
      </w:tabs>
      <w:ind w:firstLine="0"/>
    </w:pPr>
  </w:style>
  <w:style w:type="paragraph" w:customStyle="1" w:styleId="Warning">
    <w:name w:val="Warning"/>
    <w:basedOn w:val="BodyText"/>
    <w:rsid w:val="00B1034B"/>
    <w:pPr>
      <w:shd w:val="clear" w:color="auto" w:fill="D9D9D9"/>
      <w:tabs>
        <w:tab w:val="left" w:pos="992"/>
      </w:tabs>
      <w:ind w:left="119" w:right="119"/>
    </w:pPr>
    <w:rPr>
      <w:sz w:val="20"/>
    </w:rPr>
  </w:style>
  <w:style w:type="paragraph" w:customStyle="1" w:styleId="MarginIcons">
    <w:name w:val="Margin Icons"/>
    <w:basedOn w:val="BodyText"/>
    <w:rsid w:val="00B1034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1034B"/>
    <w:rPr>
      <w:rFonts w:ascii="Courier New" w:hAnsi="Courier New"/>
    </w:rPr>
  </w:style>
  <w:style w:type="paragraph" w:customStyle="1" w:styleId="NoteBullet">
    <w:name w:val="Note Bullet"/>
    <w:basedOn w:val="Note"/>
    <w:rsid w:val="00B1034B"/>
    <w:pPr>
      <w:tabs>
        <w:tab w:val="clear" w:pos="680"/>
      </w:tabs>
      <w:spacing w:before="60" w:after="60"/>
    </w:pPr>
  </w:style>
  <w:style w:type="paragraph" w:customStyle="1" w:styleId="SubHeading2">
    <w:name w:val="SubHeading2"/>
    <w:basedOn w:val="HeadingBase"/>
    <w:rsid w:val="00B1034B"/>
    <w:pPr>
      <w:spacing w:before="240" w:after="60"/>
    </w:pPr>
    <w:rPr>
      <w:sz w:val="20"/>
    </w:rPr>
  </w:style>
  <w:style w:type="paragraph" w:customStyle="1" w:styleId="SubHeading1">
    <w:name w:val="SubHeading1"/>
    <w:basedOn w:val="HeadingBase"/>
    <w:rsid w:val="00B1034B"/>
    <w:pPr>
      <w:spacing w:before="240" w:after="60"/>
    </w:pPr>
    <w:rPr>
      <w:color w:val="918585"/>
      <w:sz w:val="22"/>
    </w:rPr>
  </w:style>
  <w:style w:type="paragraph" w:customStyle="1" w:styleId="SideHeading">
    <w:name w:val="Side Heading"/>
    <w:basedOn w:val="HeadingBase"/>
    <w:rsid w:val="00B1034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1034B"/>
    <w:pPr>
      <w:numPr>
        <w:numId w:val="10"/>
      </w:numPr>
    </w:pPr>
  </w:style>
  <w:style w:type="paragraph" w:styleId="PlainText">
    <w:name w:val="Plain Text"/>
    <w:basedOn w:val="Normal"/>
    <w:link w:val="PlainTextChar"/>
    <w:rsid w:val="00B1034B"/>
    <w:rPr>
      <w:sz w:val="20"/>
    </w:rPr>
  </w:style>
  <w:style w:type="character" w:customStyle="1" w:styleId="PlainTextChar">
    <w:name w:val="Plain Text Char"/>
    <w:basedOn w:val="DefaultParagraphFont"/>
    <w:link w:val="PlainText"/>
    <w:rsid w:val="00B1034B"/>
    <w:rPr>
      <w:rFonts w:ascii="Courier New" w:eastAsia="Times New Roman" w:hAnsi="Courier New" w:cs="Times New Roman"/>
      <w:sz w:val="20"/>
      <w:szCs w:val="20"/>
      <w:lang w:eastAsia="en-US"/>
    </w:rPr>
  </w:style>
  <w:style w:type="character" w:customStyle="1" w:styleId="MenuOption">
    <w:name w:val="Menu Option"/>
    <w:basedOn w:val="DefaultParagraphFont"/>
    <w:rsid w:val="00B1034B"/>
    <w:rPr>
      <w:b/>
      <w:smallCaps/>
    </w:rPr>
  </w:style>
  <w:style w:type="paragraph" w:customStyle="1" w:styleId="TableListNumber">
    <w:name w:val="Table List Number"/>
    <w:basedOn w:val="ListNumber"/>
    <w:rsid w:val="00B1034B"/>
    <w:pPr>
      <w:numPr>
        <w:numId w:val="0"/>
      </w:numPr>
    </w:pPr>
  </w:style>
  <w:style w:type="paragraph" w:styleId="TOC4">
    <w:name w:val="toc 4"/>
    <w:basedOn w:val="TOCBase"/>
    <w:next w:val="Normal"/>
    <w:semiHidden/>
    <w:rsid w:val="00B1034B"/>
    <w:pPr>
      <w:tabs>
        <w:tab w:val="right" w:leader="dot" w:pos="9071"/>
      </w:tabs>
      <w:ind w:left="1701"/>
    </w:pPr>
  </w:style>
  <w:style w:type="paragraph" w:customStyle="1" w:styleId="ListAlpha">
    <w:name w:val="List Alpha"/>
    <w:basedOn w:val="List"/>
    <w:rsid w:val="00B1034B"/>
    <w:pPr>
      <w:numPr>
        <w:numId w:val="8"/>
      </w:numPr>
    </w:pPr>
  </w:style>
  <w:style w:type="paragraph" w:customStyle="1" w:styleId="ListAlpha2">
    <w:name w:val="List Alpha 2"/>
    <w:basedOn w:val="List2"/>
    <w:rsid w:val="00B1034B"/>
    <w:pPr>
      <w:numPr>
        <w:numId w:val="7"/>
      </w:numPr>
    </w:pPr>
  </w:style>
  <w:style w:type="paragraph" w:styleId="List2">
    <w:name w:val="List 2"/>
    <w:basedOn w:val="BodyText"/>
    <w:rsid w:val="00B1034B"/>
    <w:pPr>
      <w:tabs>
        <w:tab w:val="left" w:pos="680"/>
      </w:tabs>
      <w:spacing w:before="60" w:after="60"/>
      <w:ind w:left="680" w:hanging="340"/>
    </w:pPr>
  </w:style>
  <w:style w:type="paragraph" w:styleId="List3">
    <w:name w:val="List 3"/>
    <w:basedOn w:val="BodyText"/>
    <w:rsid w:val="00B1034B"/>
    <w:pPr>
      <w:tabs>
        <w:tab w:val="left" w:pos="1021"/>
      </w:tabs>
      <w:spacing w:before="60" w:after="60"/>
      <w:ind w:left="1020" w:hanging="340"/>
    </w:pPr>
  </w:style>
  <w:style w:type="paragraph" w:styleId="List4">
    <w:name w:val="List 4"/>
    <w:basedOn w:val="BodyText"/>
    <w:rsid w:val="00B1034B"/>
    <w:pPr>
      <w:tabs>
        <w:tab w:val="left" w:pos="1361"/>
      </w:tabs>
      <w:spacing w:before="60" w:after="60"/>
      <w:ind w:left="1361" w:hanging="340"/>
    </w:pPr>
  </w:style>
  <w:style w:type="paragraph" w:styleId="List5">
    <w:name w:val="List 5"/>
    <w:basedOn w:val="BodyText"/>
    <w:rsid w:val="00B1034B"/>
    <w:pPr>
      <w:tabs>
        <w:tab w:val="left" w:pos="1701"/>
      </w:tabs>
      <w:spacing w:before="60" w:after="60"/>
      <w:ind w:left="1701" w:hanging="340"/>
    </w:pPr>
  </w:style>
  <w:style w:type="paragraph" w:styleId="ListBullet3">
    <w:name w:val="List Bullet 3"/>
    <w:basedOn w:val="List3"/>
    <w:rsid w:val="00B1034B"/>
    <w:pPr>
      <w:numPr>
        <w:numId w:val="13"/>
      </w:numPr>
      <w:tabs>
        <w:tab w:val="clear" w:pos="1021"/>
      </w:tabs>
      <w:ind w:left="1037" w:hanging="357"/>
    </w:pPr>
  </w:style>
  <w:style w:type="paragraph" w:styleId="ListBullet4">
    <w:name w:val="List Bullet 4"/>
    <w:basedOn w:val="List4"/>
    <w:rsid w:val="00B1034B"/>
    <w:pPr>
      <w:numPr>
        <w:numId w:val="2"/>
      </w:numPr>
      <w:tabs>
        <w:tab w:val="clear" w:pos="1361"/>
      </w:tabs>
    </w:pPr>
  </w:style>
  <w:style w:type="paragraph" w:styleId="ListBullet5">
    <w:name w:val="List Bullet 5"/>
    <w:basedOn w:val="List5"/>
    <w:rsid w:val="00B1034B"/>
    <w:pPr>
      <w:numPr>
        <w:numId w:val="3"/>
      </w:numPr>
    </w:pPr>
  </w:style>
  <w:style w:type="paragraph" w:styleId="ListContinue2">
    <w:name w:val="List Continue 2"/>
    <w:basedOn w:val="List2"/>
    <w:rsid w:val="00B1034B"/>
    <w:pPr>
      <w:ind w:firstLine="0"/>
    </w:pPr>
  </w:style>
  <w:style w:type="paragraph" w:styleId="ListContinue3">
    <w:name w:val="List Continue 3"/>
    <w:basedOn w:val="List3"/>
    <w:rsid w:val="00B1034B"/>
    <w:pPr>
      <w:ind w:left="1021" w:firstLine="0"/>
    </w:pPr>
  </w:style>
  <w:style w:type="paragraph" w:styleId="ListContinue4">
    <w:name w:val="List Continue 4"/>
    <w:basedOn w:val="List4"/>
    <w:rsid w:val="00B1034B"/>
    <w:pPr>
      <w:ind w:firstLine="0"/>
    </w:pPr>
  </w:style>
  <w:style w:type="paragraph" w:styleId="ListContinue5">
    <w:name w:val="List Continue 5"/>
    <w:basedOn w:val="List5"/>
    <w:rsid w:val="00B1034B"/>
    <w:pPr>
      <w:ind w:firstLine="0"/>
    </w:pPr>
  </w:style>
  <w:style w:type="paragraph" w:styleId="ListNumber3">
    <w:name w:val="List Number 3"/>
    <w:basedOn w:val="List3"/>
    <w:rsid w:val="00B1034B"/>
    <w:pPr>
      <w:numPr>
        <w:numId w:val="4"/>
      </w:numPr>
    </w:pPr>
  </w:style>
  <w:style w:type="paragraph" w:styleId="ListNumber4">
    <w:name w:val="List Number 4"/>
    <w:basedOn w:val="List4"/>
    <w:rsid w:val="00B1034B"/>
    <w:pPr>
      <w:numPr>
        <w:numId w:val="5"/>
      </w:numPr>
    </w:pPr>
  </w:style>
  <w:style w:type="paragraph" w:styleId="ListNumber5">
    <w:name w:val="List Number 5"/>
    <w:basedOn w:val="List5"/>
    <w:rsid w:val="00B1034B"/>
    <w:pPr>
      <w:numPr>
        <w:numId w:val="6"/>
      </w:numPr>
    </w:pPr>
  </w:style>
  <w:style w:type="paragraph" w:styleId="BlockText">
    <w:name w:val="Block Text"/>
    <w:basedOn w:val="Normal"/>
    <w:rsid w:val="00B1034B"/>
    <w:pPr>
      <w:spacing w:after="120"/>
      <w:ind w:left="1440" w:right="1440"/>
    </w:pPr>
  </w:style>
  <w:style w:type="character" w:customStyle="1" w:styleId="Subscript">
    <w:name w:val="Subscript"/>
    <w:basedOn w:val="DefaultParagraphFont"/>
    <w:rsid w:val="00B1034B"/>
    <w:rPr>
      <w:sz w:val="16"/>
      <w:vertAlign w:val="subscript"/>
    </w:rPr>
  </w:style>
  <w:style w:type="character" w:customStyle="1" w:styleId="Superscript">
    <w:name w:val="Superscript"/>
    <w:basedOn w:val="DefaultParagraphFont"/>
    <w:rsid w:val="00B1034B"/>
    <w:rPr>
      <w:sz w:val="16"/>
      <w:vertAlign w:val="superscript"/>
    </w:rPr>
  </w:style>
  <w:style w:type="character" w:customStyle="1" w:styleId="Symbols">
    <w:name w:val="Symbols"/>
    <w:basedOn w:val="DefaultParagraphFont"/>
    <w:rsid w:val="00B1034B"/>
    <w:rPr>
      <w:rFonts w:ascii="Symbol" w:hAnsi="Symbol"/>
    </w:rPr>
  </w:style>
  <w:style w:type="character" w:customStyle="1" w:styleId="MenuOptions">
    <w:name w:val="Menu Options"/>
    <w:basedOn w:val="DefaultParagraphFont"/>
    <w:rsid w:val="00B1034B"/>
    <w:rPr>
      <w:rFonts w:ascii="Arial Narrow" w:hAnsi="Arial Narrow"/>
      <w:smallCaps/>
    </w:rPr>
  </w:style>
  <w:style w:type="character" w:customStyle="1" w:styleId="Buttons">
    <w:name w:val="Buttons"/>
    <w:basedOn w:val="DefaultParagraphFont"/>
    <w:rsid w:val="00B1034B"/>
    <w:rPr>
      <w:b/>
    </w:rPr>
  </w:style>
  <w:style w:type="character" w:customStyle="1" w:styleId="Underlined">
    <w:name w:val="Underlined"/>
    <w:basedOn w:val="DefaultParagraphFont"/>
    <w:rsid w:val="00B1034B"/>
    <w:rPr>
      <w:u w:val="single"/>
    </w:rPr>
  </w:style>
  <w:style w:type="paragraph" w:customStyle="1" w:styleId="TableBodyTextRight">
    <w:name w:val="Table Body Text Right"/>
    <w:basedOn w:val="TableBodyText"/>
    <w:rsid w:val="00B1034B"/>
    <w:pPr>
      <w:widowControl w:val="0"/>
      <w:autoSpaceDE w:val="0"/>
      <w:autoSpaceDN w:val="0"/>
      <w:adjustRightInd w:val="0"/>
      <w:jc w:val="right"/>
    </w:pPr>
    <w:rPr>
      <w:rFonts w:cs="Arial"/>
      <w:szCs w:val="18"/>
    </w:rPr>
  </w:style>
  <w:style w:type="paragraph" w:customStyle="1" w:styleId="CopyrightText">
    <w:name w:val="Copyright Text"/>
    <w:basedOn w:val="BodyText"/>
    <w:rsid w:val="00B1034B"/>
    <w:rPr>
      <w:sz w:val="18"/>
    </w:rPr>
  </w:style>
  <w:style w:type="paragraph" w:customStyle="1" w:styleId="BodySmallRight">
    <w:name w:val="Body Small Right"/>
    <w:basedOn w:val="BodyTextRight"/>
    <w:rsid w:val="00B1034B"/>
    <w:rPr>
      <w:sz w:val="18"/>
      <w:szCs w:val="18"/>
    </w:rPr>
  </w:style>
  <w:style w:type="paragraph" w:customStyle="1" w:styleId="MarginEdition">
    <w:name w:val="Margin Edition"/>
    <w:basedOn w:val="MarginNote"/>
    <w:rsid w:val="00B1034B"/>
    <w:pPr>
      <w:spacing w:before="0" w:after="0"/>
    </w:pPr>
    <w:rPr>
      <w:rFonts w:ascii="Times New Roman" w:hAnsi="Times New Roman"/>
      <w:color w:val="999999"/>
    </w:rPr>
  </w:style>
  <w:style w:type="paragraph" w:customStyle="1" w:styleId="Spacer">
    <w:name w:val="Spacer"/>
    <w:basedOn w:val="Normal"/>
    <w:rsid w:val="00B1034B"/>
    <w:rPr>
      <w:sz w:val="2"/>
      <w:szCs w:val="2"/>
    </w:rPr>
  </w:style>
  <w:style w:type="character" w:customStyle="1" w:styleId="Small">
    <w:name w:val="Small"/>
    <w:basedOn w:val="DefaultParagraphFont"/>
    <w:rsid w:val="00B1034B"/>
    <w:rPr>
      <w:sz w:val="16"/>
    </w:rPr>
  </w:style>
  <w:style w:type="paragraph" w:customStyle="1" w:styleId="WideTable">
    <w:name w:val="Wide Table"/>
    <w:basedOn w:val="Normal"/>
    <w:rsid w:val="00B1034B"/>
    <w:pPr>
      <w:ind w:left="-1418"/>
    </w:pPr>
    <w:rPr>
      <w:sz w:val="2"/>
      <w:szCs w:val="2"/>
    </w:rPr>
  </w:style>
  <w:style w:type="character" w:styleId="PageNumber">
    <w:name w:val="page number"/>
    <w:basedOn w:val="DefaultParagraphFont"/>
    <w:rsid w:val="00B1034B"/>
  </w:style>
  <w:style w:type="paragraph" w:styleId="Quote">
    <w:name w:val="Quote"/>
    <w:basedOn w:val="Heading1"/>
    <w:link w:val="QuoteChar"/>
    <w:qFormat/>
    <w:rsid w:val="00B1034B"/>
    <w:rPr>
      <w:b w:val="0"/>
      <w:sz w:val="72"/>
      <w:szCs w:val="72"/>
      <w:lang w:val="en-NZ"/>
    </w:rPr>
  </w:style>
  <w:style w:type="character" w:customStyle="1" w:styleId="QuoteChar">
    <w:name w:val="Quote Char"/>
    <w:basedOn w:val="DefaultParagraphFont"/>
    <w:link w:val="Quote"/>
    <w:rsid w:val="00B1034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1034B"/>
    <w:pPr>
      <w:pageBreakBefore/>
    </w:pPr>
  </w:style>
  <w:style w:type="paragraph" w:customStyle="1" w:styleId="Border">
    <w:name w:val="Border"/>
    <w:basedOn w:val="Normal"/>
    <w:qFormat/>
    <w:rsid w:val="00B1034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1034B"/>
    <w:rPr>
      <w:b/>
      <w:bCs/>
      <w:i/>
      <w:iCs/>
      <w:color w:val="auto"/>
    </w:rPr>
  </w:style>
  <w:style w:type="paragraph" w:styleId="IntenseQuote">
    <w:name w:val="Intense Quote"/>
    <w:basedOn w:val="Normal"/>
    <w:next w:val="Normal"/>
    <w:link w:val="IntenseQuoteChar"/>
    <w:uiPriority w:val="30"/>
    <w:qFormat/>
    <w:rsid w:val="00B1034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1034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1034B"/>
    <w:rPr>
      <w:smallCaps/>
      <w:color w:val="auto"/>
      <w:u w:val="single"/>
    </w:rPr>
  </w:style>
  <w:style w:type="character" w:styleId="IntenseReference">
    <w:name w:val="Intense Reference"/>
    <w:basedOn w:val="DefaultParagraphFont"/>
    <w:uiPriority w:val="32"/>
    <w:qFormat/>
    <w:rsid w:val="00B1034B"/>
    <w:rPr>
      <w:b/>
      <w:bCs/>
      <w:smallCaps/>
      <w:color w:val="auto"/>
      <w:spacing w:val="5"/>
      <w:u w:val="single"/>
    </w:rPr>
  </w:style>
  <w:style w:type="paragraph" w:customStyle="1" w:styleId="2ColumnHeading">
    <w:name w:val="2Column Heading"/>
    <w:basedOn w:val="BodyText"/>
    <w:qFormat/>
    <w:rsid w:val="00B1034B"/>
    <w:pPr>
      <w:spacing w:after="60"/>
      <w:ind w:left="-2268"/>
    </w:pPr>
    <w:rPr>
      <w:b/>
    </w:rPr>
  </w:style>
  <w:style w:type="paragraph" w:customStyle="1" w:styleId="Heading1TOC">
    <w:name w:val="Heading1 TOC"/>
    <w:basedOn w:val="Normal"/>
    <w:qFormat/>
    <w:rsid w:val="00B1034B"/>
    <w:pPr>
      <w:spacing w:before="240" w:after="120"/>
    </w:pPr>
    <w:rPr>
      <w:rFonts w:ascii="Times New Roman" w:hAnsi="Times New Roman"/>
      <w:b/>
      <w:sz w:val="32"/>
    </w:rPr>
  </w:style>
  <w:style w:type="paragraph" w:customStyle="1" w:styleId="Heading2TOC">
    <w:name w:val="Heading2 TOC"/>
    <w:basedOn w:val="Normal"/>
    <w:qFormat/>
    <w:rsid w:val="00B1034B"/>
    <w:pPr>
      <w:spacing w:before="240" w:after="60"/>
    </w:pPr>
    <w:rPr>
      <w:rFonts w:ascii="Times New Roman" w:hAnsi="Times New Roman"/>
      <w:b/>
      <w:sz w:val="28"/>
    </w:rPr>
  </w:style>
  <w:style w:type="character" w:customStyle="1" w:styleId="Underline">
    <w:name w:val="Underline"/>
    <w:basedOn w:val="DefaultParagraphFont"/>
    <w:qFormat/>
    <w:rsid w:val="00B1034B"/>
    <w:rPr>
      <w:u w:val="single"/>
    </w:rPr>
  </w:style>
  <w:style w:type="paragraph" w:styleId="BalloonText">
    <w:name w:val="Balloon Text"/>
    <w:basedOn w:val="Normal"/>
    <w:link w:val="BalloonTextChar"/>
    <w:rsid w:val="00B1034B"/>
    <w:rPr>
      <w:rFonts w:ascii="Tahoma" w:hAnsi="Tahoma" w:cs="Tahoma"/>
      <w:sz w:val="16"/>
      <w:szCs w:val="16"/>
    </w:rPr>
  </w:style>
  <w:style w:type="character" w:customStyle="1" w:styleId="BalloonTextChar">
    <w:name w:val="Balloon Text Char"/>
    <w:basedOn w:val="DefaultParagraphFont"/>
    <w:link w:val="BalloonText"/>
    <w:rsid w:val="00B1034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1034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1034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1034B"/>
    <w:rPr>
      <w:b/>
      <w:color w:val="660033"/>
      <w:spacing w:val="0"/>
    </w:rPr>
  </w:style>
  <w:style w:type="paragraph" w:customStyle="1" w:styleId="Nameditemlist">
    <w:name w:val="Named item list"/>
    <w:basedOn w:val="BodyText"/>
    <w:qFormat/>
    <w:rsid w:val="00B1034B"/>
    <w:pPr>
      <w:tabs>
        <w:tab w:val="left" w:pos="2835"/>
      </w:tabs>
      <w:ind w:left="2835" w:hanging="2835"/>
    </w:pPr>
  </w:style>
  <w:style w:type="paragraph" w:customStyle="1" w:styleId="BodyTextnopadding">
    <w:name w:val="Body Text no padding"/>
    <w:basedOn w:val="BodyText"/>
    <w:qFormat/>
    <w:rsid w:val="00B1034B"/>
    <w:pPr>
      <w:spacing w:before="0" w:after="0"/>
    </w:pPr>
  </w:style>
  <w:style w:type="paragraph" w:customStyle="1" w:styleId="BodyTextBold">
    <w:name w:val="Body Text Bold"/>
    <w:basedOn w:val="BodyText"/>
    <w:qFormat/>
    <w:rsid w:val="00B1034B"/>
    <w:rPr>
      <w:b/>
    </w:rPr>
  </w:style>
  <w:style w:type="character" w:styleId="Hyperlink">
    <w:name w:val="Hyperlink"/>
    <w:basedOn w:val="DefaultParagraphFont"/>
    <w:uiPriority w:val="99"/>
    <w:unhideWhenUsed/>
    <w:rsid w:val="00101E1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867</Words>
  <Characters>5822</Characters>
  <Application>Microsoft Office Word</Application>
  <DocSecurity>0</DocSecurity>
  <Lines>264</Lines>
  <Paragraphs>121</Paragraphs>
  <ScaleCrop>false</ScaleCrop>
  <Company>Author-it Software Corporation Ltd.</Company>
  <LinksUpToDate>false</LinksUpToDate>
  <CharactersWithSpaces>6568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CPPSIS6034 Conduct mining geology operations</dc:title>
  <dc:subject>Approved</dc:subject>
  <dc:creator>Artibus Innovation</dc:creator>
  <cp:keywords>Release: 1</cp:keywords>
  <dc:description>Review Date: 12 April 2008</dc:description>
  <cp:lastModifiedBy>HSD_TPCMSd.prod</cp:lastModifiedBy>
  <cp:revision>3</cp:revision>
  <dcterms:created xsi:type="dcterms:W3CDTF">2021-01-07T13:32:00Z</dcterms:created>
  <dcterms:modified xsi:type="dcterms:W3CDTF">2021-01-07T13:32:00Z</dcterms:modified>
</cp:coreProperties>
</file>