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FDE" w:rsidP="00945FDE">
      <w:pPr>
        <w:pStyle w:val="Title"/>
      </w:pPr>
      <w:r>
        <w:fldChar w:fldCharType="begin"/>
      </w:r>
      <w:r>
        <w:instrText xml:space="preserve"> TITLE   \* MERGEFORMAT </w:instrText>
      </w:r>
      <w:r>
        <w:fldChar w:fldCharType="separate"/>
      </w:r>
      <w:r>
        <w:t>CPPSIS5057 Conduct precision surveys</w:t>
      </w:r>
      <w:r>
        <w:fldChar w:fldCharType="end"/>
      </w:r>
    </w:p>
    <w:p w:rsidR="00945FDE" w:rsidP="00945FDE">
      <w:pPr>
        <w:pStyle w:val="Version"/>
        <w:sectPr w:rsidSect="00E21E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E38" w:rsidP="00E21E38">
      <w:pPr>
        <w:pStyle w:val="SuperHeading"/>
      </w:pPr>
      <w:r w:rsidRPr="00E21E38">
        <w:t>CPPSIS5057 Conduct precision surveys</w:t>
      </w:r>
    </w:p>
    <w:p w:rsidR="00000000" w:rsidRPr="00E21E38" w:rsidP="00E21E38">
      <w:pPr>
        <w:pStyle w:val="Heading1"/>
      </w:pPr>
      <w:bookmarkStart w:id="1" w:name="O_837635"/>
      <w:bookmarkEnd w:id="1"/>
      <w:r w:rsidRPr="00E21E38">
        <w:t>Modification History</w:t>
      </w:r>
    </w:p>
    <w:p w:rsidR="00000000" w:rsidRPr="00E21E38" w:rsidP="00945FDE">
      <w:pPr>
        <w:pStyle w:val="BodyText"/>
      </w:pPr>
      <w:r w:rsidRPr="00E21E38">
        <w:t>Release 1.</w:t>
      </w:r>
    </w:p>
    <w:p w:rsidR="00000000" w:rsidRPr="00E21E38" w:rsidP="00945FDE">
      <w:pPr>
        <w:pStyle w:val="BodyText"/>
      </w:pPr>
      <w:r w:rsidRPr="00E21E38">
        <w:t>Replaces superseded equivalent CPPSIS5057A Carry out a precision survey.</w:t>
      </w:r>
    </w:p>
    <w:p w:rsidR="00000000" w:rsidRPr="00E21E38" w:rsidP="00945FDE">
      <w:pPr>
        <w:pStyle w:val="BodyText"/>
      </w:pPr>
      <w:r w:rsidRPr="00E21E38">
        <w:t>This version first released with CPP Property Services Training Package Version 3.</w:t>
      </w:r>
    </w:p>
    <w:p w:rsidR="00000000" w:rsidRPr="00E21E38" w:rsidP="00E21E38">
      <w:pPr>
        <w:pStyle w:val="Heading1"/>
      </w:pPr>
      <w:bookmarkStart w:id="2" w:name="O_837642"/>
      <w:bookmarkEnd w:id="2"/>
      <w:r w:rsidRPr="00E21E38">
        <w:t>Application</w:t>
      </w:r>
    </w:p>
    <w:p w:rsidR="00000000" w:rsidRPr="00E21E38" w:rsidP="00945FDE">
      <w:pPr>
        <w:pStyle w:val="BodyText"/>
      </w:pPr>
      <w:r w:rsidRPr="00E21E38">
        <w:t>This unit of competency specifies the</w:t>
      </w:r>
      <w:r w:rsidRPr="00E21E38">
        <w:t xml:space="preserve"> outcomes required to conduct a precision survey, including techniques for precise levelling, precise setting out and industrial measurements, and detecting structural deflection and deformation. The unit covers preparing for precision surveying by analysi</w:t>
      </w:r>
      <w:r w:rsidRPr="00E21E38">
        <w:t>ng project specifications and information, and identifying and controlling risks and contingencies. The unit also covers selecting and using specialised equipment, attachments and instruments necessary for precise levelling and setting out, and checking ho</w:t>
      </w:r>
      <w:r w:rsidRPr="00E21E38">
        <w:t>rizontal and vertical movement of structures. The unit requires the ability to apply high level surveying computations to surveying problems, including conducting statistical analysis of measurements and errors to achieve specified accuracies and tolerance</w:t>
      </w:r>
      <w:r w:rsidRPr="00E21E38">
        <w:t xml:space="preserve">s. </w:t>
      </w:r>
    </w:p>
    <w:p w:rsidR="00000000" w:rsidRPr="00E21E38" w:rsidP="00945FDE">
      <w:pPr>
        <w:pStyle w:val="BodyText"/>
      </w:pPr>
      <w:r w:rsidRPr="00E21E38">
        <w:t>The unit supports those who work under limited supervision in a surveying team.</w:t>
      </w:r>
    </w:p>
    <w:p w:rsidR="00000000" w:rsidRPr="00E21E38" w:rsidP="00945FDE">
      <w:pPr>
        <w:pStyle w:val="BodyText"/>
      </w:pPr>
      <w:r w:rsidRPr="00E21E38">
        <w:t>No licensing, legislative, regulatory, or certification requirements apply to this unit of competency at the time of endorsement.</w:t>
      </w:r>
    </w:p>
    <w:p w:rsidR="00000000" w:rsidRPr="00E21E38" w:rsidP="00E21E38">
      <w:pPr>
        <w:pStyle w:val="Heading1"/>
      </w:pPr>
      <w:bookmarkStart w:id="3" w:name="O_837641"/>
      <w:bookmarkEnd w:id="3"/>
      <w:r w:rsidRPr="00E21E38">
        <w:t>Pre-requisite Unit</w:t>
      </w:r>
    </w:p>
    <w:p w:rsidR="00000000" w:rsidRPr="00E21E38" w:rsidP="00945FDE">
      <w:pPr>
        <w:pStyle w:val="BodyText"/>
      </w:pPr>
      <w:r w:rsidRPr="00E21E38">
        <w:t>Nil</w:t>
      </w:r>
    </w:p>
    <w:p w:rsidR="00000000" w:rsidRPr="00E21E38" w:rsidP="00E21E38">
      <w:pPr>
        <w:pStyle w:val="Heading1"/>
      </w:pPr>
      <w:bookmarkStart w:id="4" w:name="O_837640"/>
      <w:bookmarkEnd w:id="4"/>
      <w:r w:rsidRPr="00E21E38">
        <w:t>Unit Sector</w:t>
      </w:r>
    </w:p>
    <w:p w:rsidR="00000000" w:rsidRPr="00E21E38" w:rsidP="00945FDE">
      <w:pPr>
        <w:pStyle w:val="BodyText"/>
      </w:pPr>
      <w:r w:rsidRPr="00E21E38">
        <w:t>Surveying and spatial information services</w:t>
      </w:r>
    </w:p>
    <w:p w:rsidR="00000000" w:rsidRPr="00E21E38" w:rsidP="00E21E38">
      <w:pPr>
        <w:pStyle w:val="Heading1"/>
      </w:pPr>
      <w:bookmarkStart w:id="5" w:name="O_837639"/>
      <w:bookmarkEnd w:id="5"/>
      <w:r w:rsidRPr="00E21E3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21E3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Performance criteria describe the performance needed to demonstrate achievement of the ele</w:t>
            </w:r>
            <w:r w:rsidRPr="00E21E38">
              <w:t xml:space="preserve">ment. Where bold italicised text is used, further information is detailed in the range of </w:t>
            </w:r>
            <w:r w:rsidRPr="00E21E38">
              <w:t>conditions.</w:t>
            </w: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1.</w:t>
            </w:r>
          </w:p>
        </w:tc>
        <w:tc>
          <w:tcPr>
            <w:tcW w:w="1962" w:type="dxa"/>
            <w:vMerge w:val="restart"/>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Prepare for precision survey.</w:t>
            </w:r>
          </w:p>
        </w:tc>
        <w:tc>
          <w:tcPr>
            <w:tcW w:w="77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1.1.</w:t>
            </w:r>
          </w:p>
        </w:tc>
        <w:tc>
          <w:tcPr>
            <w:tcW w:w="561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 xml:space="preserve">Project specifications, precision survey objectives, and accuracy requirements are identified in consultation with </w:t>
            </w:r>
            <w:r w:rsidRPr="00E21E38">
              <w:rPr>
                <w:rStyle w:val="BoldandItalics"/>
              </w:rPr>
              <w:t>appropriate persons</w:t>
            </w:r>
            <w:r w:rsidRPr="00E21E38">
              <w:t>.</w:t>
            </w: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1.2.</w:t>
            </w:r>
          </w:p>
        </w:tc>
        <w:tc>
          <w:tcPr>
            <w:tcW w:w="561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Risks are identified and controlled, and contingencies managed according to organisational requirements.</w:t>
            </w: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1.3.</w:t>
            </w:r>
          </w:p>
        </w:tc>
        <w:tc>
          <w:tcPr>
            <w:tcW w:w="561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Specialised equipment and attachments for precise levelling and setting out are determined and selected according to project specifications.</w:t>
            </w: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1.4.</w:t>
            </w:r>
          </w:p>
        </w:tc>
        <w:tc>
          <w:tcPr>
            <w:tcW w:w="561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Precise levelling run is carried out and results are calculated and recorded according to organisational r</w:t>
            </w:r>
            <w:r w:rsidRPr="00E21E38">
              <w:t>equirements.</w:t>
            </w: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2.</w:t>
            </w:r>
          </w:p>
        </w:tc>
        <w:tc>
          <w:tcPr>
            <w:tcW w:w="1962" w:type="dxa"/>
            <w:vMerge w:val="restart"/>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Apply techniques for precise setting out.</w:t>
            </w:r>
          </w:p>
        </w:tc>
        <w:tc>
          <w:tcPr>
            <w:tcW w:w="77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2.1.</w:t>
            </w:r>
          </w:p>
        </w:tc>
        <w:tc>
          <w:tcPr>
            <w:tcW w:w="561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Applications of specialised surveying techniques used for precise setting out are determined according to project specifications.</w:t>
            </w: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21E38" w:rsidP="00E21E38">
            <w:pPr>
              <w:pStyle w:val="BodyText"/>
            </w:pPr>
            <w:r w:rsidRPr="00E21E38">
              <w:t>2.2.</w:t>
            </w:r>
          </w:p>
        </w:tc>
        <w:tc>
          <w:tcPr>
            <w:tcW w:w="561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rPr>
                <w:rStyle w:val="BoldandItalics"/>
              </w:rPr>
              <w:t>Remote measuring systems</w:t>
            </w:r>
            <w:r w:rsidRPr="00E21E38">
              <w:t xml:space="preserve"> to be used for</w:t>
            </w:r>
            <w:r w:rsidRPr="00E21E38">
              <w:t xml:space="preserve"> industrial measurements are determined according to project specifications.</w:t>
            </w: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2.3.</w:t>
            </w:r>
          </w:p>
        </w:tc>
        <w:tc>
          <w:tcPr>
            <w:tcW w:w="561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Set-out and observations are conducted according to project specifications, using instruments and attachments suitable for precise setting out.</w:t>
            </w: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3.</w:t>
            </w:r>
          </w:p>
        </w:tc>
        <w:tc>
          <w:tcPr>
            <w:tcW w:w="1962" w:type="dxa"/>
            <w:vMerge w:val="restart"/>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Detect structural deflection and deformation.</w:t>
            </w:r>
          </w:p>
        </w:tc>
        <w:tc>
          <w:tcPr>
            <w:tcW w:w="77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3.1.</w:t>
            </w:r>
          </w:p>
        </w:tc>
        <w:tc>
          <w:tcPr>
            <w:tcW w:w="561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Survey methods used to check horizontal movement of engineering structures and instruments used to monitor verticality of tall structures are determined.</w:t>
            </w: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3.2.</w:t>
            </w:r>
          </w:p>
        </w:tc>
        <w:tc>
          <w:tcPr>
            <w:tcW w:w="561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Survey methods used to check vertical movem</w:t>
            </w:r>
            <w:r w:rsidRPr="00E21E38">
              <w:t>ent due to settlement of engineering structures caused by tunnelling and mining are determined.</w:t>
            </w: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3.3.</w:t>
            </w:r>
          </w:p>
        </w:tc>
        <w:tc>
          <w:tcPr>
            <w:tcW w:w="561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 xml:space="preserve">Precision survey of an accuracy that will detect and monitor deformation or deflection of engineering structure is carried out according to </w:t>
            </w:r>
            <w:r w:rsidRPr="00E21E38">
              <w:t>project specifications.</w:t>
            </w: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4.</w:t>
            </w:r>
          </w:p>
        </w:tc>
        <w:tc>
          <w:tcPr>
            <w:tcW w:w="1962" w:type="dxa"/>
            <w:vMerge w:val="restart"/>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Finalise precision survey.</w:t>
            </w:r>
          </w:p>
        </w:tc>
        <w:tc>
          <w:tcPr>
            <w:tcW w:w="77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4.1.</w:t>
            </w:r>
          </w:p>
        </w:tc>
        <w:tc>
          <w:tcPr>
            <w:tcW w:w="561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Precision survey is finalised and checked according to project specifications and organisational requirements.</w:t>
            </w: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4.2.</w:t>
            </w:r>
          </w:p>
        </w:tc>
        <w:tc>
          <w:tcPr>
            <w:tcW w:w="561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Appropriate persons are notified of survey results according t</w:t>
            </w:r>
            <w:r w:rsidRPr="00E21E38">
              <w:t>o organisational requirements.</w:t>
            </w:r>
          </w:p>
        </w:tc>
      </w:tr>
      <w:tr w:rsidTr="00E21E3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4.3.</w:t>
            </w:r>
          </w:p>
        </w:tc>
        <w:tc>
          <w:tcPr>
            <w:tcW w:w="5610" w:type="dxa"/>
            <w:tcBorders>
              <w:top w:val="nil"/>
              <w:left w:val="nil"/>
              <w:bottom w:val="nil"/>
              <w:right w:val="nil"/>
            </w:tcBorders>
            <w:tcMar>
              <w:top w:w="0" w:type="dxa"/>
              <w:left w:w="62" w:type="dxa"/>
              <w:bottom w:w="0" w:type="dxa"/>
              <w:right w:w="62" w:type="dxa"/>
            </w:tcMar>
          </w:tcPr>
          <w:p w:rsidR="00000000" w:rsidRPr="00E21E38" w:rsidP="00E21E38">
            <w:pPr>
              <w:pStyle w:val="BodyText"/>
            </w:pPr>
            <w:r w:rsidRPr="00E21E38">
              <w:t>Survey documentation is completed and data archived according to organisational requirements.</w:t>
            </w:r>
          </w:p>
        </w:tc>
      </w:tr>
    </w:tbl>
    <w:p w:rsidR="00000000" w:rsidRPr="00E21E38" w:rsidP="00E21E38">
      <w:pPr>
        <w:pStyle w:val="BodyText"/>
      </w:pPr>
    </w:p>
    <w:p w:rsidR="00000000" w:rsidRPr="00E21E38" w:rsidP="00E21E38">
      <w:pPr>
        <w:pStyle w:val="AllowPageBreak"/>
      </w:pPr>
    </w:p>
    <w:p w:rsidR="00000000" w:rsidRPr="00E21E38" w:rsidP="00E21E38">
      <w:pPr>
        <w:pStyle w:val="Heading1"/>
      </w:pPr>
      <w:bookmarkStart w:id="6" w:name="O_837638"/>
      <w:bookmarkEnd w:id="6"/>
      <w:r w:rsidRPr="00E21E38">
        <w:t>Foundation Skills</w:t>
      </w:r>
    </w:p>
    <w:tbl>
      <w:tblPr>
        <w:tblW w:w="0" w:type="auto"/>
        <w:tblLayout w:type="fixed"/>
        <w:tblCellMar>
          <w:left w:w="62" w:type="dxa"/>
          <w:right w:w="62" w:type="dxa"/>
        </w:tblCellMar>
        <w:tblLook w:val="0000"/>
      </w:tblPr>
      <w:tblGrid>
        <w:gridCol w:w="2195"/>
        <w:gridCol w:w="6877"/>
      </w:tblGrid>
      <w:tr w:rsidTr="00E21E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This section describes the language, literacy, numeracy and employment skills essentia</w:t>
            </w:r>
            <w:r w:rsidRPr="00E21E38">
              <w:t>l to performance in this unit but not explicit in the performance criteria.</w:t>
            </w:r>
          </w:p>
        </w:tc>
      </w:tr>
      <w:tr w:rsidTr="00E21E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21E38" w:rsidP="00E21E38">
            <w:pPr>
              <w:pStyle w:val="BodyText"/>
            </w:pPr>
            <w:r w:rsidRPr="00E21E38">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rPr>
                <w:rStyle w:val="SpecialBold"/>
              </w:rPr>
              <w:t>Performance feature</w:t>
            </w:r>
          </w:p>
        </w:tc>
      </w:tr>
      <w:tr w:rsidTr="00E21E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E21E38">
            <w:pPr>
              <w:pStyle w:val="ListBullet"/>
              <w:rPr>
                <w:lang w:val="en-NZ"/>
              </w:rPr>
            </w:pPr>
            <w:r w:rsidRPr="00E21E38">
              <w:t>plan and prioritise work to meet survey timeframes.</w:t>
            </w:r>
          </w:p>
        </w:tc>
      </w:tr>
      <w:tr w:rsidTr="00E21E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p>
        </w:tc>
      </w:tr>
      <w:tr w:rsidTr="00E21E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Numeracy skills to:</w:t>
            </w:r>
          </w:p>
        </w:tc>
        <w:tc>
          <w:tcPr>
            <w:tcW w:w="6877" w:type="dxa"/>
            <w:tcBorders>
              <w:top w:val="nil"/>
              <w:left w:val="nil"/>
              <w:bottom w:val="nil"/>
              <w:right w:val="nil"/>
            </w:tcBorders>
            <w:tcMar>
              <w:top w:w="0" w:type="dxa"/>
              <w:left w:w="62" w:type="dxa"/>
              <w:bottom w:w="0" w:type="dxa"/>
              <w:right w:w="62" w:type="dxa"/>
            </w:tcMar>
          </w:tcPr>
          <w:p w:rsidR="00000000" w:rsidRPr="00E21E38" w:rsidP="00E21E38">
            <w:pPr>
              <w:pStyle w:val="ListBullet"/>
            </w:pPr>
            <w:r w:rsidRPr="00E21E38">
              <w:t>analyse measurements between two or more points to achieve accuracy and precision in calculations</w:t>
            </w:r>
          </w:p>
          <w:p w:rsidR="00000000" w:rsidP="00E21E38">
            <w:pPr>
              <w:pStyle w:val="ListBullet"/>
              <w:rPr>
                <w:lang w:val="en-NZ"/>
              </w:rPr>
            </w:pPr>
            <w:r w:rsidRPr="00E21E38">
              <w:t>conduct error analysis relating to angle, distance and height difference, observations, values and positional results.</w:t>
            </w:r>
          </w:p>
        </w:tc>
      </w:tr>
      <w:tr w:rsidTr="00E21E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p>
        </w:tc>
      </w:tr>
      <w:tr w:rsidTr="00E21E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E21E38" w:rsidP="00E21E38">
            <w:pPr>
              <w:pStyle w:val="ListBullet"/>
            </w:pPr>
            <w:r w:rsidRPr="00E21E38">
              <w:t xml:space="preserve">ask </w:t>
            </w:r>
            <w:r w:rsidRPr="00E21E38">
              <w:t>questions to clarify survey requirements</w:t>
            </w:r>
          </w:p>
          <w:p w:rsidR="00000000" w:rsidP="00E21E38">
            <w:pPr>
              <w:pStyle w:val="ListBullet"/>
              <w:rPr>
                <w:lang w:val="en-NZ"/>
              </w:rPr>
            </w:pPr>
            <w:r w:rsidRPr="00E21E38">
              <w:t>report details of survey results.</w:t>
            </w:r>
          </w:p>
        </w:tc>
      </w:tr>
      <w:tr w:rsidTr="00E21E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p>
        </w:tc>
      </w:tr>
      <w:tr w:rsidTr="00E21E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Reading skills to:</w:t>
            </w:r>
          </w:p>
        </w:tc>
        <w:tc>
          <w:tcPr>
            <w:tcW w:w="6877" w:type="dxa"/>
            <w:tcBorders>
              <w:top w:val="nil"/>
              <w:left w:val="nil"/>
              <w:bottom w:val="nil"/>
              <w:right w:val="nil"/>
            </w:tcBorders>
            <w:tcMar>
              <w:top w:w="0" w:type="dxa"/>
              <w:left w:w="62" w:type="dxa"/>
              <w:bottom w:w="0" w:type="dxa"/>
              <w:right w:w="62" w:type="dxa"/>
            </w:tcMar>
          </w:tcPr>
          <w:p w:rsidR="00000000" w:rsidP="00E21E38">
            <w:pPr>
              <w:pStyle w:val="ListBullet"/>
              <w:rPr>
                <w:lang w:val="en-NZ"/>
              </w:rPr>
            </w:pPr>
            <w:r w:rsidRPr="00E21E38">
              <w:t>analyse graphical and technical information in construction and engineering plans.</w:t>
            </w:r>
          </w:p>
        </w:tc>
      </w:tr>
      <w:tr w:rsidTr="00E21E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p>
        </w:tc>
      </w:tr>
      <w:tr w:rsidTr="00E21E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Writing skills to:</w:t>
            </w:r>
          </w:p>
        </w:tc>
        <w:tc>
          <w:tcPr>
            <w:tcW w:w="6877" w:type="dxa"/>
            <w:tcBorders>
              <w:top w:val="nil"/>
              <w:left w:val="nil"/>
              <w:bottom w:val="nil"/>
              <w:right w:val="nil"/>
            </w:tcBorders>
            <w:tcMar>
              <w:top w:w="0" w:type="dxa"/>
              <w:left w:w="62" w:type="dxa"/>
              <w:bottom w:w="0" w:type="dxa"/>
              <w:right w:w="62" w:type="dxa"/>
            </w:tcMar>
          </w:tcPr>
          <w:p w:rsidR="00000000" w:rsidRPr="00E21E38" w:rsidP="00E21E38">
            <w:pPr>
              <w:pStyle w:val="ListBullet"/>
            </w:pPr>
            <w:r w:rsidRPr="00E21E38">
              <w:t xml:space="preserve">prepare technical reports </w:t>
            </w:r>
          </w:p>
          <w:p w:rsidR="00000000" w:rsidP="00E21E38">
            <w:pPr>
              <w:pStyle w:val="ListBullet"/>
              <w:rPr>
                <w:lang w:val="en-NZ"/>
              </w:rPr>
            </w:pPr>
            <w:r w:rsidRPr="00E21E38">
              <w:t>record technical information in organisational documentation.</w:t>
            </w:r>
          </w:p>
        </w:tc>
      </w:tr>
      <w:tr w:rsidTr="00E21E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p>
        </w:tc>
      </w:tr>
      <w:tr w:rsidTr="00E21E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Technology skills to:</w:t>
            </w:r>
          </w:p>
        </w:tc>
        <w:tc>
          <w:tcPr>
            <w:tcW w:w="6877" w:type="dxa"/>
            <w:tcBorders>
              <w:top w:val="nil"/>
              <w:left w:val="nil"/>
              <w:bottom w:val="nil"/>
              <w:right w:val="nil"/>
            </w:tcBorders>
            <w:tcMar>
              <w:top w:w="0" w:type="dxa"/>
              <w:left w:w="62" w:type="dxa"/>
              <w:bottom w:w="0" w:type="dxa"/>
              <w:right w:w="62" w:type="dxa"/>
            </w:tcMar>
          </w:tcPr>
          <w:p w:rsidR="00000000" w:rsidP="00E21E38">
            <w:pPr>
              <w:pStyle w:val="ListBullet"/>
              <w:rPr>
                <w:lang w:val="en-NZ"/>
              </w:rPr>
            </w:pPr>
            <w:r w:rsidRPr="00E21E38">
              <w:t>calibrate specialist instruments and attachments.</w:t>
            </w:r>
          </w:p>
        </w:tc>
      </w:tr>
      <w:tr w:rsidTr="00E21E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p>
        </w:tc>
      </w:tr>
      <w:tr w:rsidTr="00E21E3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Problem-solving skills to:</w:t>
            </w:r>
          </w:p>
        </w:tc>
        <w:tc>
          <w:tcPr>
            <w:tcW w:w="6877" w:type="dxa"/>
            <w:tcBorders>
              <w:top w:val="nil"/>
              <w:left w:val="nil"/>
              <w:bottom w:val="nil"/>
              <w:right w:val="nil"/>
            </w:tcBorders>
            <w:tcMar>
              <w:top w:w="0" w:type="dxa"/>
              <w:left w:w="62" w:type="dxa"/>
              <w:bottom w:w="0" w:type="dxa"/>
              <w:right w:w="62" w:type="dxa"/>
            </w:tcMar>
          </w:tcPr>
          <w:p w:rsidR="00000000" w:rsidRPr="00E21E38" w:rsidP="00E21E38">
            <w:pPr>
              <w:pStyle w:val="ListBullet"/>
            </w:pPr>
            <w:r w:rsidRPr="00E21E38">
              <w:t>apply risk control and contingency strategies to anticipated and identified problems.</w:t>
            </w:r>
          </w:p>
        </w:tc>
      </w:tr>
    </w:tbl>
    <w:p w:rsidR="00000000" w:rsidRPr="00E21E38" w:rsidP="00E21E38">
      <w:pPr>
        <w:pStyle w:val="BodyText"/>
      </w:pPr>
    </w:p>
    <w:p w:rsidR="00000000" w:rsidRPr="00E21E38" w:rsidP="00E21E38">
      <w:pPr>
        <w:pStyle w:val="AllowPageBreak"/>
      </w:pPr>
    </w:p>
    <w:p w:rsidR="00000000" w:rsidRPr="00E21E38" w:rsidP="00E21E38">
      <w:pPr>
        <w:pStyle w:val="Heading1"/>
      </w:pPr>
      <w:bookmarkStart w:id="7" w:name="O_837637"/>
      <w:bookmarkEnd w:id="7"/>
      <w:r w:rsidRPr="00E21E38">
        <w:t>Range of Conditions</w:t>
      </w:r>
    </w:p>
    <w:tbl>
      <w:tblPr>
        <w:tblW w:w="0" w:type="auto"/>
        <w:tblLayout w:type="fixed"/>
        <w:tblCellMar>
          <w:left w:w="62" w:type="dxa"/>
          <w:right w:w="62" w:type="dxa"/>
        </w:tblCellMar>
        <w:tblLook w:val="0000"/>
      </w:tblPr>
      <w:tblGrid>
        <w:gridCol w:w="2364"/>
        <w:gridCol w:w="6708"/>
      </w:tblGrid>
      <w:tr w:rsidTr="00E21E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t>This section specifies work environments and conditions that may affect performance. Essential operating conditions that may be present (depending on the work situation, needs of the candidate, accessibility of the i</w:t>
            </w:r>
            <w:r w:rsidRPr="00E21E38">
              <w:t>tem, and local industry and regional contexts) are included. Bold italicised wording, if used in the performance criteria, is detailed below.</w:t>
            </w:r>
          </w:p>
        </w:tc>
      </w:tr>
      <w:tr w:rsidTr="00E21E3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rPr>
                <w:rStyle w:val="BoldandItalics"/>
              </w:rPr>
              <w:t xml:space="preserve">Appropriate persons </w:t>
            </w:r>
            <w:r w:rsidRPr="00E21E38">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E21E38" w:rsidP="00E21E38">
            <w:pPr>
              <w:pStyle w:val="ListBullet"/>
            </w:pPr>
            <w:r w:rsidRPr="00E21E38">
              <w:t>client</w:t>
            </w:r>
          </w:p>
          <w:p w:rsidR="00000000" w:rsidRPr="00E21E38" w:rsidP="00E21E38">
            <w:pPr>
              <w:pStyle w:val="ListBullet"/>
            </w:pPr>
            <w:r w:rsidRPr="00E21E38">
              <w:t>colleague</w:t>
            </w:r>
          </w:p>
          <w:p w:rsidR="00000000" w:rsidRPr="00E21E38" w:rsidP="00E21E38">
            <w:pPr>
              <w:pStyle w:val="ListBullet"/>
            </w:pPr>
            <w:r w:rsidRPr="00E21E38">
              <w:t>engineer</w:t>
            </w:r>
          </w:p>
          <w:p w:rsidR="00000000" w:rsidRPr="00E21E38" w:rsidP="00E21E38">
            <w:pPr>
              <w:pStyle w:val="ListBullet"/>
            </w:pPr>
            <w:r w:rsidRPr="00E21E38">
              <w:t>manager</w:t>
            </w:r>
          </w:p>
          <w:p w:rsidR="00000000" w:rsidP="00E21E38">
            <w:pPr>
              <w:pStyle w:val="ListBullet"/>
              <w:rPr>
                <w:lang w:val="en-NZ"/>
              </w:rPr>
            </w:pPr>
            <w:r w:rsidRPr="00E21E38">
              <w:t>registered or qualified surveyor.</w:t>
            </w:r>
          </w:p>
        </w:tc>
      </w:tr>
      <w:tr w:rsidTr="00E21E3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p>
        </w:tc>
      </w:tr>
      <w:tr w:rsidTr="00E21E3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21E38">
            <w:pPr>
              <w:pStyle w:val="BodyText"/>
              <w:rPr>
                <w:lang w:val="en-NZ"/>
              </w:rPr>
            </w:pPr>
            <w:r w:rsidRPr="00E21E38">
              <w:rPr>
                <w:rStyle w:val="BoldandItalics"/>
              </w:rPr>
              <w:t xml:space="preserve">Remote measuring systems </w:t>
            </w:r>
            <w:r w:rsidRPr="00E21E38">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E21E38" w:rsidP="00E21E38">
            <w:pPr>
              <w:pStyle w:val="ListBullet"/>
            </w:pPr>
            <w:r w:rsidRPr="00E21E38">
              <w:t>precise intersection techniques</w:t>
            </w:r>
          </w:p>
          <w:p w:rsidR="00000000" w:rsidRPr="00E21E38" w:rsidP="00E21E38">
            <w:pPr>
              <w:pStyle w:val="ListBullet"/>
            </w:pPr>
            <w:r w:rsidRPr="00E21E38">
              <w:t>robotic instruments</w:t>
            </w:r>
          </w:p>
          <w:p w:rsidR="00000000" w:rsidRPr="00E21E38" w:rsidP="00E21E38">
            <w:pPr>
              <w:pStyle w:val="ListBullet"/>
            </w:pPr>
            <w:r w:rsidRPr="00E21E38">
              <w:t>terrestrial photogrammetry.</w:t>
            </w:r>
          </w:p>
        </w:tc>
      </w:tr>
    </w:tbl>
    <w:p w:rsidR="00000000" w:rsidRPr="00E21E38" w:rsidP="00E21E38">
      <w:pPr>
        <w:pStyle w:val="BodyText"/>
      </w:pPr>
    </w:p>
    <w:p w:rsidR="00000000" w:rsidRPr="00E21E38" w:rsidP="00E21E38">
      <w:pPr>
        <w:pStyle w:val="AllowPageBreak"/>
      </w:pPr>
    </w:p>
    <w:p w:rsidR="00000000" w:rsidRPr="00E21E38" w:rsidP="00E21E38">
      <w:pPr>
        <w:pStyle w:val="Heading1"/>
      </w:pPr>
      <w:bookmarkStart w:id="8" w:name="O_837636"/>
      <w:bookmarkEnd w:id="8"/>
      <w:r w:rsidRPr="00E21E38">
        <w:t>Unit Mapping Information</w:t>
      </w:r>
    </w:p>
    <w:p w:rsidR="00000000" w:rsidRPr="00E21E38" w:rsidP="00945FDE">
      <w:pPr>
        <w:pStyle w:val="BodyText"/>
      </w:pPr>
      <w:r w:rsidRPr="00E21E38">
        <w:t>CPPSIS5057A Carry out a precision survey</w:t>
      </w:r>
    </w:p>
    <w:p w:rsidR="00000000" w:rsidRPr="00E21E38" w:rsidP="00E21E38">
      <w:pPr>
        <w:pStyle w:val="Heading1"/>
      </w:pPr>
      <w:bookmarkStart w:id="9" w:name="O_837629"/>
      <w:bookmarkEnd w:id="9"/>
      <w:r w:rsidRPr="00E21E38">
        <w:t>Links</w:t>
      </w:r>
    </w:p>
    <w:p w:rsidR="00000000" w:rsidRPr="00E21E38" w:rsidP="00945FDE">
      <w:pPr>
        <w:pStyle w:val="BodyText"/>
      </w:pPr>
      <w:r w:rsidRPr="00E21E3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E176D">
        <w:rPr>
          <w:rStyle w:val="Hyperlink"/>
        </w:rPr>
        <w:t>https://vetnet.gov.au/Pages/TrainingDocs.aspx?q=6f3f9672-30e8-4835-b348-205dfcf13d9b</w:t>
      </w:r>
      <w:r>
        <w:fldChar w:fldCharType="end"/>
      </w:r>
    </w:p>
    <w:p w:rsidR="00000000" w:rsidRPr="00E21E38" w:rsidP="00E21E38"/>
    <w:sectPr w:rsidSect="00E21E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38" w:rsidRPr="00945FDE" w:rsidP="00945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FDE" w:rsidP="00E21E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5FDE" w:rsidP="00E21E3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945FDE" w:rsidP="00E21E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1E38" w:rsidRPr="00945FDE" w:rsidP="00945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FDE" w:rsidRPr="002D2AF8" w:rsidP="00E21E38">
    <w:pPr>
      <w:pStyle w:val="Header"/>
      <w:framePr w:wrap="around"/>
    </w:pPr>
    <w:r>
      <w:fldChar w:fldCharType="begin"/>
    </w:r>
    <w:r>
      <w:instrText xml:space="preserve"> TITLE   \* MERGEFORMAT </w:instrText>
    </w:r>
    <w:r>
      <w:fldChar w:fldCharType="separate"/>
    </w:r>
    <w:r>
      <w:t>CPPSIS5057 Conduct precision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945FDE" w:rsidP="00E21E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74B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8AE0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E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1E38"/>
    <w:pPr>
      <w:spacing w:before="360" w:after="60"/>
      <w:outlineLvl w:val="0"/>
    </w:pPr>
    <w:rPr>
      <w:sz w:val="32"/>
    </w:rPr>
  </w:style>
  <w:style w:type="paragraph" w:styleId="Heading2">
    <w:name w:val="heading 2"/>
    <w:basedOn w:val="HeadingBase"/>
    <w:next w:val="BodyText"/>
    <w:link w:val="Heading2Char"/>
    <w:qFormat/>
    <w:rsid w:val="00E21E38"/>
    <w:pPr>
      <w:keepLines/>
      <w:spacing w:before="240" w:after="120"/>
      <w:outlineLvl w:val="1"/>
    </w:pPr>
    <w:rPr>
      <w:sz w:val="28"/>
      <w:szCs w:val="40"/>
    </w:rPr>
  </w:style>
  <w:style w:type="paragraph" w:styleId="Heading3">
    <w:name w:val="heading 3"/>
    <w:basedOn w:val="HeadingBase"/>
    <w:next w:val="BodyText"/>
    <w:link w:val="Heading3Char"/>
    <w:qFormat/>
    <w:rsid w:val="00E21E38"/>
    <w:pPr>
      <w:spacing w:before="180" w:after="120"/>
      <w:outlineLvl w:val="2"/>
    </w:pPr>
    <w:rPr>
      <w:spacing w:val="-10"/>
      <w:kern w:val="32"/>
    </w:rPr>
  </w:style>
  <w:style w:type="paragraph" w:styleId="Heading4">
    <w:name w:val="heading 4"/>
    <w:basedOn w:val="HeadingBase"/>
    <w:next w:val="BodyText"/>
    <w:link w:val="Heading4Char"/>
    <w:qFormat/>
    <w:rsid w:val="00E21E38"/>
    <w:pPr>
      <w:spacing w:before="160" w:after="120"/>
      <w:outlineLvl w:val="3"/>
    </w:pPr>
    <w:rPr>
      <w:sz w:val="22"/>
    </w:rPr>
  </w:style>
  <w:style w:type="paragraph" w:styleId="Heading5">
    <w:name w:val="heading 5"/>
    <w:basedOn w:val="HeadingBase"/>
    <w:next w:val="Normal"/>
    <w:link w:val="Heading5Char"/>
    <w:qFormat/>
    <w:rsid w:val="00E21E38"/>
    <w:pPr>
      <w:spacing w:before="80"/>
      <w:outlineLvl w:val="4"/>
    </w:pPr>
    <w:rPr>
      <w:color w:val="918585"/>
      <w:sz w:val="20"/>
    </w:rPr>
  </w:style>
  <w:style w:type="paragraph" w:styleId="Heading6">
    <w:name w:val="heading 6"/>
    <w:basedOn w:val="HeadingBase"/>
    <w:next w:val="Normal"/>
    <w:link w:val="Heading6Char"/>
    <w:qFormat/>
    <w:rsid w:val="00E21E38"/>
    <w:pPr>
      <w:spacing w:before="60"/>
      <w:outlineLvl w:val="5"/>
    </w:pPr>
    <w:rPr>
      <w:color w:val="918585"/>
      <w:sz w:val="20"/>
    </w:rPr>
  </w:style>
  <w:style w:type="paragraph" w:styleId="Heading7">
    <w:name w:val="heading 7"/>
    <w:basedOn w:val="Normal"/>
    <w:next w:val="Normal"/>
    <w:link w:val="Heading7Char"/>
    <w:qFormat/>
    <w:rsid w:val="00E21E38"/>
    <w:pPr>
      <w:ind w:left="720"/>
      <w:outlineLvl w:val="6"/>
    </w:pPr>
    <w:rPr>
      <w:i/>
    </w:rPr>
  </w:style>
  <w:style w:type="paragraph" w:styleId="Heading8">
    <w:name w:val="heading 8"/>
    <w:basedOn w:val="Normal"/>
    <w:next w:val="Normal"/>
    <w:link w:val="Heading8Char"/>
    <w:qFormat/>
    <w:rsid w:val="00E21E38"/>
    <w:pPr>
      <w:ind w:left="720"/>
      <w:outlineLvl w:val="7"/>
    </w:pPr>
    <w:rPr>
      <w:i/>
    </w:rPr>
  </w:style>
  <w:style w:type="paragraph" w:styleId="Heading9">
    <w:name w:val="heading 9"/>
    <w:basedOn w:val="Normal"/>
    <w:next w:val="Normal"/>
    <w:link w:val="Heading9Char"/>
    <w:qFormat/>
    <w:rsid w:val="00E21E38"/>
    <w:pPr>
      <w:ind w:left="720"/>
      <w:outlineLvl w:val="8"/>
    </w:pPr>
    <w:rPr>
      <w:i/>
    </w:rPr>
  </w:style>
  <w:style w:type="character" w:default="1" w:styleId="DefaultParagraphFont">
    <w:name w:val="Default Paragraph Font"/>
    <w:uiPriority w:val="1"/>
    <w:unhideWhenUsed/>
    <w:rsid w:val="00E21E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E38"/>
  </w:style>
  <w:style w:type="character" w:customStyle="1" w:styleId="Heading1Char">
    <w:name w:val="Heading 1 Char"/>
    <w:basedOn w:val="DefaultParagraphFont"/>
    <w:link w:val="Heading1"/>
    <w:rsid w:val="00E21E38"/>
    <w:rPr>
      <w:rFonts w:ascii="Times New Roman" w:eastAsia="Times New Roman" w:hAnsi="Times New Roman" w:cs="Times New Roman"/>
      <w:b/>
      <w:sz w:val="32"/>
      <w:szCs w:val="20"/>
      <w:lang w:eastAsia="en-US"/>
    </w:rPr>
  </w:style>
  <w:style w:type="paragraph" w:styleId="BodyText">
    <w:name w:val="Body Text"/>
    <w:basedOn w:val="Normal"/>
    <w:link w:val="BodyTextChar"/>
    <w:rsid w:val="00E21E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1E38"/>
    <w:rPr>
      <w:rFonts w:ascii="Times New Roman" w:eastAsia="Times New Roman" w:hAnsi="Times New Roman" w:cs="Times New Roman"/>
      <w:sz w:val="24"/>
      <w:lang w:eastAsia="en-US"/>
    </w:rPr>
  </w:style>
  <w:style w:type="paragraph" w:styleId="ListBullet">
    <w:name w:val="List Bullet"/>
    <w:basedOn w:val="List"/>
    <w:rsid w:val="00E21E38"/>
    <w:pPr>
      <w:numPr>
        <w:numId w:val="11"/>
      </w:numPr>
      <w:tabs>
        <w:tab w:val="clear" w:pos="340"/>
      </w:tabs>
      <w:spacing w:before="40" w:after="40"/>
    </w:pPr>
  </w:style>
  <w:style w:type="character" w:customStyle="1" w:styleId="SpecialBold">
    <w:name w:val="Special Bold"/>
    <w:basedOn w:val="DefaultParagraphFont"/>
    <w:rsid w:val="00E21E38"/>
    <w:rPr>
      <w:b/>
      <w:spacing w:val="0"/>
    </w:rPr>
  </w:style>
  <w:style w:type="paragraph" w:customStyle="1" w:styleId="SuperHeading">
    <w:name w:val="SuperHeading"/>
    <w:basedOn w:val="Normal"/>
    <w:rsid w:val="00E21E38"/>
    <w:pPr>
      <w:spacing w:before="240" w:after="120"/>
      <w:outlineLvl w:val="0"/>
    </w:pPr>
    <w:rPr>
      <w:rFonts w:ascii="Times New Roman" w:hAnsi="Times New Roman"/>
      <w:b/>
      <w:sz w:val="32"/>
    </w:rPr>
  </w:style>
  <w:style w:type="paragraph" w:customStyle="1" w:styleId="AllowPageBreak">
    <w:name w:val="AllowPageBreak"/>
    <w:rsid w:val="00E21E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1E38"/>
    <w:rPr>
      <w:b/>
      <w:i/>
      <w:u w:val="none"/>
    </w:rPr>
  </w:style>
  <w:style w:type="character" w:customStyle="1" w:styleId="Heading2Char">
    <w:name w:val="Heading 2 Char"/>
    <w:basedOn w:val="DefaultParagraphFont"/>
    <w:link w:val="Heading2"/>
    <w:rsid w:val="00E21E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E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E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E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E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E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1E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1E38"/>
    <w:rPr>
      <w:rFonts w:ascii="Courier New" w:eastAsia="Times New Roman" w:hAnsi="Courier New" w:cs="Times New Roman"/>
      <w:i/>
      <w:szCs w:val="20"/>
      <w:lang w:eastAsia="en-US"/>
    </w:rPr>
  </w:style>
  <w:style w:type="paragraph" w:customStyle="1" w:styleId="HeadingBase">
    <w:name w:val="Heading Base"/>
    <w:rsid w:val="00E21E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E38"/>
    <w:pPr>
      <w:tabs>
        <w:tab w:val="right" w:leader="dot" w:pos="9072"/>
      </w:tabs>
      <w:ind w:left="567"/>
    </w:pPr>
    <w:rPr>
      <w:szCs w:val="22"/>
    </w:rPr>
  </w:style>
  <w:style w:type="paragraph" w:customStyle="1" w:styleId="TOCBase">
    <w:name w:val="TOC Base"/>
    <w:rsid w:val="00E21E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E38"/>
    <w:pPr>
      <w:tabs>
        <w:tab w:val="right" w:leader="dot" w:pos="9072"/>
      </w:tabs>
      <w:spacing w:before="40" w:after="40"/>
      <w:ind w:left="284"/>
    </w:pPr>
    <w:rPr>
      <w:rFonts w:ascii="Times New Roman" w:hAnsi="Times New Roman"/>
    </w:rPr>
  </w:style>
  <w:style w:type="paragraph" w:styleId="TOC1">
    <w:name w:val="toc 1"/>
    <w:basedOn w:val="TOCBase"/>
    <w:next w:val="Normal"/>
    <w:rsid w:val="00E21E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1E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E38"/>
    <w:rPr>
      <w:rFonts w:ascii="Times New Roman" w:eastAsia="Times New Roman" w:hAnsi="Times New Roman" w:cs="Times New Roman"/>
      <w:sz w:val="16"/>
      <w:lang w:eastAsia="en-US"/>
    </w:rPr>
  </w:style>
  <w:style w:type="paragraph" w:styleId="Title">
    <w:name w:val="Title"/>
    <w:basedOn w:val="HeadingBase"/>
    <w:link w:val="TitleChar"/>
    <w:qFormat/>
    <w:rsid w:val="00E21E38"/>
    <w:pPr>
      <w:spacing w:before="5040"/>
      <w:jc w:val="center"/>
    </w:pPr>
    <w:rPr>
      <w:sz w:val="48"/>
      <w:szCs w:val="72"/>
      <w:lang w:val="en-US"/>
    </w:rPr>
  </w:style>
  <w:style w:type="character" w:customStyle="1" w:styleId="TitleChar">
    <w:name w:val="Title Char"/>
    <w:basedOn w:val="DefaultParagraphFont"/>
    <w:link w:val="Title"/>
    <w:rsid w:val="00E21E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E38"/>
    <w:pPr>
      <w:tabs>
        <w:tab w:val="left" w:pos="3600"/>
        <w:tab w:val="left" w:pos="3958"/>
      </w:tabs>
    </w:pPr>
  </w:style>
  <w:style w:type="paragraph" w:styleId="List">
    <w:name w:val="List"/>
    <w:basedOn w:val="BodyText"/>
    <w:next w:val="BodyText"/>
    <w:rsid w:val="00E21E38"/>
    <w:pPr>
      <w:tabs>
        <w:tab w:val="left" w:pos="340"/>
      </w:tabs>
      <w:spacing w:before="60" w:after="60"/>
      <w:ind w:left="340" w:hanging="340"/>
    </w:pPr>
  </w:style>
  <w:style w:type="paragraph" w:customStyle="1" w:styleId="Note">
    <w:name w:val="Note"/>
    <w:basedOn w:val="BodyText"/>
    <w:rsid w:val="00E21E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E38"/>
    <w:pPr>
      <w:framePr w:wrap="auto" w:hAnchor="text" w:y="6049"/>
    </w:pPr>
    <w:rPr>
      <w:color w:val="000000"/>
      <w:sz w:val="40"/>
    </w:rPr>
  </w:style>
  <w:style w:type="paragraph" w:customStyle="1" w:styleId="TOCTitle">
    <w:name w:val="TOCTitle"/>
    <w:basedOn w:val="Heading1"/>
    <w:rsid w:val="00E21E38"/>
    <w:pPr>
      <w:spacing w:after="240"/>
      <w:jc w:val="center"/>
      <w:outlineLvl w:val="9"/>
    </w:pPr>
    <w:rPr>
      <w:caps/>
    </w:rPr>
  </w:style>
  <w:style w:type="paragraph" w:customStyle="1" w:styleId="Version">
    <w:name w:val="Version"/>
    <w:rsid w:val="00E21E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1E38"/>
    <w:pPr>
      <w:numPr>
        <w:numId w:val="12"/>
      </w:numPr>
      <w:tabs>
        <w:tab w:val="clear" w:pos="680"/>
      </w:tabs>
    </w:pPr>
  </w:style>
  <w:style w:type="paragraph" w:styleId="Index1">
    <w:name w:val="index 1"/>
    <w:basedOn w:val="Normal"/>
    <w:next w:val="Normal"/>
    <w:semiHidden/>
    <w:rsid w:val="00E21E38"/>
    <w:pPr>
      <w:keepNext w:val="0"/>
      <w:tabs>
        <w:tab w:val="right" w:pos="4176"/>
      </w:tabs>
      <w:ind w:left="198" w:hanging="198"/>
    </w:pPr>
    <w:rPr>
      <w:rFonts w:ascii="Garamond" w:hAnsi="Garamond"/>
    </w:rPr>
  </w:style>
  <w:style w:type="paragraph" w:styleId="IndexHeading">
    <w:name w:val="index heading"/>
    <w:basedOn w:val="Normal"/>
    <w:next w:val="Index1"/>
    <w:semiHidden/>
    <w:rsid w:val="00E21E38"/>
    <w:pPr>
      <w:spacing w:before="120" w:after="120"/>
    </w:pPr>
    <w:rPr>
      <w:rFonts w:ascii="Arial" w:hAnsi="Arial"/>
      <w:b/>
      <w:color w:val="918585"/>
      <w:sz w:val="24"/>
    </w:rPr>
  </w:style>
  <w:style w:type="paragraph" w:styleId="Header">
    <w:name w:val="header"/>
    <w:basedOn w:val="Normal"/>
    <w:link w:val="HeaderChar"/>
    <w:rsid w:val="00E21E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E38"/>
    <w:rPr>
      <w:rFonts w:ascii="Times New Roman" w:eastAsia="Times New Roman" w:hAnsi="Times New Roman" w:cs="Times New Roman"/>
      <w:sz w:val="16"/>
      <w:szCs w:val="20"/>
      <w:lang w:val="en-GB" w:eastAsia="en-US"/>
    </w:rPr>
  </w:style>
  <w:style w:type="paragraph" w:customStyle="1" w:styleId="Chapter">
    <w:name w:val="Chapter"/>
    <w:basedOn w:val="Normal"/>
    <w:rsid w:val="00E21E38"/>
    <w:pPr>
      <w:spacing w:before="240"/>
    </w:pPr>
    <w:rPr>
      <w:rFonts w:ascii="Times New Roman" w:hAnsi="Times New Roman"/>
      <w:smallCaps/>
      <w:spacing w:val="80"/>
      <w:sz w:val="28"/>
    </w:rPr>
  </w:style>
  <w:style w:type="paragraph" w:customStyle="1" w:styleId="InChapter">
    <w:name w:val="InChapter"/>
    <w:basedOn w:val="Heading3"/>
    <w:rsid w:val="00E21E38"/>
    <w:pPr>
      <w:spacing w:after="240"/>
      <w:outlineLvl w:val="9"/>
    </w:pPr>
    <w:rPr>
      <w:noProof/>
    </w:rPr>
  </w:style>
  <w:style w:type="paragraph" w:styleId="Index2">
    <w:name w:val="index 2"/>
    <w:basedOn w:val="Normal"/>
    <w:next w:val="Normal"/>
    <w:semiHidden/>
    <w:rsid w:val="00E21E38"/>
    <w:pPr>
      <w:tabs>
        <w:tab w:val="right" w:pos="4176"/>
      </w:tabs>
      <w:ind w:left="568" w:hanging="284"/>
    </w:pPr>
    <w:rPr>
      <w:rFonts w:ascii="Garamond" w:hAnsi="Garamond"/>
    </w:rPr>
  </w:style>
  <w:style w:type="paragraph" w:customStyle="1" w:styleId="Byline">
    <w:name w:val="Byline"/>
    <w:rsid w:val="00E21E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E38"/>
    <w:pPr>
      <w:tabs>
        <w:tab w:val="clear" w:pos="3600"/>
        <w:tab w:val="clear" w:pos="3958"/>
      </w:tabs>
      <w:jc w:val="right"/>
    </w:pPr>
  </w:style>
  <w:style w:type="character" w:styleId="Emphasis">
    <w:name w:val="Emphasis"/>
    <w:basedOn w:val="DefaultParagraphFont"/>
    <w:qFormat/>
    <w:rsid w:val="00E21E38"/>
    <w:rPr>
      <w:i/>
    </w:rPr>
  </w:style>
  <w:style w:type="paragraph" w:styleId="Caption">
    <w:name w:val="caption"/>
    <w:basedOn w:val="BodyText"/>
    <w:next w:val="Normal"/>
    <w:qFormat/>
    <w:rsid w:val="00E21E38"/>
    <w:pPr>
      <w:framePr w:w="2268" w:hSpace="181" w:vSpace="181" w:wrap="around" w:vAnchor="text" w:hAnchor="page" w:x="1135" w:y="285" w:anchorLock="1"/>
    </w:pPr>
    <w:rPr>
      <w:i/>
    </w:rPr>
  </w:style>
  <w:style w:type="paragraph" w:customStyle="1" w:styleId="MiniTOCTitle">
    <w:name w:val="MiniTOCTitle"/>
    <w:basedOn w:val="Heading4"/>
    <w:rsid w:val="00E21E38"/>
    <w:pPr>
      <w:spacing w:before="240"/>
      <w:outlineLvl w:val="9"/>
    </w:pPr>
    <w:rPr>
      <w:noProof/>
      <w:sz w:val="24"/>
    </w:rPr>
  </w:style>
  <w:style w:type="paragraph" w:customStyle="1" w:styleId="MiniTOCItem">
    <w:name w:val="MiniTOCItem"/>
    <w:basedOn w:val="ListBullet"/>
    <w:rsid w:val="00E21E38"/>
    <w:pPr>
      <w:numPr>
        <w:numId w:val="0"/>
      </w:numPr>
      <w:tabs>
        <w:tab w:val="right" w:leader="dot" w:pos="6521"/>
      </w:tabs>
      <w:spacing w:before="0" w:after="0"/>
    </w:pPr>
  </w:style>
  <w:style w:type="paragraph" w:customStyle="1" w:styleId="TOFTitle">
    <w:name w:val="TOFTitle"/>
    <w:basedOn w:val="TOCTitle"/>
    <w:rsid w:val="00E21E38"/>
  </w:style>
  <w:style w:type="paragraph" w:styleId="TableofFigures">
    <w:name w:val="table of figures"/>
    <w:basedOn w:val="Normal"/>
    <w:next w:val="Normal"/>
    <w:semiHidden/>
    <w:rsid w:val="00E21E38"/>
    <w:pPr>
      <w:tabs>
        <w:tab w:val="right" w:leader="dot" w:pos="9072"/>
      </w:tabs>
      <w:ind w:left="970" w:hanging="403"/>
    </w:pPr>
    <w:rPr>
      <w:rFonts w:ascii="Times New Roman" w:hAnsi="Times New Roman"/>
      <w:b/>
    </w:rPr>
  </w:style>
  <w:style w:type="paragraph" w:styleId="ListNumber">
    <w:name w:val="List Number"/>
    <w:basedOn w:val="List"/>
    <w:rsid w:val="00E21E38"/>
    <w:pPr>
      <w:numPr>
        <w:numId w:val="14"/>
      </w:numPr>
      <w:tabs>
        <w:tab w:val="clear" w:pos="340"/>
      </w:tabs>
    </w:pPr>
  </w:style>
  <w:style w:type="character" w:customStyle="1" w:styleId="WingdingSymbols">
    <w:name w:val="Wingding Symbols"/>
    <w:rsid w:val="00E21E38"/>
    <w:rPr>
      <w:rFonts w:ascii="Wingdings" w:hAnsi="Wingdings"/>
    </w:rPr>
  </w:style>
  <w:style w:type="paragraph" w:customStyle="1" w:styleId="TableHeading">
    <w:name w:val="Table Heading"/>
    <w:basedOn w:val="HeadingBase"/>
    <w:rsid w:val="00E21E38"/>
    <w:pPr>
      <w:keepLines/>
      <w:pBdr>
        <w:bottom w:val="single" w:sz="6" w:space="1" w:color="918585"/>
      </w:pBdr>
      <w:spacing w:before="240"/>
    </w:pPr>
  </w:style>
  <w:style w:type="character" w:customStyle="1" w:styleId="HotSpot">
    <w:name w:val="HotSpot"/>
    <w:rsid w:val="00E21E38"/>
    <w:rPr>
      <w:color w:val="0033CC"/>
      <w:u w:val="none"/>
    </w:rPr>
  </w:style>
  <w:style w:type="paragraph" w:customStyle="1" w:styleId="BodyTextRight">
    <w:name w:val="Body Text Right"/>
    <w:basedOn w:val="BodyText"/>
    <w:rsid w:val="00E21E38"/>
    <w:pPr>
      <w:spacing w:before="0" w:after="0"/>
      <w:jc w:val="right"/>
    </w:pPr>
  </w:style>
  <w:style w:type="paragraph" w:styleId="Index3">
    <w:name w:val="index 3"/>
    <w:basedOn w:val="ListNumber2"/>
    <w:next w:val="Normal"/>
    <w:semiHidden/>
    <w:rsid w:val="00E21E38"/>
    <w:pPr>
      <w:numPr>
        <w:numId w:val="0"/>
      </w:numPr>
      <w:tabs>
        <w:tab w:val="right" w:leader="dot" w:pos="4176"/>
      </w:tabs>
    </w:pPr>
  </w:style>
  <w:style w:type="paragraph" w:styleId="ListNumber2">
    <w:name w:val="List Number 2"/>
    <w:basedOn w:val="List2"/>
    <w:rsid w:val="00E21E38"/>
    <w:pPr>
      <w:numPr>
        <w:numId w:val="9"/>
      </w:numPr>
      <w:tabs>
        <w:tab w:val="clear" w:pos="1060"/>
      </w:tabs>
    </w:pPr>
  </w:style>
  <w:style w:type="paragraph" w:customStyle="1" w:styleId="MarginNote">
    <w:name w:val="Margin Note"/>
    <w:basedOn w:val="BodyText"/>
    <w:rsid w:val="00E21E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E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E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1E38"/>
    <w:rPr>
      <w:sz w:val="32"/>
    </w:rPr>
  </w:style>
  <w:style w:type="paragraph" w:customStyle="1" w:styleId="HeadingProcedure">
    <w:name w:val="Heading Procedure"/>
    <w:basedOn w:val="HeadingBase"/>
    <w:next w:val="Normal"/>
    <w:rsid w:val="00E21E38"/>
    <w:pPr>
      <w:tabs>
        <w:tab w:val="left" w:pos="0"/>
      </w:tabs>
      <w:spacing w:before="120" w:after="60"/>
    </w:pPr>
    <w:rPr>
      <w:i/>
      <w:color w:val="918585"/>
      <w:sz w:val="22"/>
    </w:rPr>
  </w:style>
  <w:style w:type="paragraph" w:customStyle="1" w:styleId="TableBodyText">
    <w:name w:val="Table Body Text"/>
    <w:basedOn w:val="BodyText"/>
    <w:rsid w:val="00E21E38"/>
    <w:pPr>
      <w:spacing w:before="60" w:after="60"/>
    </w:pPr>
  </w:style>
  <w:style w:type="paragraph" w:styleId="ListContinue">
    <w:name w:val="List Continue"/>
    <w:basedOn w:val="List"/>
    <w:rsid w:val="00E21E38"/>
    <w:pPr>
      <w:ind w:firstLine="0"/>
    </w:pPr>
  </w:style>
  <w:style w:type="paragraph" w:customStyle="1" w:styleId="ListNote">
    <w:name w:val="List Note"/>
    <w:basedOn w:val="List"/>
    <w:rsid w:val="00E21E38"/>
    <w:pPr>
      <w:pBdr>
        <w:top w:val="single" w:sz="6" w:space="2" w:color="918585"/>
        <w:bottom w:val="single" w:sz="6" w:space="2" w:color="918585"/>
      </w:pBdr>
      <w:tabs>
        <w:tab w:val="left" w:pos="1021"/>
      </w:tabs>
      <w:ind w:firstLine="0"/>
    </w:pPr>
  </w:style>
  <w:style w:type="paragraph" w:customStyle="1" w:styleId="Warning">
    <w:name w:val="Warning"/>
    <w:basedOn w:val="BodyText"/>
    <w:rsid w:val="00E21E38"/>
    <w:pPr>
      <w:shd w:val="clear" w:color="auto" w:fill="D9D9D9"/>
      <w:tabs>
        <w:tab w:val="left" w:pos="992"/>
      </w:tabs>
      <w:ind w:left="119" w:right="119"/>
    </w:pPr>
    <w:rPr>
      <w:sz w:val="20"/>
    </w:rPr>
  </w:style>
  <w:style w:type="paragraph" w:customStyle="1" w:styleId="MarginIcons">
    <w:name w:val="Margin Icons"/>
    <w:basedOn w:val="BodyText"/>
    <w:rsid w:val="00E21E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E38"/>
    <w:rPr>
      <w:rFonts w:ascii="Courier New" w:hAnsi="Courier New"/>
    </w:rPr>
  </w:style>
  <w:style w:type="paragraph" w:customStyle="1" w:styleId="NoteBullet">
    <w:name w:val="Note Bullet"/>
    <w:basedOn w:val="Note"/>
    <w:rsid w:val="00E21E38"/>
    <w:pPr>
      <w:tabs>
        <w:tab w:val="clear" w:pos="680"/>
      </w:tabs>
      <w:spacing w:before="60" w:after="60"/>
    </w:pPr>
  </w:style>
  <w:style w:type="paragraph" w:customStyle="1" w:styleId="SubHeading2">
    <w:name w:val="SubHeading2"/>
    <w:basedOn w:val="HeadingBase"/>
    <w:rsid w:val="00E21E38"/>
    <w:pPr>
      <w:spacing w:before="240" w:after="60"/>
    </w:pPr>
    <w:rPr>
      <w:sz w:val="20"/>
    </w:rPr>
  </w:style>
  <w:style w:type="paragraph" w:customStyle="1" w:styleId="SubHeading1">
    <w:name w:val="SubHeading1"/>
    <w:basedOn w:val="HeadingBase"/>
    <w:rsid w:val="00E21E38"/>
    <w:pPr>
      <w:spacing w:before="240" w:after="60"/>
    </w:pPr>
    <w:rPr>
      <w:color w:val="918585"/>
      <w:sz w:val="22"/>
    </w:rPr>
  </w:style>
  <w:style w:type="paragraph" w:customStyle="1" w:styleId="SideHeading">
    <w:name w:val="Side Heading"/>
    <w:basedOn w:val="HeadingBase"/>
    <w:rsid w:val="00E21E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E38"/>
    <w:pPr>
      <w:numPr>
        <w:numId w:val="10"/>
      </w:numPr>
    </w:pPr>
  </w:style>
  <w:style w:type="paragraph" w:styleId="PlainText">
    <w:name w:val="Plain Text"/>
    <w:basedOn w:val="Normal"/>
    <w:link w:val="PlainTextChar"/>
    <w:rsid w:val="00E21E38"/>
    <w:rPr>
      <w:sz w:val="20"/>
    </w:rPr>
  </w:style>
  <w:style w:type="character" w:customStyle="1" w:styleId="PlainTextChar">
    <w:name w:val="Plain Text Char"/>
    <w:basedOn w:val="DefaultParagraphFont"/>
    <w:link w:val="PlainText"/>
    <w:rsid w:val="00E21E38"/>
    <w:rPr>
      <w:rFonts w:ascii="Courier New" w:eastAsia="Times New Roman" w:hAnsi="Courier New" w:cs="Times New Roman"/>
      <w:sz w:val="20"/>
      <w:szCs w:val="20"/>
      <w:lang w:eastAsia="en-US"/>
    </w:rPr>
  </w:style>
  <w:style w:type="character" w:customStyle="1" w:styleId="MenuOption">
    <w:name w:val="Menu Option"/>
    <w:basedOn w:val="DefaultParagraphFont"/>
    <w:rsid w:val="00E21E38"/>
    <w:rPr>
      <w:b/>
      <w:smallCaps/>
    </w:rPr>
  </w:style>
  <w:style w:type="paragraph" w:customStyle="1" w:styleId="TableListNumber">
    <w:name w:val="Table List Number"/>
    <w:basedOn w:val="ListNumber"/>
    <w:rsid w:val="00E21E38"/>
    <w:pPr>
      <w:numPr>
        <w:numId w:val="0"/>
      </w:numPr>
    </w:pPr>
  </w:style>
  <w:style w:type="paragraph" w:styleId="TOC4">
    <w:name w:val="toc 4"/>
    <w:basedOn w:val="TOCBase"/>
    <w:next w:val="Normal"/>
    <w:semiHidden/>
    <w:rsid w:val="00E21E38"/>
    <w:pPr>
      <w:tabs>
        <w:tab w:val="right" w:leader="dot" w:pos="9071"/>
      </w:tabs>
      <w:ind w:left="1701"/>
    </w:pPr>
  </w:style>
  <w:style w:type="paragraph" w:customStyle="1" w:styleId="ListAlpha">
    <w:name w:val="List Alpha"/>
    <w:basedOn w:val="List"/>
    <w:rsid w:val="00E21E38"/>
    <w:pPr>
      <w:numPr>
        <w:numId w:val="8"/>
      </w:numPr>
    </w:pPr>
  </w:style>
  <w:style w:type="paragraph" w:customStyle="1" w:styleId="ListAlpha2">
    <w:name w:val="List Alpha 2"/>
    <w:basedOn w:val="List2"/>
    <w:rsid w:val="00E21E38"/>
    <w:pPr>
      <w:numPr>
        <w:numId w:val="7"/>
      </w:numPr>
    </w:pPr>
  </w:style>
  <w:style w:type="paragraph" w:styleId="List2">
    <w:name w:val="List 2"/>
    <w:basedOn w:val="BodyText"/>
    <w:rsid w:val="00E21E38"/>
    <w:pPr>
      <w:tabs>
        <w:tab w:val="left" w:pos="680"/>
      </w:tabs>
      <w:spacing w:before="60" w:after="60"/>
      <w:ind w:left="680" w:hanging="340"/>
    </w:pPr>
  </w:style>
  <w:style w:type="paragraph" w:styleId="List3">
    <w:name w:val="List 3"/>
    <w:basedOn w:val="BodyText"/>
    <w:rsid w:val="00E21E38"/>
    <w:pPr>
      <w:tabs>
        <w:tab w:val="left" w:pos="1021"/>
      </w:tabs>
      <w:spacing w:before="60" w:after="60"/>
      <w:ind w:left="1020" w:hanging="340"/>
    </w:pPr>
  </w:style>
  <w:style w:type="paragraph" w:styleId="List4">
    <w:name w:val="List 4"/>
    <w:basedOn w:val="BodyText"/>
    <w:rsid w:val="00E21E38"/>
    <w:pPr>
      <w:tabs>
        <w:tab w:val="left" w:pos="1361"/>
      </w:tabs>
      <w:spacing w:before="60" w:after="60"/>
      <w:ind w:left="1361" w:hanging="340"/>
    </w:pPr>
  </w:style>
  <w:style w:type="paragraph" w:styleId="List5">
    <w:name w:val="List 5"/>
    <w:basedOn w:val="BodyText"/>
    <w:rsid w:val="00E21E38"/>
    <w:pPr>
      <w:tabs>
        <w:tab w:val="left" w:pos="1701"/>
      </w:tabs>
      <w:spacing w:before="60" w:after="60"/>
      <w:ind w:left="1701" w:hanging="340"/>
    </w:pPr>
  </w:style>
  <w:style w:type="paragraph" w:styleId="ListBullet3">
    <w:name w:val="List Bullet 3"/>
    <w:basedOn w:val="List3"/>
    <w:rsid w:val="00E21E38"/>
    <w:pPr>
      <w:numPr>
        <w:numId w:val="13"/>
      </w:numPr>
      <w:tabs>
        <w:tab w:val="clear" w:pos="1021"/>
      </w:tabs>
      <w:ind w:left="1037" w:hanging="357"/>
    </w:pPr>
  </w:style>
  <w:style w:type="paragraph" w:styleId="ListBullet4">
    <w:name w:val="List Bullet 4"/>
    <w:basedOn w:val="List4"/>
    <w:rsid w:val="00E21E38"/>
    <w:pPr>
      <w:numPr>
        <w:numId w:val="2"/>
      </w:numPr>
      <w:tabs>
        <w:tab w:val="clear" w:pos="1361"/>
      </w:tabs>
    </w:pPr>
  </w:style>
  <w:style w:type="paragraph" w:styleId="ListBullet5">
    <w:name w:val="List Bullet 5"/>
    <w:basedOn w:val="List5"/>
    <w:rsid w:val="00E21E38"/>
    <w:pPr>
      <w:numPr>
        <w:numId w:val="3"/>
      </w:numPr>
    </w:pPr>
  </w:style>
  <w:style w:type="paragraph" w:styleId="ListContinue2">
    <w:name w:val="List Continue 2"/>
    <w:basedOn w:val="List2"/>
    <w:rsid w:val="00E21E38"/>
    <w:pPr>
      <w:ind w:firstLine="0"/>
    </w:pPr>
  </w:style>
  <w:style w:type="paragraph" w:styleId="ListContinue3">
    <w:name w:val="List Continue 3"/>
    <w:basedOn w:val="List3"/>
    <w:rsid w:val="00E21E38"/>
    <w:pPr>
      <w:ind w:left="1021" w:firstLine="0"/>
    </w:pPr>
  </w:style>
  <w:style w:type="paragraph" w:styleId="ListContinue4">
    <w:name w:val="List Continue 4"/>
    <w:basedOn w:val="List4"/>
    <w:rsid w:val="00E21E38"/>
    <w:pPr>
      <w:ind w:firstLine="0"/>
    </w:pPr>
  </w:style>
  <w:style w:type="paragraph" w:styleId="ListContinue5">
    <w:name w:val="List Continue 5"/>
    <w:basedOn w:val="List5"/>
    <w:rsid w:val="00E21E38"/>
    <w:pPr>
      <w:ind w:firstLine="0"/>
    </w:pPr>
  </w:style>
  <w:style w:type="paragraph" w:styleId="ListNumber3">
    <w:name w:val="List Number 3"/>
    <w:basedOn w:val="List3"/>
    <w:rsid w:val="00E21E38"/>
    <w:pPr>
      <w:numPr>
        <w:numId w:val="4"/>
      </w:numPr>
    </w:pPr>
  </w:style>
  <w:style w:type="paragraph" w:styleId="ListNumber4">
    <w:name w:val="List Number 4"/>
    <w:basedOn w:val="List4"/>
    <w:rsid w:val="00E21E38"/>
    <w:pPr>
      <w:numPr>
        <w:numId w:val="5"/>
      </w:numPr>
    </w:pPr>
  </w:style>
  <w:style w:type="paragraph" w:styleId="ListNumber5">
    <w:name w:val="List Number 5"/>
    <w:basedOn w:val="List5"/>
    <w:rsid w:val="00E21E38"/>
    <w:pPr>
      <w:numPr>
        <w:numId w:val="6"/>
      </w:numPr>
    </w:pPr>
  </w:style>
  <w:style w:type="paragraph" w:styleId="BlockText">
    <w:name w:val="Block Text"/>
    <w:basedOn w:val="Normal"/>
    <w:rsid w:val="00E21E38"/>
    <w:pPr>
      <w:spacing w:after="120"/>
      <w:ind w:left="1440" w:right="1440"/>
    </w:pPr>
  </w:style>
  <w:style w:type="character" w:customStyle="1" w:styleId="Subscript">
    <w:name w:val="Subscript"/>
    <w:basedOn w:val="DefaultParagraphFont"/>
    <w:rsid w:val="00E21E38"/>
    <w:rPr>
      <w:sz w:val="16"/>
      <w:vertAlign w:val="subscript"/>
    </w:rPr>
  </w:style>
  <w:style w:type="character" w:customStyle="1" w:styleId="Superscript">
    <w:name w:val="Superscript"/>
    <w:basedOn w:val="DefaultParagraphFont"/>
    <w:rsid w:val="00E21E38"/>
    <w:rPr>
      <w:sz w:val="16"/>
      <w:vertAlign w:val="superscript"/>
    </w:rPr>
  </w:style>
  <w:style w:type="character" w:customStyle="1" w:styleId="Symbols">
    <w:name w:val="Symbols"/>
    <w:basedOn w:val="DefaultParagraphFont"/>
    <w:rsid w:val="00E21E38"/>
    <w:rPr>
      <w:rFonts w:ascii="Symbol" w:hAnsi="Symbol"/>
    </w:rPr>
  </w:style>
  <w:style w:type="character" w:customStyle="1" w:styleId="MenuOptions">
    <w:name w:val="Menu Options"/>
    <w:basedOn w:val="DefaultParagraphFont"/>
    <w:rsid w:val="00E21E38"/>
    <w:rPr>
      <w:rFonts w:ascii="Arial Narrow" w:hAnsi="Arial Narrow"/>
      <w:smallCaps/>
    </w:rPr>
  </w:style>
  <w:style w:type="character" w:customStyle="1" w:styleId="Buttons">
    <w:name w:val="Buttons"/>
    <w:basedOn w:val="DefaultParagraphFont"/>
    <w:rsid w:val="00E21E38"/>
    <w:rPr>
      <w:b/>
    </w:rPr>
  </w:style>
  <w:style w:type="character" w:customStyle="1" w:styleId="Underlined">
    <w:name w:val="Underlined"/>
    <w:basedOn w:val="DefaultParagraphFont"/>
    <w:rsid w:val="00E21E38"/>
    <w:rPr>
      <w:u w:val="single"/>
    </w:rPr>
  </w:style>
  <w:style w:type="paragraph" w:customStyle="1" w:styleId="TableBodyTextRight">
    <w:name w:val="Table Body Text Right"/>
    <w:basedOn w:val="TableBodyText"/>
    <w:rsid w:val="00E21E38"/>
    <w:pPr>
      <w:widowControl w:val="0"/>
      <w:autoSpaceDE w:val="0"/>
      <w:autoSpaceDN w:val="0"/>
      <w:adjustRightInd w:val="0"/>
      <w:jc w:val="right"/>
    </w:pPr>
    <w:rPr>
      <w:rFonts w:cs="Arial"/>
      <w:szCs w:val="18"/>
    </w:rPr>
  </w:style>
  <w:style w:type="paragraph" w:customStyle="1" w:styleId="CopyrightText">
    <w:name w:val="Copyright Text"/>
    <w:basedOn w:val="BodyText"/>
    <w:rsid w:val="00E21E38"/>
    <w:rPr>
      <w:sz w:val="18"/>
    </w:rPr>
  </w:style>
  <w:style w:type="paragraph" w:customStyle="1" w:styleId="BodySmallRight">
    <w:name w:val="Body Small Right"/>
    <w:basedOn w:val="BodyTextRight"/>
    <w:rsid w:val="00E21E38"/>
    <w:rPr>
      <w:sz w:val="18"/>
      <w:szCs w:val="18"/>
    </w:rPr>
  </w:style>
  <w:style w:type="paragraph" w:customStyle="1" w:styleId="MarginEdition">
    <w:name w:val="Margin Edition"/>
    <w:basedOn w:val="MarginNote"/>
    <w:rsid w:val="00E21E38"/>
    <w:pPr>
      <w:spacing w:before="0" w:after="0"/>
    </w:pPr>
    <w:rPr>
      <w:rFonts w:ascii="Times New Roman" w:hAnsi="Times New Roman"/>
      <w:color w:val="999999"/>
    </w:rPr>
  </w:style>
  <w:style w:type="paragraph" w:customStyle="1" w:styleId="Spacer">
    <w:name w:val="Spacer"/>
    <w:basedOn w:val="Normal"/>
    <w:rsid w:val="00E21E38"/>
    <w:rPr>
      <w:sz w:val="2"/>
      <w:szCs w:val="2"/>
    </w:rPr>
  </w:style>
  <w:style w:type="character" w:customStyle="1" w:styleId="Small">
    <w:name w:val="Small"/>
    <w:basedOn w:val="DefaultParagraphFont"/>
    <w:rsid w:val="00E21E38"/>
    <w:rPr>
      <w:sz w:val="16"/>
    </w:rPr>
  </w:style>
  <w:style w:type="paragraph" w:customStyle="1" w:styleId="WideTable">
    <w:name w:val="Wide Table"/>
    <w:basedOn w:val="Normal"/>
    <w:rsid w:val="00E21E38"/>
    <w:pPr>
      <w:ind w:left="-1418"/>
    </w:pPr>
    <w:rPr>
      <w:sz w:val="2"/>
      <w:szCs w:val="2"/>
    </w:rPr>
  </w:style>
  <w:style w:type="character" w:styleId="PageNumber">
    <w:name w:val="page number"/>
    <w:basedOn w:val="DefaultParagraphFont"/>
    <w:rsid w:val="00E21E38"/>
  </w:style>
  <w:style w:type="paragraph" w:styleId="Quote">
    <w:name w:val="Quote"/>
    <w:basedOn w:val="Heading1"/>
    <w:link w:val="QuoteChar"/>
    <w:qFormat/>
    <w:rsid w:val="00E21E38"/>
    <w:rPr>
      <w:b w:val="0"/>
      <w:sz w:val="72"/>
      <w:szCs w:val="72"/>
      <w:lang w:val="en-NZ"/>
    </w:rPr>
  </w:style>
  <w:style w:type="character" w:customStyle="1" w:styleId="QuoteChar">
    <w:name w:val="Quote Char"/>
    <w:basedOn w:val="DefaultParagraphFont"/>
    <w:link w:val="Quote"/>
    <w:rsid w:val="00E21E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E38"/>
    <w:pPr>
      <w:pageBreakBefore/>
    </w:pPr>
  </w:style>
  <w:style w:type="paragraph" w:customStyle="1" w:styleId="Border">
    <w:name w:val="Border"/>
    <w:basedOn w:val="Normal"/>
    <w:qFormat/>
    <w:rsid w:val="00E21E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E38"/>
    <w:rPr>
      <w:b/>
      <w:bCs/>
      <w:i/>
      <w:iCs/>
      <w:color w:val="auto"/>
    </w:rPr>
  </w:style>
  <w:style w:type="paragraph" w:styleId="IntenseQuote">
    <w:name w:val="Intense Quote"/>
    <w:basedOn w:val="Normal"/>
    <w:next w:val="Normal"/>
    <w:link w:val="IntenseQuoteChar"/>
    <w:uiPriority w:val="30"/>
    <w:qFormat/>
    <w:rsid w:val="00E21E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E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1E38"/>
    <w:rPr>
      <w:smallCaps/>
      <w:color w:val="auto"/>
      <w:u w:val="single"/>
    </w:rPr>
  </w:style>
  <w:style w:type="character" w:styleId="IntenseReference">
    <w:name w:val="Intense Reference"/>
    <w:basedOn w:val="DefaultParagraphFont"/>
    <w:uiPriority w:val="32"/>
    <w:qFormat/>
    <w:rsid w:val="00E21E38"/>
    <w:rPr>
      <w:b/>
      <w:bCs/>
      <w:smallCaps/>
      <w:color w:val="auto"/>
      <w:spacing w:val="5"/>
      <w:u w:val="single"/>
    </w:rPr>
  </w:style>
  <w:style w:type="paragraph" w:customStyle="1" w:styleId="2ColumnHeading">
    <w:name w:val="2Column Heading"/>
    <w:basedOn w:val="BodyText"/>
    <w:qFormat/>
    <w:rsid w:val="00E21E38"/>
    <w:pPr>
      <w:spacing w:after="60"/>
      <w:ind w:left="-2268"/>
    </w:pPr>
    <w:rPr>
      <w:b/>
    </w:rPr>
  </w:style>
  <w:style w:type="paragraph" w:customStyle="1" w:styleId="Heading1TOC">
    <w:name w:val="Heading1 TOC"/>
    <w:basedOn w:val="Normal"/>
    <w:qFormat/>
    <w:rsid w:val="00E21E38"/>
    <w:pPr>
      <w:spacing w:before="240" w:after="120"/>
    </w:pPr>
    <w:rPr>
      <w:rFonts w:ascii="Times New Roman" w:hAnsi="Times New Roman"/>
      <w:b/>
      <w:sz w:val="32"/>
    </w:rPr>
  </w:style>
  <w:style w:type="paragraph" w:customStyle="1" w:styleId="Heading2TOC">
    <w:name w:val="Heading2 TOC"/>
    <w:basedOn w:val="Normal"/>
    <w:qFormat/>
    <w:rsid w:val="00E21E38"/>
    <w:pPr>
      <w:spacing w:before="240" w:after="60"/>
    </w:pPr>
    <w:rPr>
      <w:rFonts w:ascii="Times New Roman" w:hAnsi="Times New Roman"/>
      <w:b/>
      <w:sz w:val="28"/>
    </w:rPr>
  </w:style>
  <w:style w:type="character" w:customStyle="1" w:styleId="Underline">
    <w:name w:val="Underline"/>
    <w:basedOn w:val="DefaultParagraphFont"/>
    <w:qFormat/>
    <w:rsid w:val="00E21E38"/>
    <w:rPr>
      <w:u w:val="single"/>
    </w:rPr>
  </w:style>
  <w:style w:type="paragraph" w:styleId="BalloonText">
    <w:name w:val="Balloon Text"/>
    <w:basedOn w:val="Normal"/>
    <w:link w:val="BalloonTextChar"/>
    <w:rsid w:val="00E21E38"/>
    <w:rPr>
      <w:rFonts w:ascii="Tahoma" w:hAnsi="Tahoma" w:cs="Tahoma"/>
      <w:sz w:val="16"/>
      <w:szCs w:val="16"/>
    </w:rPr>
  </w:style>
  <w:style w:type="character" w:customStyle="1" w:styleId="BalloonTextChar">
    <w:name w:val="Balloon Text Char"/>
    <w:basedOn w:val="DefaultParagraphFont"/>
    <w:link w:val="BalloonText"/>
    <w:rsid w:val="00E21E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1E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1E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1E38"/>
    <w:rPr>
      <w:b/>
      <w:color w:val="660033"/>
      <w:spacing w:val="0"/>
    </w:rPr>
  </w:style>
  <w:style w:type="paragraph" w:customStyle="1" w:styleId="Nameditemlist">
    <w:name w:val="Named item list"/>
    <w:basedOn w:val="BodyText"/>
    <w:qFormat/>
    <w:rsid w:val="00E21E38"/>
    <w:pPr>
      <w:tabs>
        <w:tab w:val="left" w:pos="2835"/>
      </w:tabs>
      <w:ind w:left="2835" w:hanging="2835"/>
    </w:pPr>
  </w:style>
  <w:style w:type="paragraph" w:customStyle="1" w:styleId="BodyTextnopadding">
    <w:name w:val="Body Text no padding"/>
    <w:basedOn w:val="BodyText"/>
    <w:qFormat/>
    <w:rsid w:val="00E21E38"/>
    <w:pPr>
      <w:spacing w:before="0" w:after="0"/>
    </w:pPr>
  </w:style>
  <w:style w:type="paragraph" w:customStyle="1" w:styleId="BodyTextBold">
    <w:name w:val="Body Text Bold"/>
    <w:basedOn w:val="BodyText"/>
    <w:qFormat/>
    <w:rsid w:val="00E21E38"/>
    <w:rPr>
      <w:b/>
    </w:rPr>
  </w:style>
  <w:style w:type="character" w:styleId="Hyperlink">
    <w:name w:val="Hyperlink"/>
    <w:basedOn w:val="DefaultParagraphFont"/>
    <w:uiPriority w:val="99"/>
    <w:unhideWhenUsed/>
    <w:rsid w:val="00945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4948</Characters>
  <Application>Microsoft Office Word</Application>
  <DocSecurity>0</DocSecurity>
  <Lines>224</Lines>
  <Paragraphs>105</Paragraphs>
  <ScaleCrop>false</ScaleCrop>
  <Company>Author-it Software Corporation Ltd.</Company>
  <LinksUpToDate>false</LinksUpToDate>
  <CharactersWithSpaces>5581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CPPSIS5057 Conduct precision surveys</dc:title>
  <dc:subject>Approved</dc:subject>
  <dc:creator>Artibus Innovation</dc:creator>
  <cp:keywords>Release: 1</cp:keywords>
  <dc:description>Review Date: 12 April 2008</dc:description>
  <cp:lastModifiedBy>HSD_TPCMSd.prod</cp:lastModifiedBy>
  <cp:revision>3</cp:revision>
  <dcterms:created xsi:type="dcterms:W3CDTF">2021-01-07T13:27:00Z</dcterms:created>
  <dcterms:modified xsi:type="dcterms:W3CDTF">2021-01-07T13:27:00Z</dcterms:modified>
</cp:coreProperties>
</file>