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55F5" w:rsidP="00FE55F5">
      <w:pPr>
        <w:pStyle w:val="Title"/>
      </w:pPr>
      <w:r>
        <w:fldChar w:fldCharType="begin"/>
      </w:r>
      <w:r>
        <w:instrText xml:space="preserve"> TITLE   \* MERGEFORMAT </w:instrText>
      </w:r>
      <w:r>
        <w:fldChar w:fldCharType="separate"/>
      </w:r>
      <w:r>
        <w:t>CPPSIS5051 Apply land and planning law to surveying</w:t>
      </w:r>
      <w:r>
        <w:fldChar w:fldCharType="end"/>
      </w:r>
    </w:p>
    <w:p w:rsidR="00FE55F5" w:rsidP="00FE55F5">
      <w:pPr>
        <w:pStyle w:val="Version"/>
        <w:sectPr w:rsidSect="002E2A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2ACD" w:rsidP="002E2ACD">
      <w:pPr>
        <w:pStyle w:val="SuperHeading"/>
      </w:pPr>
      <w:r w:rsidRPr="002E2ACD">
        <w:t>CPPSIS5051 Apply land and planning law to surveying</w:t>
      </w:r>
    </w:p>
    <w:p w:rsidR="00000000" w:rsidRPr="002E2ACD" w:rsidP="002E2ACD">
      <w:pPr>
        <w:pStyle w:val="Heading1"/>
      </w:pPr>
      <w:bookmarkStart w:id="1" w:name="O_837525"/>
      <w:bookmarkEnd w:id="1"/>
      <w:r w:rsidRPr="002E2ACD">
        <w:t>Modification History</w:t>
      </w:r>
    </w:p>
    <w:p w:rsidR="00000000" w:rsidRPr="002E2ACD" w:rsidP="00FE55F5">
      <w:pPr>
        <w:pStyle w:val="BodyText"/>
      </w:pPr>
      <w:r w:rsidRPr="002E2ACD">
        <w:t>Release 1.</w:t>
      </w:r>
    </w:p>
    <w:p w:rsidR="00000000" w:rsidRPr="002E2ACD" w:rsidP="00FE55F5">
      <w:pPr>
        <w:pStyle w:val="BodyText"/>
      </w:pPr>
      <w:r w:rsidRPr="002E2ACD">
        <w:t>Replaces superseded equivalent CPPSIS5051A Apply land and planning law to surveying.</w:t>
      </w:r>
    </w:p>
    <w:p w:rsidR="00000000" w:rsidRPr="002E2ACD" w:rsidP="00FE55F5">
      <w:pPr>
        <w:pStyle w:val="BodyText"/>
      </w:pPr>
      <w:r w:rsidRPr="002E2ACD">
        <w:t>This version first released with CPP Property Services Training Package Version 3.</w:t>
      </w:r>
    </w:p>
    <w:p w:rsidR="00000000" w:rsidRPr="002E2ACD" w:rsidP="002E2ACD">
      <w:pPr>
        <w:pStyle w:val="Heading1"/>
      </w:pPr>
      <w:bookmarkStart w:id="2" w:name="O_837532"/>
      <w:bookmarkEnd w:id="2"/>
      <w:r w:rsidRPr="002E2ACD">
        <w:t>Application</w:t>
      </w:r>
    </w:p>
    <w:p w:rsidR="00000000" w:rsidRPr="002E2ACD" w:rsidP="00FE55F5">
      <w:pPr>
        <w:pStyle w:val="BodyText"/>
      </w:pPr>
      <w:r w:rsidRPr="002E2ACD">
        <w:t>This unit of comp</w:t>
      </w:r>
      <w:r w:rsidRPr="002E2ACD">
        <w:t>etency specifies the outcomes required to apply land and planning law to surveying. The unit covers marking out urban structures and identifying urban lots and related improvements using cadastral surveying methods and equipment. The unit also covers deter</w:t>
      </w:r>
      <w:r w:rsidRPr="002E2ACD">
        <w:t>mining azimuth for identification and re-mark surveys, and undertaking mark-out surveys to fix front and rear corners, angles and line marks. It includes calculating identification surveys and preparing reports and sketches that identify physical constrain</w:t>
      </w:r>
      <w:r w:rsidRPr="002E2ACD">
        <w:t>ts and environmental impacts. The unit requires the ability to set up, calibrate and use surveying equipment to measure, record and reduce surveying data; and to compile reports and sketches for submission to an approving authority as part of a development</w:t>
      </w:r>
      <w:r w:rsidRPr="002E2ACD">
        <w:t xml:space="preserve"> application. The unit requires knowledge of land and planning law, and of the submission process for local government building approvals.</w:t>
      </w:r>
    </w:p>
    <w:p w:rsidR="00000000" w:rsidRPr="002E2ACD" w:rsidP="00FE55F5">
      <w:pPr>
        <w:pStyle w:val="BodyText"/>
      </w:pPr>
      <w:r w:rsidRPr="002E2ACD">
        <w:t>The unit supports those who work under limited supervision in a surveying team, in areas such as town planning, surv</w:t>
      </w:r>
      <w:r w:rsidRPr="002E2ACD">
        <w:t>eying and mapping.</w:t>
      </w:r>
    </w:p>
    <w:p w:rsidR="00000000" w:rsidRPr="002E2ACD" w:rsidP="00FE55F5">
      <w:pPr>
        <w:pStyle w:val="BodyText"/>
      </w:pPr>
      <w:r w:rsidRPr="002E2ACD">
        <w:t>Licensing, legislative, regulatory or certification requirements apply to this unit in some States where cadastral surveying must be undertaken under the supervision of a registered surveyor. Relevant state and territory regulatory auth</w:t>
      </w:r>
      <w:r w:rsidRPr="002E2ACD">
        <w:t>orities should be consulted to confirm those requirements.</w:t>
      </w:r>
    </w:p>
    <w:p w:rsidR="00000000" w:rsidRPr="002E2ACD" w:rsidP="002E2ACD">
      <w:pPr>
        <w:pStyle w:val="Heading1"/>
      </w:pPr>
      <w:bookmarkStart w:id="3" w:name="O_837531"/>
      <w:bookmarkEnd w:id="3"/>
      <w:r w:rsidRPr="002E2ACD">
        <w:t>Pre-requisite Unit</w:t>
      </w:r>
    </w:p>
    <w:p w:rsidR="00000000" w:rsidRPr="002E2ACD" w:rsidP="00FE55F5">
      <w:pPr>
        <w:pStyle w:val="BodyText"/>
      </w:pPr>
      <w:r w:rsidRPr="002E2ACD">
        <w:t>Nil</w:t>
      </w:r>
    </w:p>
    <w:p w:rsidR="00000000" w:rsidRPr="002E2ACD" w:rsidP="002E2ACD">
      <w:pPr>
        <w:pStyle w:val="Heading1"/>
      </w:pPr>
      <w:bookmarkStart w:id="4" w:name="O_837530"/>
      <w:bookmarkEnd w:id="4"/>
      <w:r w:rsidRPr="002E2ACD">
        <w:t>Unit Sector</w:t>
      </w:r>
    </w:p>
    <w:p w:rsidR="00000000" w:rsidRPr="002E2ACD" w:rsidP="00FE55F5">
      <w:pPr>
        <w:pStyle w:val="BodyText"/>
      </w:pPr>
      <w:r w:rsidRPr="002E2ACD">
        <w:t>Surveying and spatial information services</w:t>
      </w:r>
    </w:p>
    <w:p w:rsidR="00000000" w:rsidRPr="002E2ACD" w:rsidP="002E2ACD">
      <w:pPr>
        <w:pStyle w:val="Heading1"/>
      </w:pPr>
      <w:bookmarkStart w:id="5" w:name="O_837529"/>
      <w:bookmarkEnd w:id="5"/>
      <w:r w:rsidRPr="002E2AC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2E2ACD">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Elements describe the essential ou</w:t>
            </w:r>
            <w:r w:rsidRPr="002E2ACD">
              <w:t>tcomes.</w:t>
            </w:r>
          </w:p>
        </w:tc>
        <w:tc>
          <w:tcPr>
            <w:tcW w:w="6380" w:type="dxa"/>
            <w:gridSpan w:val="2"/>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Performance criteria describe the performance needed to demonstrate achievement of the element. Where bold italicised text is used, further information is detailed in the range of conditions.</w:t>
            </w:r>
          </w:p>
        </w:tc>
      </w:tr>
      <w:tr w:rsidTr="002E2A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1.</w:t>
            </w:r>
          </w:p>
        </w:tc>
        <w:tc>
          <w:tcPr>
            <w:tcW w:w="1962" w:type="dxa"/>
            <w:vMerge w:val="restart"/>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Determine survey requirements and azimuth.</w:t>
            </w:r>
          </w:p>
        </w:tc>
        <w:tc>
          <w:tcPr>
            <w:tcW w:w="77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1.1.</w:t>
            </w:r>
          </w:p>
        </w:tc>
        <w:tc>
          <w:tcPr>
            <w:tcW w:w="561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 xml:space="preserve">Relevant information is gathered to determine survey requirements in consultation with </w:t>
            </w:r>
            <w:r w:rsidRPr="002E2ACD">
              <w:rPr>
                <w:rStyle w:val="BoldandItalics"/>
              </w:rPr>
              <w:t>appropriate persons</w:t>
            </w:r>
            <w:r w:rsidRPr="002E2ACD">
              <w:t>.</w:t>
            </w:r>
          </w:p>
        </w:tc>
      </w:tr>
      <w:tr w:rsidTr="002E2A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1.2.</w:t>
            </w:r>
          </w:p>
        </w:tc>
        <w:tc>
          <w:tcPr>
            <w:tcW w:w="561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Survey marks are located as indicated on survey plan.</w:t>
            </w:r>
          </w:p>
        </w:tc>
      </w:tr>
      <w:tr w:rsidTr="002E2A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1.3.</w:t>
            </w:r>
          </w:p>
        </w:tc>
        <w:tc>
          <w:tcPr>
            <w:tcW w:w="561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Position of parcel of land corners is established from identified survey marks.</w:t>
            </w:r>
          </w:p>
        </w:tc>
      </w:tr>
      <w:tr w:rsidTr="002E2A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1.4.</w:t>
            </w:r>
          </w:p>
        </w:tc>
        <w:tc>
          <w:tcPr>
            <w:tcW w:w="561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Right on boundary or parallel azimuth is established.</w:t>
            </w:r>
          </w:p>
        </w:tc>
      </w:tr>
      <w:tr w:rsidTr="002E2A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1.5.</w:t>
            </w:r>
          </w:p>
        </w:tc>
        <w:tc>
          <w:tcPr>
            <w:tcW w:w="561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Monumented and non-monumented occupations are used to establish an azimuth parallel to street boundary.</w:t>
            </w:r>
          </w:p>
        </w:tc>
      </w:tr>
      <w:tr w:rsidTr="002E2A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1.6.</w:t>
            </w:r>
          </w:p>
        </w:tc>
        <w:tc>
          <w:tcPr>
            <w:tcW w:w="561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Assumed azimuth is adopted to enable completion of field survey, and subsequent calculations and adjustments to swing onto azimuth are made.</w:t>
            </w:r>
          </w:p>
        </w:tc>
      </w:tr>
      <w:tr w:rsidTr="002E2A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1.7.</w:t>
            </w:r>
          </w:p>
        </w:tc>
        <w:tc>
          <w:tcPr>
            <w:tcW w:w="561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Azimuth derived from marks at opposite extremities of survey is calculated.</w:t>
            </w:r>
          </w:p>
        </w:tc>
      </w:tr>
      <w:tr w:rsidTr="002E2A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1.8.</w:t>
            </w:r>
          </w:p>
        </w:tc>
        <w:tc>
          <w:tcPr>
            <w:tcW w:w="561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Relationship between alignment marks, kerb lines, kerb as laid, and occupations is interpreted when azimuth is fixed using alignment marks, kerbs and occupations shown in alignment plans.</w:t>
            </w:r>
          </w:p>
        </w:tc>
      </w:tr>
      <w:tr w:rsidTr="002E2A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p>
        </w:tc>
      </w:tr>
      <w:tr w:rsidTr="002E2A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2.</w:t>
            </w:r>
          </w:p>
        </w:tc>
        <w:tc>
          <w:tcPr>
            <w:tcW w:w="1962" w:type="dxa"/>
            <w:vMerge w:val="restart"/>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Undertake mark-out survey and fix front and rear corners, a</w:t>
            </w:r>
            <w:r w:rsidRPr="002E2ACD">
              <w:t>ngles and line marks.</w:t>
            </w:r>
          </w:p>
        </w:tc>
        <w:tc>
          <w:tcPr>
            <w:tcW w:w="77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2.1.</w:t>
            </w:r>
          </w:p>
        </w:tc>
        <w:tc>
          <w:tcPr>
            <w:tcW w:w="561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Azimuth is established by direct or indirect means and front corners of allotment are fixed.</w:t>
            </w:r>
          </w:p>
        </w:tc>
      </w:tr>
      <w:tr w:rsidTr="002E2A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2.2.</w:t>
            </w:r>
          </w:p>
        </w:tc>
        <w:tc>
          <w:tcPr>
            <w:tcW w:w="561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Side fix is established for the allotment using occupations, and monuments or reference marks.</w:t>
            </w:r>
          </w:p>
        </w:tc>
      </w:tr>
      <w:tr w:rsidTr="002E2A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2.3.</w:t>
            </w:r>
          </w:p>
        </w:tc>
        <w:tc>
          <w:tcPr>
            <w:tcW w:w="561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Direct methods are used to establish positions of rear corners.</w:t>
            </w:r>
          </w:p>
        </w:tc>
      </w:tr>
      <w:tr w:rsidTr="002E2A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2.4.</w:t>
            </w:r>
          </w:p>
        </w:tc>
        <w:tc>
          <w:tcPr>
            <w:tcW w:w="561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Traverse and calculations from street azimuth and side fix are made to set out rear corners by indirect means.</w:t>
            </w:r>
          </w:p>
        </w:tc>
      </w:tr>
      <w:tr w:rsidTr="002E2A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2.5.</w:t>
            </w:r>
          </w:p>
        </w:tc>
        <w:tc>
          <w:tcPr>
            <w:tcW w:w="561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Requirement to use line marks on long or obstructed boundaries is identified.</w:t>
            </w:r>
          </w:p>
        </w:tc>
      </w:tr>
      <w:tr w:rsidTr="002E2A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2.6.</w:t>
            </w:r>
          </w:p>
        </w:tc>
        <w:tc>
          <w:tcPr>
            <w:tcW w:w="561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 xml:space="preserve">Suitable checking procedure to validate positioning of </w:t>
            </w:r>
            <w:r w:rsidRPr="002E2ACD">
              <w:t>all placed marks is identified and followed.</w:t>
            </w:r>
          </w:p>
        </w:tc>
      </w:tr>
      <w:tr w:rsidTr="002E2A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p>
        </w:tc>
      </w:tr>
      <w:tr w:rsidTr="002E2A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3.</w:t>
            </w:r>
          </w:p>
        </w:tc>
        <w:tc>
          <w:tcPr>
            <w:tcW w:w="1962" w:type="dxa"/>
            <w:vMerge w:val="restart"/>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Meet local government building requirements.</w:t>
            </w:r>
          </w:p>
        </w:tc>
        <w:tc>
          <w:tcPr>
            <w:tcW w:w="77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3.1.</w:t>
            </w:r>
          </w:p>
        </w:tc>
        <w:tc>
          <w:tcPr>
            <w:tcW w:w="561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Re-mark surveys and local government siting requirements for the issue of building certificate are met.</w:t>
            </w:r>
          </w:p>
        </w:tc>
      </w:tr>
      <w:tr w:rsidTr="002E2A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3.2.</w:t>
            </w:r>
          </w:p>
        </w:tc>
        <w:tc>
          <w:tcPr>
            <w:tcW w:w="561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Relevant survey regulations relating to supervision and accuracy of surveys, field procedures, and survey searching are adhered to.</w:t>
            </w:r>
          </w:p>
        </w:tc>
      </w:tr>
      <w:tr w:rsidTr="002E2A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3.3.</w:t>
            </w:r>
          </w:p>
        </w:tc>
        <w:tc>
          <w:tcPr>
            <w:tcW w:w="561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Field notes are prepared according to organisational requirements and legal and statutory standards.</w:t>
            </w:r>
          </w:p>
        </w:tc>
      </w:tr>
      <w:tr w:rsidTr="002E2A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p>
        </w:tc>
      </w:tr>
      <w:tr w:rsidTr="002E2A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4.</w:t>
            </w:r>
          </w:p>
        </w:tc>
        <w:tc>
          <w:tcPr>
            <w:tcW w:w="1962" w:type="dxa"/>
            <w:vMerge w:val="restart"/>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Calculate identification survey.</w:t>
            </w:r>
          </w:p>
        </w:tc>
        <w:tc>
          <w:tcPr>
            <w:tcW w:w="77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4.1.</w:t>
            </w:r>
          </w:p>
        </w:tc>
        <w:tc>
          <w:tcPr>
            <w:tcW w:w="561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 xml:space="preserve">Position of improvements in relation to boundaries is calculated using </w:t>
            </w:r>
            <w:r w:rsidRPr="002E2ACD">
              <w:rPr>
                <w:rStyle w:val="BoldandItalics"/>
              </w:rPr>
              <w:t>industry-accepted methods</w:t>
            </w:r>
            <w:r w:rsidRPr="002E2ACD">
              <w:t xml:space="preserve">. </w:t>
            </w:r>
          </w:p>
        </w:tc>
      </w:tr>
      <w:tr w:rsidTr="002E2A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4.2.</w:t>
            </w:r>
          </w:p>
        </w:tc>
        <w:tc>
          <w:tcPr>
            <w:tcW w:w="561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Position of improvements in relation to set-out buildings is calculated using coordinate system.</w:t>
            </w:r>
          </w:p>
        </w:tc>
      </w:tr>
      <w:tr w:rsidTr="002E2A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p>
        </w:tc>
      </w:tr>
      <w:tr w:rsidTr="002E2A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5.</w:t>
            </w:r>
          </w:p>
        </w:tc>
        <w:tc>
          <w:tcPr>
            <w:tcW w:w="1962" w:type="dxa"/>
            <w:vMerge w:val="restart"/>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Prepare draft survey report and sketches.</w:t>
            </w:r>
          </w:p>
        </w:tc>
        <w:tc>
          <w:tcPr>
            <w:tcW w:w="77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5.1.</w:t>
            </w:r>
          </w:p>
        </w:tc>
        <w:tc>
          <w:tcPr>
            <w:tcW w:w="561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Draft survey report and accompanying sketches are prepared for a re-mark survey according to organisational requirements.</w:t>
            </w:r>
          </w:p>
        </w:tc>
      </w:tr>
      <w:tr w:rsidTr="002E2AC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5.2.</w:t>
            </w:r>
          </w:p>
        </w:tc>
        <w:tc>
          <w:tcPr>
            <w:tcW w:w="5610" w:type="dxa"/>
            <w:tcBorders>
              <w:top w:val="nil"/>
              <w:left w:val="nil"/>
              <w:bottom w:val="nil"/>
              <w:right w:val="nil"/>
            </w:tcBorders>
            <w:tcMar>
              <w:top w:w="0" w:type="dxa"/>
              <w:left w:w="62" w:type="dxa"/>
              <w:bottom w:w="0" w:type="dxa"/>
              <w:right w:w="62" w:type="dxa"/>
            </w:tcMar>
          </w:tcPr>
          <w:p w:rsidR="00000000" w:rsidRPr="002E2ACD" w:rsidP="002E2ACD">
            <w:pPr>
              <w:pStyle w:val="BodyText"/>
            </w:pPr>
            <w:r w:rsidRPr="002E2ACD">
              <w:t>Physical constraints and environmental impacts of development are incorporated into report.</w:t>
            </w:r>
          </w:p>
        </w:tc>
      </w:tr>
    </w:tbl>
    <w:p w:rsidR="00000000" w:rsidRPr="002E2ACD" w:rsidP="002E2ACD">
      <w:pPr>
        <w:pStyle w:val="BodyText"/>
      </w:pPr>
    </w:p>
    <w:p w:rsidR="00000000" w:rsidRPr="002E2ACD" w:rsidP="002E2ACD">
      <w:pPr>
        <w:pStyle w:val="AllowPageBreak"/>
      </w:pPr>
    </w:p>
    <w:p w:rsidR="00000000" w:rsidRPr="002E2ACD" w:rsidP="002E2ACD">
      <w:pPr>
        <w:pStyle w:val="Heading1"/>
      </w:pPr>
      <w:bookmarkStart w:id="6" w:name="O_837528"/>
      <w:bookmarkEnd w:id="6"/>
      <w:r w:rsidRPr="002E2ACD">
        <w:t>Foundation Skills</w:t>
      </w:r>
    </w:p>
    <w:tbl>
      <w:tblPr>
        <w:tblW w:w="0" w:type="auto"/>
        <w:tblCellMar>
          <w:left w:w="62" w:type="dxa"/>
          <w:right w:w="62" w:type="dxa"/>
        </w:tblCellMar>
        <w:tblLook w:val="0000"/>
      </w:tblPr>
      <w:tblGrid>
        <w:gridCol w:w="2321"/>
        <w:gridCol w:w="6875"/>
      </w:tblGrid>
      <w:tr w:rsidTr="00FE55F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This section describes the language, literacy, numeracy and employment skills essential to performance in this unit but not explicit in the performance criteria.</w:t>
            </w:r>
          </w:p>
        </w:tc>
      </w:tr>
      <w:tr w:rsidTr="00FE5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2ACD" w:rsidP="002E2ACD">
            <w:pPr>
              <w:pStyle w:val="BodyText"/>
            </w:pPr>
            <w:r w:rsidRPr="002E2ACD">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rPr>
                <w:rStyle w:val="SpecialBold"/>
              </w:rPr>
              <w:t>Performance feature</w:t>
            </w:r>
          </w:p>
        </w:tc>
      </w:tr>
      <w:tr w:rsidTr="00FE5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Learning skills to:</w:t>
            </w:r>
          </w:p>
        </w:tc>
        <w:tc>
          <w:tcPr>
            <w:tcW w:w="0" w:type="auto"/>
            <w:tcBorders>
              <w:top w:val="nil"/>
              <w:left w:val="nil"/>
              <w:bottom w:val="nil"/>
              <w:right w:val="nil"/>
            </w:tcBorders>
            <w:tcMar>
              <w:top w:w="0" w:type="dxa"/>
              <w:left w:w="62" w:type="dxa"/>
              <w:bottom w:w="0" w:type="dxa"/>
              <w:right w:w="62" w:type="dxa"/>
            </w:tcMar>
          </w:tcPr>
          <w:p w:rsidR="00000000" w:rsidRPr="002E2ACD" w:rsidP="002E2ACD">
            <w:pPr>
              <w:pStyle w:val="ListBullet"/>
            </w:pPr>
            <w:r w:rsidRPr="002E2ACD">
              <w:t>conduct research to identify survey information and task requirements</w:t>
            </w:r>
          </w:p>
          <w:p w:rsidR="00000000" w:rsidP="002E2ACD">
            <w:pPr>
              <w:pStyle w:val="BodyText"/>
              <w:rPr>
                <w:lang w:val="en-NZ"/>
              </w:rPr>
            </w:pPr>
            <w:r w:rsidRPr="002E2ACD">
              <w:t>.</w:t>
            </w:r>
          </w:p>
        </w:tc>
      </w:tr>
      <w:tr w:rsidTr="00FE5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2E2ACD" w:rsidP="002E2ACD">
            <w:pPr>
              <w:pStyle w:val="ListBullet"/>
            </w:pPr>
            <w:r w:rsidRPr="002E2ACD">
              <w:t>plan and prioritise work to meet survey timeframes.</w:t>
            </w:r>
          </w:p>
          <w:p w:rsidR="00000000" w:rsidP="002E2ACD">
            <w:pPr>
              <w:pStyle w:val="BodyText"/>
              <w:rPr>
                <w:lang w:val="en-NZ"/>
              </w:rPr>
            </w:pPr>
          </w:p>
        </w:tc>
      </w:tr>
      <w:tr w:rsidTr="00FE5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Numeracy skills to:</w:t>
            </w:r>
          </w:p>
        </w:tc>
        <w:tc>
          <w:tcPr>
            <w:tcW w:w="0" w:type="auto"/>
            <w:tcBorders>
              <w:top w:val="nil"/>
              <w:left w:val="nil"/>
              <w:bottom w:val="nil"/>
              <w:right w:val="nil"/>
            </w:tcBorders>
            <w:tcMar>
              <w:top w:w="0" w:type="dxa"/>
              <w:left w:w="62" w:type="dxa"/>
              <w:bottom w:w="0" w:type="dxa"/>
              <w:right w:w="62" w:type="dxa"/>
            </w:tcMar>
          </w:tcPr>
          <w:p w:rsidR="00000000" w:rsidRPr="002E2ACD" w:rsidP="002E2ACD">
            <w:pPr>
              <w:pStyle w:val="ListBullet"/>
            </w:pPr>
            <w:r w:rsidRPr="002E2ACD">
              <w:t>conduct precise measurements and computations relating to length, angle,</w:t>
            </w:r>
            <w:r w:rsidRPr="002E2ACD">
              <w:t xml:space="preserve"> elevation, area and volume.</w:t>
            </w:r>
          </w:p>
          <w:p w:rsidR="00000000" w:rsidP="002E2ACD">
            <w:pPr>
              <w:pStyle w:val="BodyText"/>
              <w:rPr>
                <w:lang w:val="en-NZ"/>
              </w:rPr>
            </w:pPr>
          </w:p>
        </w:tc>
      </w:tr>
      <w:tr w:rsidTr="00FE5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2E2ACD" w:rsidP="002E2ACD">
            <w:pPr>
              <w:pStyle w:val="ListBullet"/>
            </w:pPr>
            <w:r w:rsidRPr="002E2ACD">
              <w:t>ask questions to clarify client requirements</w:t>
            </w:r>
          </w:p>
          <w:p w:rsidR="00000000" w:rsidRPr="002E2ACD" w:rsidP="002E2ACD">
            <w:pPr>
              <w:pStyle w:val="ListBullet"/>
            </w:pPr>
            <w:r w:rsidRPr="002E2ACD">
              <w:t>discuss observations and evidence with appropriate persons.</w:t>
            </w:r>
          </w:p>
          <w:p w:rsidR="00000000" w:rsidP="002E2ACD">
            <w:pPr>
              <w:pStyle w:val="BodyText"/>
              <w:rPr>
                <w:lang w:val="en-NZ"/>
              </w:rPr>
            </w:pPr>
          </w:p>
        </w:tc>
      </w:tr>
      <w:tr w:rsidTr="00FE5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Reading skills to:</w:t>
            </w:r>
          </w:p>
        </w:tc>
        <w:tc>
          <w:tcPr>
            <w:tcW w:w="0" w:type="auto"/>
            <w:tcBorders>
              <w:top w:val="nil"/>
              <w:left w:val="nil"/>
              <w:bottom w:val="nil"/>
              <w:right w:val="nil"/>
            </w:tcBorders>
            <w:tcMar>
              <w:top w:w="0" w:type="dxa"/>
              <w:left w:w="62" w:type="dxa"/>
              <w:bottom w:w="0" w:type="dxa"/>
              <w:right w:w="62" w:type="dxa"/>
            </w:tcMar>
          </w:tcPr>
          <w:p w:rsidR="00000000" w:rsidRPr="002E2ACD" w:rsidP="002E2ACD">
            <w:pPr>
              <w:pStyle w:val="ListBullet"/>
            </w:pPr>
            <w:r w:rsidRPr="002E2ACD">
              <w:t>analyse graphical and technical information in construction and engineering drawings and survey plans</w:t>
            </w:r>
          </w:p>
          <w:p w:rsidR="00000000" w:rsidRPr="002E2ACD" w:rsidP="002E2ACD">
            <w:pPr>
              <w:pStyle w:val="ListBullet"/>
            </w:pPr>
            <w:r w:rsidRPr="002E2ACD">
              <w:t>interpret legal information in land and planning laws.</w:t>
            </w:r>
          </w:p>
          <w:p w:rsidR="00000000" w:rsidP="002E2ACD">
            <w:pPr>
              <w:pStyle w:val="BodyText"/>
              <w:rPr>
                <w:lang w:val="en-NZ"/>
              </w:rPr>
            </w:pPr>
          </w:p>
        </w:tc>
      </w:tr>
      <w:tr w:rsidTr="00FE5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Writing skills to:</w:t>
            </w:r>
          </w:p>
        </w:tc>
        <w:tc>
          <w:tcPr>
            <w:tcW w:w="0" w:type="auto"/>
            <w:tcBorders>
              <w:top w:val="nil"/>
              <w:left w:val="nil"/>
              <w:bottom w:val="nil"/>
              <w:right w:val="nil"/>
            </w:tcBorders>
            <w:tcMar>
              <w:top w:w="0" w:type="dxa"/>
              <w:left w:w="62" w:type="dxa"/>
              <w:bottom w:w="0" w:type="dxa"/>
              <w:right w:w="62" w:type="dxa"/>
            </w:tcMar>
          </w:tcPr>
          <w:p w:rsidR="00000000" w:rsidRPr="002E2ACD" w:rsidP="002E2ACD">
            <w:pPr>
              <w:pStyle w:val="ListBullet"/>
            </w:pPr>
            <w:r w:rsidRPr="002E2ACD">
              <w:t>use templates to record field notes</w:t>
            </w:r>
          </w:p>
          <w:p w:rsidR="00000000" w:rsidRPr="002E2ACD" w:rsidP="002E2ACD">
            <w:pPr>
              <w:pStyle w:val="ListBullet"/>
            </w:pPr>
            <w:r w:rsidRPr="002E2ACD">
              <w:t>write field notes that can be interpreted</w:t>
            </w:r>
            <w:r w:rsidRPr="002E2ACD">
              <w:t xml:space="preserve"> by a third party.</w:t>
            </w:r>
          </w:p>
          <w:p w:rsidR="00000000" w:rsidP="002E2ACD">
            <w:pPr>
              <w:pStyle w:val="BodyText"/>
              <w:rPr>
                <w:lang w:val="en-NZ"/>
              </w:rPr>
            </w:pPr>
          </w:p>
        </w:tc>
      </w:tr>
      <w:tr w:rsidTr="00FE5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Technology skills to:</w:t>
            </w:r>
          </w:p>
        </w:tc>
        <w:tc>
          <w:tcPr>
            <w:tcW w:w="0" w:type="auto"/>
            <w:tcBorders>
              <w:top w:val="nil"/>
              <w:left w:val="nil"/>
              <w:bottom w:val="nil"/>
              <w:right w:val="nil"/>
            </w:tcBorders>
            <w:tcMar>
              <w:top w:w="0" w:type="dxa"/>
              <w:left w:w="62" w:type="dxa"/>
              <w:bottom w:w="0" w:type="dxa"/>
              <w:right w:w="62" w:type="dxa"/>
            </w:tcMar>
          </w:tcPr>
          <w:p w:rsidR="00000000" w:rsidRPr="002E2ACD" w:rsidP="002E2ACD">
            <w:pPr>
              <w:pStyle w:val="ListBullet"/>
            </w:pPr>
            <w:r w:rsidRPr="002E2ACD">
              <w:t>connect equipment to coordinate systems</w:t>
            </w:r>
          </w:p>
          <w:p w:rsidR="00000000" w:rsidRPr="002E2ACD" w:rsidP="002E2ACD">
            <w:pPr>
              <w:pStyle w:val="ListBullet"/>
            </w:pPr>
            <w:r w:rsidRPr="002E2ACD">
              <w:t>set up and calibrate specialised surveying equipment.</w:t>
            </w:r>
          </w:p>
          <w:p w:rsidR="00000000" w:rsidP="002E2ACD">
            <w:pPr>
              <w:pStyle w:val="BodyText"/>
              <w:rPr>
                <w:lang w:val="en-NZ"/>
              </w:rPr>
            </w:pPr>
          </w:p>
        </w:tc>
      </w:tr>
      <w:tr w:rsidTr="00FE55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Problem-solving skills to:</w:t>
            </w:r>
          </w:p>
        </w:tc>
        <w:tc>
          <w:tcPr>
            <w:tcW w:w="0" w:type="auto"/>
            <w:tcBorders>
              <w:top w:val="nil"/>
              <w:left w:val="nil"/>
              <w:bottom w:val="nil"/>
              <w:right w:val="nil"/>
            </w:tcBorders>
            <w:tcMar>
              <w:top w:w="0" w:type="dxa"/>
              <w:left w:w="62" w:type="dxa"/>
              <w:bottom w:w="0" w:type="dxa"/>
              <w:right w:w="62" w:type="dxa"/>
            </w:tcMar>
          </w:tcPr>
          <w:p w:rsidR="00000000" w:rsidRPr="002E2ACD" w:rsidP="002E2ACD">
            <w:pPr>
              <w:pStyle w:val="ListBullet"/>
            </w:pPr>
            <w:r w:rsidRPr="002E2ACD">
              <w:t>select appropriate validation methods to verify accuracy of data.</w:t>
            </w:r>
          </w:p>
        </w:tc>
      </w:tr>
    </w:tbl>
    <w:p w:rsidR="00000000" w:rsidRPr="002E2ACD" w:rsidP="002E2ACD">
      <w:pPr>
        <w:pStyle w:val="BodyText"/>
      </w:pPr>
    </w:p>
    <w:p w:rsidR="00000000" w:rsidRPr="002E2ACD" w:rsidP="002E2ACD">
      <w:pPr>
        <w:pStyle w:val="AllowPageBreak"/>
      </w:pPr>
    </w:p>
    <w:p w:rsidR="00000000" w:rsidRPr="002E2ACD" w:rsidP="002E2ACD">
      <w:pPr>
        <w:pStyle w:val="Heading1"/>
      </w:pPr>
      <w:bookmarkStart w:id="7" w:name="O_837527"/>
      <w:bookmarkEnd w:id="7"/>
      <w:r w:rsidRPr="002E2ACD">
        <w:t>Range of Conditions</w:t>
      </w:r>
    </w:p>
    <w:tbl>
      <w:tblPr>
        <w:tblW w:w="0" w:type="auto"/>
        <w:tblLayout w:type="fixed"/>
        <w:tblCellMar>
          <w:left w:w="62" w:type="dxa"/>
          <w:right w:w="62" w:type="dxa"/>
        </w:tblCellMar>
        <w:tblLook w:val="0000"/>
      </w:tblPr>
      <w:tblGrid>
        <w:gridCol w:w="2364"/>
        <w:gridCol w:w="6708"/>
      </w:tblGrid>
      <w:tr w:rsidTr="002E2A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t>This section specifies work environments and conditions that may affect performance. Essential operating conditions that may be present (depending on the work situation, needs of the candidate, accessibility of the item, and local indus</w:t>
            </w:r>
            <w:r w:rsidRPr="002E2ACD">
              <w:t>try and regional contexts) are included. Bold italicised wording, if used in the performance criteria, is detailed below.</w:t>
            </w:r>
          </w:p>
        </w:tc>
      </w:tr>
      <w:tr w:rsidTr="002E2AC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rPr>
                <w:rStyle w:val="BoldandItalics"/>
              </w:rPr>
              <w:t xml:space="preserve">Appropriate persons </w:t>
            </w:r>
            <w:r w:rsidRPr="002E2ACD">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2E2ACD" w:rsidP="002E2ACD">
            <w:pPr>
              <w:pStyle w:val="ListBullet"/>
            </w:pPr>
            <w:r w:rsidRPr="002E2ACD">
              <w:t>client</w:t>
            </w:r>
          </w:p>
          <w:p w:rsidR="00000000" w:rsidRPr="002E2ACD" w:rsidP="002E2ACD">
            <w:pPr>
              <w:pStyle w:val="ListBullet"/>
            </w:pPr>
            <w:r w:rsidRPr="002E2ACD">
              <w:t>colleague</w:t>
            </w:r>
          </w:p>
          <w:p w:rsidR="00000000" w:rsidRPr="002E2ACD" w:rsidP="002E2ACD">
            <w:pPr>
              <w:pStyle w:val="ListBullet"/>
            </w:pPr>
            <w:r w:rsidRPr="002E2ACD">
              <w:t>engineer</w:t>
            </w:r>
          </w:p>
          <w:p w:rsidR="00000000" w:rsidRPr="002E2ACD" w:rsidP="002E2ACD">
            <w:pPr>
              <w:pStyle w:val="ListBullet"/>
            </w:pPr>
            <w:r w:rsidRPr="002E2ACD">
              <w:t>local government representative</w:t>
            </w:r>
          </w:p>
          <w:p w:rsidR="00000000" w:rsidRPr="002E2ACD" w:rsidP="002E2ACD">
            <w:pPr>
              <w:pStyle w:val="ListBullet"/>
            </w:pPr>
            <w:r w:rsidRPr="002E2ACD">
              <w:t>manager</w:t>
            </w:r>
          </w:p>
          <w:p w:rsidR="00000000" w:rsidP="002E2ACD">
            <w:pPr>
              <w:pStyle w:val="ListBullet"/>
              <w:rPr>
                <w:lang w:val="en-NZ"/>
              </w:rPr>
            </w:pPr>
            <w:r w:rsidRPr="002E2ACD">
              <w:t>registered or qualified surveyor.</w:t>
            </w:r>
          </w:p>
        </w:tc>
      </w:tr>
      <w:tr w:rsidTr="002E2AC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p>
        </w:tc>
      </w:tr>
      <w:tr w:rsidTr="002E2AC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E2ACD">
            <w:pPr>
              <w:pStyle w:val="BodyText"/>
              <w:rPr>
                <w:lang w:val="en-NZ"/>
              </w:rPr>
            </w:pPr>
            <w:r w:rsidRPr="002E2ACD">
              <w:rPr>
                <w:rStyle w:val="BoldandItalics"/>
              </w:rPr>
              <w:t>Industry-accepted methods</w:t>
            </w:r>
            <w:r w:rsidRPr="002E2ACD">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2E2ACD" w:rsidP="002E2ACD">
            <w:pPr>
              <w:pStyle w:val="ListBullet"/>
            </w:pPr>
            <w:r w:rsidRPr="002E2ACD">
              <w:t>coordinate system</w:t>
            </w:r>
          </w:p>
          <w:p w:rsidR="00000000" w:rsidRPr="002E2ACD" w:rsidP="002E2ACD">
            <w:pPr>
              <w:pStyle w:val="ListBullet"/>
            </w:pPr>
            <w:r w:rsidRPr="002E2ACD">
              <w:t>direct methods</w:t>
            </w:r>
          </w:p>
          <w:p w:rsidR="00000000" w:rsidRPr="002E2ACD" w:rsidP="002E2ACD">
            <w:pPr>
              <w:pStyle w:val="ListBullet"/>
            </w:pPr>
            <w:r w:rsidRPr="002E2ACD">
              <w:t>indirect methods, such as radiations.</w:t>
            </w:r>
          </w:p>
        </w:tc>
      </w:tr>
    </w:tbl>
    <w:p w:rsidR="00000000" w:rsidRPr="002E2ACD" w:rsidP="002E2ACD">
      <w:pPr>
        <w:pStyle w:val="BodyText"/>
      </w:pPr>
    </w:p>
    <w:p w:rsidR="00000000" w:rsidRPr="002E2ACD" w:rsidP="002E2ACD">
      <w:pPr>
        <w:pStyle w:val="AllowPageBreak"/>
      </w:pPr>
    </w:p>
    <w:p w:rsidR="00000000" w:rsidRPr="002E2ACD" w:rsidP="002E2ACD">
      <w:pPr>
        <w:pStyle w:val="Heading1"/>
      </w:pPr>
      <w:bookmarkStart w:id="8" w:name="O_837526"/>
      <w:bookmarkEnd w:id="8"/>
      <w:r w:rsidRPr="002E2ACD">
        <w:t>Unit Mapping Information</w:t>
      </w:r>
    </w:p>
    <w:p w:rsidR="00000000" w:rsidRPr="002E2ACD" w:rsidP="00FE55F5">
      <w:pPr>
        <w:pStyle w:val="BodyText"/>
      </w:pPr>
      <w:r w:rsidRPr="002E2ACD">
        <w:t>CPPSIS5051A Apply land and planning law to surveying</w:t>
      </w:r>
    </w:p>
    <w:p w:rsidR="00000000" w:rsidRPr="002E2ACD" w:rsidP="002E2ACD">
      <w:pPr>
        <w:pStyle w:val="Heading1"/>
      </w:pPr>
      <w:bookmarkStart w:id="9" w:name="O_837519"/>
      <w:bookmarkEnd w:id="9"/>
      <w:r w:rsidRPr="002E2ACD">
        <w:t>Links</w:t>
      </w:r>
    </w:p>
    <w:p w:rsidR="00000000" w:rsidRPr="002E2ACD" w:rsidP="00FE55F5">
      <w:pPr>
        <w:pStyle w:val="BodyText"/>
      </w:pPr>
      <w:r w:rsidRPr="002E2AC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D61B8">
        <w:rPr>
          <w:rStyle w:val="Hyperlink"/>
        </w:rPr>
        <w:t>https://vetnet.gov.au/Pages/TrainingDocs.aspx?q=6f3f9672-30e8-4835-b348-205dfcf13d9b</w:t>
      </w:r>
      <w:r>
        <w:fldChar w:fldCharType="end"/>
      </w:r>
    </w:p>
    <w:p w:rsidR="00000000" w:rsidRPr="002E2ACD" w:rsidP="002E2ACD"/>
    <w:sectPr w:rsidSect="002E2A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A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ACD" w:rsidRPr="00FE55F5" w:rsidP="00FE55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A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5F5" w:rsidP="002E2A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55F5" w:rsidP="002E2AC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FE55F5" w:rsidP="002E2A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A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5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2ACD" w:rsidRPr="00FE55F5" w:rsidP="00FE55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A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5F5" w:rsidRPr="002D2AF8" w:rsidP="002E2ACD">
    <w:pPr>
      <w:pStyle w:val="Header"/>
      <w:framePr w:wrap="around"/>
    </w:pPr>
    <w:r>
      <w:fldChar w:fldCharType="begin"/>
    </w:r>
    <w:r>
      <w:instrText xml:space="preserve"> TITLE   \* MERGEFORMAT </w:instrText>
    </w:r>
    <w:r>
      <w:fldChar w:fldCharType="separate"/>
    </w:r>
    <w:r>
      <w:t>CPPSIS5051 Apply land and planning law to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FE55F5" w:rsidP="002E2A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7E7E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CA8F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A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2ACD"/>
    <w:pPr>
      <w:spacing w:before="360" w:after="60"/>
      <w:outlineLvl w:val="0"/>
    </w:pPr>
    <w:rPr>
      <w:sz w:val="32"/>
    </w:rPr>
  </w:style>
  <w:style w:type="paragraph" w:styleId="Heading2">
    <w:name w:val="heading 2"/>
    <w:basedOn w:val="HeadingBase"/>
    <w:next w:val="BodyText"/>
    <w:link w:val="Heading2Char"/>
    <w:qFormat/>
    <w:rsid w:val="002E2ACD"/>
    <w:pPr>
      <w:keepLines/>
      <w:spacing w:before="240" w:after="120"/>
      <w:outlineLvl w:val="1"/>
    </w:pPr>
    <w:rPr>
      <w:sz w:val="28"/>
      <w:szCs w:val="40"/>
    </w:rPr>
  </w:style>
  <w:style w:type="paragraph" w:styleId="Heading3">
    <w:name w:val="heading 3"/>
    <w:basedOn w:val="HeadingBase"/>
    <w:next w:val="BodyText"/>
    <w:link w:val="Heading3Char"/>
    <w:qFormat/>
    <w:rsid w:val="002E2ACD"/>
    <w:pPr>
      <w:spacing w:before="180" w:after="120"/>
      <w:outlineLvl w:val="2"/>
    </w:pPr>
    <w:rPr>
      <w:spacing w:val="-10"/>
      <w:kern w:val="32"/>
    </w:rPr>
  </w:style>
  <w:style w:type="paragraph" w:styleId="Heading4">
    <w:name w:val="heading 4"/>
    <w:basedOn w:val="HeadingBase"/>
    <w:next w:val="BodyText"/>
    <w:link w:val="Heading4Char"/>
    <w:qFormat/>
    <w:rsid w:val="002E2ACD"/>
    <w:pPr>
      <w:spacing w:before="160" w:after="120"/>
      <w:outlineLvl w:val="3"/>
    </w:pPr>
    <w:rPr>
      <w:sz w:val="22"/>
    </w:rPr>
  </w:style>
  <w:style w:type="paragraph" w:styleId="Heading5">
    <w:name w:val="heading 5"/>
    <w:basedOn w:val="HeadingBase"/>
    <w:next w:val="Normal"/>
    <w:link w:val="Heading5Char"/>
    <w:qFormat/>
    <w:rsid w:val="002E2ACD"/>
    <w:pPr>
      <w:spacing w:before="80"/>
      <w:outlineLvl w:val="4"/>
    </w:pPr>
    <w:rPr>
      <w:color w:val="918585"/>
      <w:sz w:val="20"/>
    </w:rPr>
  </w:style>
  <w:style w:type="paragraph" w:styleId="Heading6">
    <w:name w:val="heading 6"/>
    <w:basedOn w:val="HeadingBase"/>
    <w:next w:val="Normal"/>
    <w:link w:val="Heading6Char"/>
    <w:qFormat/>
    <w:rsid w:val="002E2ACD"/>
    <w:pPr>
      <w:spacing w:before="60"/>
      <w:outlineLvl w:val="5"/>
    </w:pPr>
    <w:rPr>
      <w:color w:val="918585"/>
      <w:sz w:val="20"/>
    </w:rPr>
  </w:style>
  <w:style w:type="paragraph" w:styleId="Heading7">
    <w:name w:val="heading 7"/>
    <w:basedOn w:val="Normal"/>
    <w:next w:val="Normal"/>
    <w:link w:val="Heading7Char"/>
    <w:qFormat/>
    <w:rsid w:val="002E2ACD"/>
    <w:pPr>
      <w:ind w:left="720"/>
      <w:outlineLvl w:val="6"/>
    </w:pPr>
    <w:rPr>
      <w:i/>
    </w:rPr>
  </w:style>
  <w:style w:type="paragraph" w:styleId="Heading8">
    <w:name w:val="heading 8"/>
    <w:basedOn w:val="Normal"/>
    <w:next w:val="Normal"/>
    <w:link w:val="Heading8Char"/>
    <w:qFormat/>
    <w:rsid w:val="002E2ACD"/>
    <w:pPr>
      <w:ind w:left="720"/>
      <w:outlineLvl w:val="7"/>
    </w:pPr>
    <w:rPr>
      <w:i/>
    </w:rPr>
  </w:style>
  <w:style w:type="paragraph" w:styleId="Heading9">
    <w:name w:val="heading 9"/>
    <w:basedOn w:val="Normal"/>
    <w:next w:val="Normal"/>
    <w:link w:val="Heading9Char"/>
    <w:qFormat/>
    <w:rsid w:val="002E2ACD"/>
    <w:pPr>
      <w:ind w:left="720"/>
      <w:outlineLvl w:val="8"/>
    </w:pPr>
    <w:rPr>
      <w:i/>
    </w:rPr>
  </w:style>
  <w:style w:type="character" w:default="1" w:styleId="DefaultParagraphFont">
    <w:name w:val="Default Paragraph Font"/>
    <w:uiPriority w:val="1"/>
    <w:unhideWhenUsed/>
    <w:rsid w:val="002E2A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2ACD"/>
  </w:style>
  <w:style w:type="character" w:customStyle="1" w:styleId="Heading1Char">
    <w:name w:val="Heading 1 Char"/>
    <w:basedOn w:val="DefaultParagraphFont"/>
    <w:link w:val="Heading1"/>
    <w:rsid w:val="002E2ACD"/>
    <w:rPr>
      <w:rFonts w:ascii="Times New Roman" w:eastAsia="Times New Roman" w:hAnsi="Times New Roman" w:cs="Times New Roman"/>
      <w:b/>
      <w:sz w:val="32"/>
      <w:szCs w:val="20"/>
      <w:lang w:eastAsia="en-US"/>
    </w:rPr>
  </w:style>
  <w:style w:type="paragraph" w:styleId="BodyText">
    <w:name w:val="Body Text"/>
    <w:basedOn w:val="Normal"/>
    <w:link w:val="BodyTextChar"/>
    <w:rsid w:val="002E2A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2ACD"/>
    <w:rPr>
      <w:rFonts w:ascii="Times New Roman" w:eastAsia="Times New Roman" w:hAnsi="Times New Roman" w:cs="Times New Roman"/>
      <w:sz w:val="24"/>
      <w:lang w:eastAsia="en-US"/>
    </w:rPr>
  </w:style>
  <w:style w:type="paragraph" w:styleId="ListBullet">
    <w:name w:val="List Bullet"/>
    <w:basedOn w:val="List"/>
    <w:rsid w:val="002E2ACD"/>
    <w:pPr>
      <w:numPr>
        <w:numId w:val="11"/>
      </w:numPr>
      <w:tabs>
        <w:tab w:val="clear" w:pos="340"/>
      </w:tabs>
      <w:spacing w:before="40" w:after="40"/>
    </w:pPr>
  </w:style>
  <w:style w:type="character" w:customStyle="1" w:styleId="SpecialBold">
    <w:name w:val="Special Bold"/>
    <w:basedOn w:val="DefaultParagraphFont"/>
    <w:rsid w:val="002E2ACD"/>
    <w:rPr>
      <w:b/>
      <w:spacing w:val="0"/>
    </w:rPr>
  </w:style>
  <w:style w:type="paragraph" w:customStyle="1" w:styleId="SuperHeading">
    <w:name w:val="SuperHeading"/>
    <w:basedOn w:val="Normal"/>
    <w:rsid w:val="002E2ACD"/>
    <w:pPr>
      <w:spacing w:before="240" w:after="120"/>
      <w:outlineLvl w:val="0"/>
    </w:pPr>
    <w:rPr>
      <w:rFonts w:ascii="Times New Roman" w:hAnsi="Times New Roman"/>
      <w:b/>
      <w:sz w:val="32"/>
    </w:rPr>
  </w:style>
  <w:style w:type="paragraph" w:customStyle="1" w:styleId="AllowPageBreak">
    <w:name w:val="AllowPageBreak"/>
    <w:rsid w:val="002E2A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E2ACD"/>
    <w:rPr>
      <w:b/>
      <w:i/>
      <w:u w:val="none"/>
    </w:rPr>
  </w:style>
  <w:style w:type="character" w:customStyle="1" w:styleId="Heading2Char">
    <w:name w:val="Heading 2 Char"/>
    <w:basedOn w:val="DefaultParagraphFont"/>
    <w:link w:val="Heading2"/>
    <w:rsid w:val="002E2A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2A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2A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2A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2A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2A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2A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2ACD"/>
    <w:rPr>
      <w:rFonts w:ascii="Courier New" w:eastAsia="Times New Roman" w:hAnsi="Courier New" w:cs="Times New Roman"/>
      <w:i/>
      <w:szCs w:val="20"/>
      <w:lang w:eastAsia="en-US"/>
    </w:rPr>
  </w:style>
  <w:style w:type="paragraph" w:customStyle="1" w:styleId="HeadingBase">
    <w:name w:val="Heading Base"/>
    <w:rsid w:val="002E2A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2ACD"/>
    <w:pPr>
      <w:tabs>
        <w:tab w:val="right" w:leader="dot" w:pos="9072"/>
      </w:tabs>
      <w:ind w:left="567"/>
    </w:pPr>
    <w:rPr>
      <w:szCs w:val="22"/>
    </w:rPr>
  </w:style>
  <w:style w:type="paragraph" w:customStyle="1" w:styleId="TOCBase">
    <w:name w:val="TOC Base"/>
    <w:rsid w:val="002E2A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2ACD"/>
    <w:pPr>
      <w:tabs>
        <w:tab w:val="right" w:leader="dot" w:pos="9072"/>
      </w:tabs>
      <w:spacing w:before="40" w:after="40"/>
      <w:ind w:left="284"/>
    </w:pPr>
    <w:rPr>
      <w:rFonts w:ascii="Times New Roman" w:hAnsi="Times New Roman"/>
    </w:rPr>
  </w:style>
  <w:style w:type="paragraph" w:styleId="TOC1">
    <w:name w:val="toc 1"/>
    <w:basedOn w:val="TOCBase"/>
    <w:next w:val="Normal"/>
    <w:rsid w:val="002E2A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2A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2ACD"/>
    <w:rPr>
      <w:rFonts w:ascii="Times New Roman" w:eastAsia="Times New Roman" w:hAnsi="Times New Roman" w:cs="Times New Roman"/>
      <w:sz w:val="16"/>
      <w:lang w:eastAsia="en-US"/>
    </w:rPr>
  </w:style>
  <w:style w:type="paragraph" w:styleId="Title">
    <w:name w:val="Title"/>
    <w:basedOn w:val="HeadingBase"/>
    <w:link w:val="TitleChar"/>
    <w:qFormat/>
    <w:rsid w:val="002E2ACD"/>
    <w:pPr>
      <w:spacing w:before="5040"/>
      <w:jc w:val="center"/>
    </w:pPr>
    <w:rPr>
      <w:sz w:val="48"/>
      <w:szCs w:val="72"/>
      <w:lang w:val="en-US"/>
    </w:rPr>
  </w:style>
  <w:style w:type="character" w:customStyle="1" w:styleId="TitleChar">
    <w:name w:val="Title Char"/>
    <w:basedOn w:val="DefaultParagraphFont"/>
    <w:link w:val="Title"/>
    <w:rsid w:val="002E2A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2ACD"/>
    <w:pPr>
      <w:tabs>
        <w:tab w:val="left" w:pos="3600"/>
        <w:tab w:val="left" w:pos="3958"/>
      </w:tabs>
    </w:pPr>
  </w:style>
  <w:style w:type="paragraph" w:styleId="List">
    <w:name w:val="List"/>
    <w:basedOn w:val="BodyText"/>
    <w:next w:val="BodyText"/>
    <w:rsid w:val="002E2ACD"/>
    <w:pPr>
      <w:tabs>
        <w:tab w:val="left" w:pos="340"/>
      </w:tabs>
      <w:spacing w:before="60" w:after="60"/>
      <w:ind w:left="340" w:hanging="340"/>
    </w:pPr>
  </w:style>
  <w:style w:type="paragraph" w:customStyle="1" w:styleId="Note">
    <w:name w:val="Note"/>
    <w:basedOn w:val="BodyText"/>
    <w:rsid w:val="002E2A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2ACD"/>
    <w:pPr>
      <w:framePr w:wrap="auto" w:hAnchor="text" w:y="6049"/>
    </w:pPr>
    <w:rPr>
      <w:color w:val="000000"/>
      <w:sz w:val="40"/>
    </w:rPr>
  </w:style>
  <w:style w:type="paragraph" w:customStyle="1" w:styleId="TOCTitle">
    <w:name w:val="TOCTitle"/>
    <w:basedOn w:val="Heading1"/>
    <w:rsid w:val="002E2ACD"/>
    <w:pPr>
      <w:spacing w:after="240"/>
      <w:jc w:val="center"/>
      <w:outlineLvl w:val="9"/>
    </w:pPr>
    <w:rPr>
      <w:caps/>
    </w:rPr>
  </w:style>
  <w:style w:type="paragraph" w:customStyle="1" w:styleId="Version">
    <w:name w:val="Version"/>
    <w:rsid w:val="002E2A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2ACD"/>
    <w:pPr>
      <w:numPr>
        <w:numId w:val="12"/>
      </w:numPr>
      <w:tabs>
        <w:tab w:val="clear" w:pos="680"/>
      </w:tabs>
    </w:pPr>
  </w:style>
  <w:style w:type="paragraph" w:styleId="Index1">
    <w:name w:val="index 1"/>
    <w:basedOn w:val="Normal"/>
    <w:next w:val="Normal"/>
    <w:semiHidden/>
    <w:rsid w:val="002E2ACD"/>
    <w:pPr>
      <w:keepNext w:val="0"/>
      <w:tabs>
        <w:tab w:val="right" w:pos="4176"/>
      </w:tabs>
      <w:ind w:left="198" w:hanging="198"/>
    </w:pPr>
    <w:rPr>
      <w:rFonts w:ascii="Garamond" w:hAnsi="Garamond"/>
    </w:rPr>
  </w:style>
  <w:style w:type="paragraph" w:styleId="IndexHeading">
    <w:name w:val="index heading"/>
    <w:basedOn w:val="Normal"/>
    <w:next w:val="Index1"/>
    <w:semiHidden/>
    <w:rsid w:val="002E2ACD"/>
    <w:pPr>
      <w:spacing w:before="120" w:after="120"/>
    </w:pPr>
    <w:rPr>
      <w:rFonts w:ascii="Arial" w:hAnsi="Arial"/>
      <w:b/>
      <w:color w:val="918585"/>
      <w:sz w:val="24"/>
    </w:rPr>
  </w:style>
  <w:style w:type="paragraph" w:styleId="Header">
    <w:name w:val="header"/>
    <w:basedOn w:val="Normal"/>
    <w:link w:val="HeaderChar"/>
    <w:rsid w:val="002E2A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2ACD"/>
    <w:rPr>
      <w:rFonts w:ascii="Times New Roman" w:eastAsia="Times New Roman" w:hAnsi="Times New Roman" w:cs="Times New Roman"/>
      <w:sz w:val="16"/>
      <w:szCs w:val="20"/>
      <w:lang w:val="en-GB" w:eastAsia="en-US"/>
    </w:rPr>
  </w:style>
  <w:style w:type="paragraph" w:customStyle="1" w:styleId="Chapter">
    <w:name w:val="Chapter"/>
    <w:basedOn w:val="Normal"/>
    <w:rsid w:val="002E2ACD"/>
    <w:pPr>
      <w:spacing w:before="240"/>
    </w:pPr>
    <w:rPr>
      <w:rFonts w:ascii="Times New Roman" w:hAnsi="Times New Roman"/>
      <w:smallCaps/>
      <w:spacing w:val="80"/>
      <w:sz w:val="28"/>
    </w:rPr>
  </w:style>
  <w:style w:type="paragraph" w:customStyle="1" w:styleId="InChapter">
    <w:name w:val="InChapter"/>
    <w:basedOn w:val="Heading3"/>
    <w:rsid w:val="002E2ACD"/>
    <w:pPr>
      <w:spacing w:after="240"/>
      <w:outlineLvl w:val="9"/>
    </w:pPr>
    <w:rPr>
      <w:noProof/>
    </w:rPr>
  </w:style>
  <w:style w:type="paragraph" w:styleId="Index2">
    <w:name w:val="index 2"/>
    <w:basedOn w:val="Normal"/>
    <w:next w:val="Normal"/>
    <w:semiHidden/>
    <w:rsid w:val="002E2ACD"/>
    <w:pPr>
      <w:tabs>
        <w:tab w:val="right" w:pos="4176"/>
      </w:tabs>
      <w:ind w:left="568" w:hanging="284"/>
    </w:pPr>
    <w:rPr>
      <w:rFonts w:ascii="Garamond" w:hAnsi="Garamond"/>
    </w:rPr>
  </w:style>
  <w:style w:type="paragraph" w:customStyle="1" w:styleId="Byline">
    <w:name w:val="Byline"/>
    <w:rsid w:val="002E2A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2ACD"/>
    <w:pPr>
      <w:tabs>
        <w:tab w:val="clear" w:pos="3600"/>
        <w:tab w:val="clear" w:pos="3958"/>
      </w:tabs>
      <w:jc w:val="right"/>
    </w:pPr>
  </w:style>
  <w:style w:type="character" w:styleId="Emphasis">
    <w:name w:val="Emphasis"/>
    <w:basedOn w:val="DefaultParagraphFont"/>
    <w:qFormat/>
    <w:rsid w:val="002E2ACD"/>
    <w:rPr>
      <w:i/>
    </w:rPr>
  </w:style>
  <w:style w:type="paragraph" w:styleId="Caption">
    <w:name w:val="caption"/>
    <w:basedOn w:val="BodyText"/>
    <w:next w:val="Normal"/>
    <w:qFormat/>
    <w:rsid w:val="002E2ACD"/>
    <w:pPr>
      <w:framePr w:w="2268" w:hSpace="181" w:vSpace="181" w:wrap="around" w:vAnchor="text" w:hAnchor="page" w:x="1135" w:y="285" w:anchorLock="1"/>
    </w:pPr>
    <w:rPr>
      <w:i/>
    </w:rPr>
  </w:style>
  <w:style w:type="paragraph" w:customStyle="1" w:styleId="MiniTOCTitle">
    <w:name w:val="MiniTOCTitle"/>
    <w:basedOn w:val="Heading4"/>
    <w:rsid w:val="002E2ACD"/>
    <w:pPr>
      <w:spacing w:before="240"/>
      <w:outlineLvl w:val="9"/>
    </w:pPr>
    <w:rPr>
      <w:noProof/>
      <w:sz w:val="24"/>
    </w:rPr>
  </w:style>
  <w:style w:type="paragraph" w:customStyle="1" w:styleId="MiniTOCItem">
    <w:name w:val="MiniTOCItem"/>
    <w:basedOn w:val="ListBullet"/>
    <w:rsid w:val="002E2ACD"/>
    <w:pPr>
      <w:numPr>
        <w:numId w:val="0"/>
      </w:numPr>
      <w:tabs>
        <w:tab w:val="right" w:leader="dot" w:pos="6521"/>
      </w:tabs>
      <w:spacing w:before="0" w:after="0"/>
    </w:pPr>
  </w:style>
  <w:style w:type="paragraph" w:customStyle="1" w:styleId="TOFTitle">
    <w:name w:val="TOFTitle"/>
    <w:basedOn w:val="TOCTitle"/>
    <w:rsid w:val="002E2ACD"/>
  </w:style>
  <w:style w:type="paragraph" w:styleId="TableofFigures">
    <w:name w:val="table of figures"/>
    <w:basedOn w:val="Normal"/>
    <w:next w:val="Normal"/>
    <w:semiHidden/>
    <w:rsid w:val="002E2ACD"/>
    <w:pPr>
      <w:tabs>
        <w:tab w:val="right" w:leader="dot" w:pos="9072"/>
      </w:tabs>
      <w:ind w:left="970" w:hanging="403"/>
    </w:pPr>
    <w:rPr>
      <w:rFonts w:ascii="Times New Roman" w:hAnsi="Times New Roman"/>
      <w:b/>
    </w:rPr>
  </w:style>
  <w:style w:type="paragraph" w:styleId="ListNumber">
    <w:name w:val="List Number"/>
    <w:basedOn w:val="List"/>
    <w:rsid w:val="002E2ACD"/>
    <w:pPr>
      <w:numPr>
        <w:numId w:val="14"/>
      </w:numPr>
      <w:tabs>
        <w:tab w:val="clear" w:pos="340"/>
      </w:tabs>
    </w:pPr>
  </w:style>
  <w:style w:type="character" w:customStyle="1" w:styleId="WingdingSymbols">
    <w:name w:val="Wingding Symbols"/>
    <w:rsid w:val="002E2ACD"/>
    <w:rPr>
      <w:rFonts w:ascii="Wingdings" w:hAnsi="Wingdings"/>
    </w:rPr>
  </w:style>
  <w:style w:type="paragraph" w:customStyle="1" w:styleId="TableHeading">
    <w:name w:val="Table Heading"/>
    <w:basedOn w:val="HeadingBase"/>
    <w:rsid w:val="002E2ACD"/>
    <w:pPr>
      <w:keepLines/>
      <w:pBdr>
        <w:bottom w:val="single" w:sz="6" w:space="1" w:color="918585"/>
      </w:pBdr>
      <w:spacing w:before="240"/>
    </w:pPr>
  </w:style>
  <w:style w:type="character" w:customStyle="1" w:styleId="HotSpot">
    <w:name w:val="HotSpot"/>
    <w:rsid w:val="002E2ACD"/>
    <w:rPr>
      <w:color w:val="0033CC"/>
      <w:u w:val="none"/>
    </w:rPr>
  </w:style>
  <w:style w:type="paragraph" w:customStyle="1" w:styleId="BodyTextRight">
    <w:name w:val="Body Text Right"/>
    <w:basedOn w:val="BodyText"/>
    <w:rsid w:val="002E2ACD"/>
    <w:pPr>
      <w:spacing w:before="0" w:after="0"/>
      <w:jc w:val="right"/>
    </w:pPr>
  </w:style>
  <w:style w:type="paragraph" w:styleId="Index3">
    <w:name w:val="index 3"/>
    <w:basedOn w:val="ListNumber2"/>
    <w:next w:val="Normal"/>
    <w:semiHidden/>
    <w:rsid w:val="002E2ACD"/>
    <w:pPr>
      <w:numPr>
        <w:numId w:val="0"/>
      </w:numPr>
      <w:tabs>
        <w:tab w:val="right" w:leader="dot" w:pos="4176"/>
      </w:tabs>
    </w:pPr>
  </w:style>
  <w:style w:type="paragraph" w:styleId="ListNumber2">
    <w:name w:val="List Number 2"/>
    <w:basedOn w:val="List2"/>
    <w:rsid w:val="002E2ACD"/>
    <w:pPr>
      <w:numPr>
        <w:numId w:val="9"/>
      </w:numPr>
      <w:tabs>
        <w:tab w:val="clear" w:pos="1060"/>
      </w:tabs>
    </w:pPr>
  </w:style>
  <w:style w:type="paragraph" w:customStyle="1" w:styleId="MarginNote">
    <w:name w:val="Margin Note"/>
    <w:basedOn w:val="BodyText"/>
    <w:rsid w:val="002E2A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2A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2A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2ACD"/>
    <w:rPr>
      <w:sz w:val="32"/>
    </w:rPr>
  </w:style>
  <w:style w:type="paragraph" w:customStyle="1" w:styleId="HeadingProcedure">
    <w:name w:val="Heading Procedure"/>
    <w:basedOn w:val="HeadingBase"/>
    <w:next w:val="Normal"/>
    <w:rsid w:val="002E2ACD"/>
    <w:pPr>
      <w:tabs>
        <w:tab w:val="left" w:pos="0"/>
      </w:tabs>
      <w:spacing w:before="120" w:after="60"/>
    </w:pPr>
    <w:rPr>
      <w:i/>
      <w:color w:val="918585"/>
      <w:sz w:val="22"/>
    </w:rPr>
  </w:style>
  <w:style w:type="paragraph" w:customStyle="1" w:styleId="TableBodyText">
    <w:name w:val="Table Body Text"/>
    <w:basedOn w:val="BodyText"/>
    <w:rsid w:val="002E2ACD"/>
    <w:pPr>
      <w:spacing w:before="60" w:after="60"/>
    </w:pPr>
  </w:style>
  <w:style w:type="paragraph" w:styleId="ListContinue">
    <w:name w:val="List Continue"/>
    <w:basedOn w:val="List"/>
    <w:rsid w:val="002E2ACD"/>
    <w:pPr>
      <w:ind w:firstLine="0"/>
    </w:pPr>
  </w:style>
  <w:style w:type="paragraph" w:customStyle="1" w:styleId="ListNote">
    <w:name w:val="List Note"/>
    <w:basedOn w:val="List"/>
    <w:rsid w:val="002E2ACD"/>
    <w:pPr>
      <w:pBdr>
        <w:top w:val="single" w:sz="6" w:space="2" w:color="918585"/>
        <w:bottom w:val="single" w:sz="6" w:space="2" w:color="918585"/>
      </w:pBdr>
      <w:tabs>
        <w:tab w:val="left" w:pos="1021"/>
      </w:tabs>
      <w:ind w:firstLine="0"/>
    </w:pPr>
  </w:style>
  <w:style w:type="paragraph" w:customStyle="1" w:styleId="Warning">
    <w:name w:val="Warning"/>
    <w:basedOn w:val="BodyText"/>
    <w:rsid w:val="002E2ACD"/>
    <w:pPr>
      <w:shd w:val="clear" w:color="auto" w:fill="D9D9D9"/>
      <w:tabs>
        <w:tab w:val="left" w:pos="992"/>
      </w:tabs>
      <w:ind w:left="119" w:right="119"/>
    </w:pPr>
    <w:rPr>
      <w:sz w:val="20"/>
    </w:rPr>
  </w:style>
  <w:style w:type="paragraph" w:customStyle="1" w:styleId="MarginIcons">
    <w:name w:val="Margin Icons"/>
    <w:basedOn w:val="BodyText"/>
    <w:rsid w:val="002E2A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2ACD"/>
    <w:rPr>
      <w:rFonts w:ascii="Courier New" w:hAnsi="Courier New"/>
    </w:rPr>
  </w:style>
  <w:style w:type="paragraph" w:customStyle="1" w:styleId="NoteBullet">
    <w:name w:val="Note Bullet"/>
    <w:basedOn w:val="Note"/>
    <w:rsid w:val="002E2ACD"/>
    <w:pPr>
      <w:tabs>
        <w:tab w:val="clear" w:pos="680"/>
      </w:tabs>
      <w:spacing w:before="60" w:after="60"/>
    </w:pPr>
  </w:style>
  <w:style w:type="paragraph" w:customStyle="1" w:styleId="SubHeading2">
    <w:name w:val="SubHeading2"/>
    <w:basedOn w:val="HeadingBase"/>
    <w:rsid w:val="002E2ACD"/>
    <w:pPr>
      <w:spacing w:before="240" w:after="60"/>
    </w:pPr>
    <w:rPr>
      <w:sz w:val="20"/>
    </w:rPr>
  </w:style>
  <w:style w:type="paragraph" w:customStyle="1" w:styleId="SubHeading1">
    <w:name w:val="SubHeading1"/>
    <w:basedOn w:val="HeadingBase"/>
    <w:rsid w:val="002E2ACD"/>
    <w:pPr>
      <w:spacing w:before="240" w:after="60"/>
    </w:pPr>
    <w:rPr>
      <w:color w:val="918585"/>
      <w:sz w:val="22"/>
    </w:rPr>
  </w:style>
  <w:style w:type="paragraph" w:customStyle="1" w:styleId="SideHeading">
    <w:name w:val="Side Heading"/>
    <w:basedOn w:val="HeadingBase"/>
    <w:rsid w:val="002E2A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2ACD"/>
    <w:pPr>
      <w:numPr>
        <w:numId w:val="10"/>
      </w:numPr>
    </w:pPr>
  </w:style>
  <w:style w:type="paragraph" w:styleId="PlainText">
    <w:name w:val="Plain Text"/>
    <w:basedOn w:val="Normal"/>
    <w:link w:val="PlainTextChar"/>
    <w:rsid w:val="002E2ACD"/>
    <w:rPr>
      <w:sz w:val="20"/>
    </w:rPr>
  </w:style>
  <w:style w:type="character" w:customStyle="1" w:styleId="PlainTextChar">
    <w:name w:val="Plain Text Char"/>
    <w:basedOn w:val="DefaultParagraphFont"/>
    <w:link w:val="PlainText"/>
    <w:rsid w:val="002E2ACD"/>
    <w:rPr>
      <w:rFonts w:ascii="Courier New" w:eastAsia="Times New Roman" w:hAnsi="Courier New" w:cs="Times New Roman"/>
      <w:sz w:val="20"/>
      <w:szCs w:val="20"/>
      <w:lang w:eastAsia="en-US"/>
    </w:rPr>
  </w:style>
  <w:style w:type="character" w:customStyle="1" w:styleId="MenuOption">
    <w:name w:val="Menu Option"/>
    <w:basedOn w:val="DefaultParagraphFont"/>
    <w:rsid w:val="002E2ACD"/>
    <w:rPr>
      <w:b/>
      <w:smallCaps/>
    </w:rPr>
  </w:style>
  <w:style w:type="paragraph" w:customStyle="1" w:styleId="TableListNumber">
    <w:name w:val="Table List Number"/>
    <w:basedOn w:val="ListNumber"/>
    <w:rsid w:val="002E2ACD"/>
    <w:pPr>
      <w:numPr>
        <w:numId w:val="0"/>
      </w:numPr>
    </w:pPr>
  </w:style>
  <w:style w:type="paragraph" w:styleId="TOC4">
    <w:name w:val="toc 4"/>
    <w:basedOn w:val="TOCBase"/>
    <w:next w:val="Normal"/>
    <w:semiHidden/>
    <w:rsid w:val="002E2ACD"/>
    <w:pPr>
      <w:tabs>
        <w:tab w:val="right" w:leader="dot" w:pos="9071"/>
      </w:tabs>
      <w:ind w:left="1701"/>
    </w:pPr>
  </w:style>
  <w:style w:type="paragraph" w:customStyle="1" w:styleId="ListAlpha">
    <w:name w:val="List Alpha"/>
    <w:basedOn w:val="List"/>
    <w:rsid w:val="002E2ACD"/>
    <w:pPr>
      <w:numPr>
        <w:numId w:val="8"/>
      </w:numPr>
    </w:pPr>
  </w:style>
  <w:style w:type="paragraph" w:customStyle="1" w:styleId="ListAlpha2">
    <w:name w:val="List Alpha 2"/>
    <w:basedOn w:val="List2"/>
    <w:rsid w:val="002E2ACD"/>
    <w:pPr>
      <w:numPr>
        <w:numId w:val="7"/>
      </w:numPr>
    </w:pPr>
  </w:style>
  <w:style w:type="paragraph" w:styleId="List2">
    <w:name w:val="List 2"/>
    <w:basedOn w:val="BodyText"/>
    <w:rsid w:val="002E2ACD"/>
    <w:pPr>
      <w:tabs>
        <w:tab w:val="left" w:pos="680"/>
      </w:tabs>
      <w:spacing w:before="60" w:after="60"/>
      <w:ind w:left="680" w:hanging="340"/>
    </w:pPr>
  </w:style>
  <w:style w:type="paragraph" w:styleId="List3">
    <w:name w:val="List 3"/>
    <w:basedOn w:val="BodyText"/>
    <w:rsid w:val="002E2ACD"/>
    <w:pPr>
      <w:tabs>
        <w:tab w:val="left" w:pos="1021"/>
      </w:tabs>
      <w:spacing w:before="60" w:after="60"/>
      <w:ind w:left="1020" w:hanging="340"/>
    </w:pPr>
  </w:style>
  <w:style w:type="paragraph" w:styleId="List4">
    <w:name w:val="List 4"/>
    <w:basedOn w:val="BodyText"/>
    <w:rsid w:val="002E2ACD"/>
    <w:pPr>
      <w:tabs>
        <w:tab w:val="left" w:pos="1361"/>
      </w:tabs>
      <w:spacing w:before="60" w:after="60"/>
      <w:ind w:left="1361" w:hanging="340"/>
    </w:pPr>
  </w:style>
  <w:style w:type="paragraph" w:styleId="List5">
    <w:name w:val="List 5"/>
    <w:basedOn w:val="BodyText"/>
    <w:rsid w:val="002E2ACD"/>
    <w:pPr>
      <w:tabs>
        <w:tab w:val="left" w:pos="1701"/>
      </w:tabs>
      <w:spacing w:before="60" w:after="60"/>
      <w:ind w:left="1701" w:hanging="340"/>
    </w:pPr>
  </w:style>
  <w:style w:type="paragraph" w:styleId="ListBullet3">
    <w:name w:val="List Bullet 3"/>
    <w:basedOn w:val="List3"/>
    <w:rsid w:val="002E2ACD"/>
    <w:pPr>
      <w:numPr>
        <w:numId w:val="13"/>
      </w:numPr>
      <w:tabs>
        <w:tab w:val="clear" w:pos="1021"/>
      </w:tabs>
      <w:ind w:left="1037" w:hanging="357"/>
    </w:pPr>
  </w:style>
  <w:style w:type="paragraph" w:styleId="ListBullet4">
    <w:name w:val="List Bullet 4"/>
    <w:basedOn w:val="List4"/>
    <w:rsid w:val="002E2ACD"/>
    <w:pPr>
      <w:numPr>
        <w:numId w:val="2"/>
      </w:numPr>
      <w:tabs>
        <w:tab w:val="clear" w:pos="1361"/>
      </w:tabs>
    </w:pPr>
  </w:style>
  <w:style w:type="paragraph" w:styleId="ListBullet5">
    <w:name w:val="List Bullet 5"/>
    <w:basedOn w:val="List5"/>
    <w:rsid w:val="002E2ACD"/>
    <w:pPr>
      <w:numPr>
        <w:numId w:val="3"/>
      </w:numPr>
    </w:pPr>
  </w:style>
  <w:style w:type="paragraph" w:styleId="ListContinue2">
    <w:name w:val="List Continue 2"/>
    <w:basedOn w:val="List2"/>
    <w:rsid w:val="002E2ACD"/>
    <w:pPr>
      <w:ind w:firstLine="0"/>
    </w:pPr>
  </w:style>
  <w:style w:type="paragraph" w:styleId="ListContinue3">
    <w:name w:val="List Continue 3"/>
    <w:basedOn w:val="List3"/>
    <w:rsid w:val="002E2ACD"/>
    <w:pPr>
      <w:ind w:left="1021" w:firstLine="0"/>
    </w:pPr>
  </w:style>
  <w:style w:type="paragraph" w:styleId="ListContinue4">
    <w:name w:val="List Continue 4"/>
    <w:basedOn w:val="List4"/>
    <w:rsid w:val="002E2ACD"/>
    <w:pPr>
      <w:ind w:firstLine="0"/>
    </w:pPr>
  </w:style>
  <w:style w:type="paragraph" w:styleId="ListContinue5">
    <w:name w:val="List Continue 5"/>
    <w:basedOn w:val="List5"/>
    <w:rsid w:val="002E2ACD"/>
    <w:pPr>
      <w:ind w:firstLine="0"/>
    </w:pPr>
  </w:style>
  <w:style w:type="paragraph" w:styleId="ListNumber3">
    <w:name w:val="List Number 3"/>
    <w:basedOn w:val="List3"/>
    <w:rsid w:val="002E2ACD"/>
    <w:pPr>
      <w:numPr>
        <w:numId w:val="4"/>
      </w:numPr>
    </w:pPr>
  </w:style>
  <w:style w:type="paragraph" w:styleId="ListNumber4">
    <w:name w:val="List Number 4"/>
    <w:basedOn w:val="List4"/>
    <w:rsid w:val="002E2ACD"/>
    <w:pPr>
      <w:numPr>
        <w:numId w:val="5"/>
      </w:numPr>
    </w:pPr>
  </w:style>
  <w:style w:type="paragraph" w:styleId="ListNumber5">
    <w:name w:val="List Number 5"/>
    <w:basedOn w:val="List5"/>
    <w:rsid w:val="002E2ACD"/>
    <w:pPr>
      <w:numPr>
        <w:numId w:val="6"/>
      </w:numPr>
    </w:pPr>
  </w:style>
  <w:style w:type="paragraph" w:styleId="BlockText">
    <w:name w:val="Block Text"/>
    <w:basedOn w:val="Normal"/>
    <w:rsid w:val="002E2ACD"/>
    <w:pPr>
      <w:spacing w:after="120"/>
      <w:ind w:left="1440" w:right="1440"/>
    </w:pPr>
  </w:style>
  <w:style w:type="character" w:customStyle="1" w:styleId="Subscript">
    <w:name w:val="Subscript"/>
    <w:basedOn w:val="DefaultParagraphFont"/>
    <w:rsid w:val="002E2ACD"/>
    <w:rPr>
      <w:sz w:val="16"/>
      <w:vertAlign w:val="subscript"/>
    </w:rPr>
  </w:style>
  <w:style w:type="character" w:customStyle="1" w:styleId="Superscript">
    <w:name w:val="Superscript"/>
    <w:basedOn w:val="DefaultParagraphFont"/>
    <w:rsid w:val="002E2ACD"/>
    <w:rPr>
      <w:sz w:val="16"/>
      <w:vertAlign w:val="superscript"/>
    </w:rPr>
  </w:style>
  <w:style w:type="character" w:customStyle="1" w:styleId="Symbols">
    <w:name w:val="Symbols"/>
    <w:basedOn w:val="DefaultParagraphFont"/>
    <w:rsid w:val="002E2ACD"/>
    <w:rPr>
      <w:rFonts w:ascii="Symbol" w:hAnsi="Symbol"/>
    </w:rPr>
  </w:style>
  <w:style w:type="character" w:customStyle="1" w:styleId="MenuOptions">
    <w:name w:val="Menu Options"/>
    <w:basedOn w:val="DefaultParagraphFont"/>
    <w:rsid w:val="002E2ACD"/>
    <w:rPr>
      <w:rFonts w:ascii="Arial Narrow" w:hAnsi="Arial Narrow"/>
      <w:smallCaps/>
    </w:rPr>
  </w:style>
  <w:style w:type="character" w:customStyle="1" w:styleId="Buttons">
    <w:name w:val="Buttons"/>
    <w:basedOn w:val="DefaultParagraphFont"/>
    <w:rsid w:val="002E2ACD"/>
    <w:rPr>
      <w:b/>
    </w:rPr>
  </w:style>
  <w:style w:type="character" w:customStyle="1" w:styleId="Underlined">
    <w:name w:val="Underlined"/>
    <w:basedOn w:val="DefaultParagraphFont"/>
    <w:rsid w:val="002E2ACD"/>
    <w:rPr>
      <w:u w:val="single"/>
    </w:rPr>
  </w:style>
  <w:style w:type="paragraph" w:customStyle="1" w:styleId="TableBodyTextRight">
    <w:name w:val="Table Body Text Right"/>
    <w:basedOn w:val="TableBodyText"/>
    <w:rsid w:val="002E2ACD"/>
    <w:pPr>
      <w:widowControl w:val="0"/>
      <w:autoSpaceDE w:val="0"/>
      <w:autoSpaceDN w:val="0"/>
      <w:adjustRightInd w:val="0"/>
      <w:jc w:val="right"/>
    </w:pPr>
    <w:rPr>
      <w:rFonts w:cs="Arial"/>
      <w:szCs w:val="18"/>
    </w:rPr>
  </w:style>
  <w:style w:type="paragraph" w:customStyle="1" w:styleId="CopyrightText">
    <w:name w:val="Copyright Text"/>
    <w:basedOn w:val="BodyText"/>
    <w:rsid w:val="002E2ACD"/>
    <w:rPr>
      <w:sz w:val="18"/>
    </w:rPr>
  </w:style>
  <w:style w:type="paragraph" w:customStyle="1" w:styleId="BodySmallRight">
    <w:name w:val="Body Small Right"/>
    <w:basedOn w:val="BodyTextRight"/>
    <w:rsid w:val="002E2ACD"/>
    <w:rPr>
      <w:sz w:val="18"/>
      <w:szCs w:val="18"/>
    </w:rPr>
  </w:style>
  <w:style w:type="paragraph" w:customStyle="1" w:styleId="MarginEdition">
    <w:name w:val="Margin Edition"/>
    <w:basedOn w:val="MarginNote"/>
    <w:rsid w:val="002E2ACD"/>
    <w:pPr>
      <w:spacing w:before="0" w:after="0"/>
    </w:pPr>
    <w:rPr>
      <w:rFonts w:ascii="Times New Roman" w:hAnsi="Times New Roman"/>
      <w:color w:val="999999"/>
    </w:rPr>
  </w:style>
  <w:style w:type="paragraph" w:customStyle="1" w:styleId="Spacer">
    <w:name w:val="Spacer"/>
    <w:basedOn w:val="Normal"/>
    <w:rsid w:val="002E2ACD"/>
    <w:rPr>
      <w:sz w:val="2"/>
      <w:szCs w:val="2"/>
    </w:rPr>
  </w:style>
  <w:style w:type="character" w:customStyle="1" w:styleId="Small">
    <w:name w:val="Small"/>
    <w:basedOn w:val="DefaultParagraphFont"/>
    <w:rsid w:val="002E2ACD"/>
    <w:rPr>
      <w:sz w:val="16"/>
    </w:rPr>
  </w:style>
  <w:style w:type="paragraph" w:customStyle="1" w:styleId="WideTable">
    <w:name w:val="Wide Table"/>
    <w:basedOn w:val="Normal"/>
    <w:rsid w:val="002E2ACD"/>
    <w:pPr>
      <w:ind w:left="-1418"/>
    </w:pPr>
    <w:rPr>
      <w:sz w:val="2"/>
      <w:szCs w:val="2"/>
    </w:rPr>
  </w:style>
  <w:style w:type="character" w:styleId="PageNumber">
    <w:name w:val="page number"/>
    <w:basedOn w:val="DefaultParagraphFont"/>
    <w:rsid w:val="002E2ACD"/>
  </w:style>
  <w:style w:type="paragraph" w:styleId="Quote">
    <w:name w:val="Quote"/>
    <w:basedOn w:val="Heading1"/>
    <w:link w:val="QuoteChar"/>
    <w:qFormat/>
    <w:rsid w:val="002E2ACD"/>
    <w:rPr>
      <w:b w:val="0"/>
      <w:sz w:val="72"/>
      <w:szCs w:val="72"/>
      <w:lang w:val="en-NZ"/>
    </w:rPr>
  </w:style>
  <w:style w:type="character" w:customStyle="1" w:styleId="QuoteChar">
    <w:name w:val="Quote Char"/>
    <w:basedOn w:val="DefaultParagraphFont"/>
    <w:link w:val="Quote"/>
    <w:rsid w:val="002E2A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2ACD"/>
    <w:pPr>
      <w:pageBreakBefore/>
    </w:pPr>
  </w:style>
  <w:style w:type="paragraph" w:customStyle="1" w:styleId="Border">
    <w:name w:val="Border"/>
    <w:basedOn w:val="Normal"/>
    <w:qFormat/>
    <w:rsid w:val="002E2A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2ACD"/>
    <w:rPr>
      <w:b/>
      <w:bCs/>
      <w:i/>
      <w:iCs/>
      <w:color w:val="auto"/>
    </w:rPr>
  </w:style>
  <w:style w:type="paragraph" w:styleId="IntenseQuote">
    <w:name w:val="Intense Quote"/>
    <w:basedOn w:val="Normal"/>
    <w:next w:val="Normal"/>
    <w:link w:val="IntenseQuoteChar"/>
    <w:uiPriority w:val="30"/>
    <w:qFormat/>
    <w:rsid w:val="002E2A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2A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2ACD"/>
    <w:rPr>
      <w:smallCaps/>
      <w:color w:val="auto"/>
      <w:u w:val="single"/>
    </w:rPr>
  </w:style>
  <w:style w:type="character" w:styleId="IntenseReference">
    <w:name w:val="Intense Reference"/>
    <w:basedOn w:val="DefaultParagraphFont"/>
    <w:uiPriority w:val="32"/>
    <w:qFormat/>
    <w:rsid w:val="002E2ACD"/>
    <w:rPr>
      <w:b/>
      <w:bCs/>
      <w:smallCaps/>
      <w:color w:val="auto"/>
      <w:spacing w:val="5"/>
      <w:u w:val="single"/>
    </w:rPr>
  </w:style>
  <w:style w:type="paragraph" w:customStyle="1" w:styleId="2ColumnHeading">
    <w:name w:val="2Column Heading"/>
    <w:basedOn w:val="BodyText"/>
    <w:qFormat/>
    <w:rsid w:val="002E2ACD"/>
    <w:pPr>
      <w:spacing w:after="60"/>
      <w:ind w:left="-2268"/>
    </w:pPr>
    <w:rPr>
      <w:b/>
    </w:rPr>
  </w:style>
  <w:style w:type="paragraph" w:customStyle="1" w:styleId="Heading1TOC">
    <w:name w:val="Heading1 TOC"/>
    <w:basedOn w:val="Normal"/>
    <w:qFormat/>
    <w:rsid w:val="002E2ACD"/>
    <w:pPr>
      <w:spacing w:before="240" w:after="120"/>
    </w:pPr>
    <w:rPr>
      <w:rFonts w:ascii="Times New Roman" w:hAnsi="Times New Roman"/>
      <w:b/>
      <w:sz w:val="32"/>
    </w:rPr>
  </w:style>
  <w:style w:type="paragraph" w:customStyle="1" w:styleId="Heading2TOC">
    <w:name w:val="Heading2 TOC"/>
    <w:basedOn w:val="Normal"/>
    <w:qFormat/>
    <w:rsid w:val="002E2ACD"/>
    <w:pPr>
      <w:spacing w:before="240" w:after="60"/>
    </w:pPr>
    <w:rPr>
      <w:rFonts w:ascii="Times New Roman" w:hAnsi="Times New Roman"/>
      <w:b/>
      <w:sz w:val="28"/>
    </w:rPr>
  </w:style>
  <w:style w:type="character" w:customStyle="1" w:styleId="Underline">
    <w:name w:val="Underline"/>
    <w:basedOn w:val="DefaultParagraphFont"/>
    <w:qFormat/>
    <w:rsid w:val="002E2ACD"/>
    <w:rPr>
      <w:u w:val="single"/>
    </w:rPr>
  </w:style>
  <w:style w:type="paragraph" w:styleId="BalloonText">
    <w:name w:val="Balloon Text"/>
    <w:basedOn w:val="Normal"/>
    <w:link w:val="BalloonTextChar"/>
    <w:rsid w:val="002E2ACD"/>
    <w:rPr>
      <w:rFonts w:ascii="Tahoma" w:hAnsi="Tahoma" w:cs="Tahoma"/>
      <w:sz w:val="16"/>
      <w:szCs w:val="16"/>
    </w:rPr>
  </w:style>
  <w:style w:type="character" w:customStyle="1" w:styleId="BalloonTextChar">
    <w:name w:val="Balloon Text Char"/>
    <w:basedOn w:val="DefaultParagraphFont"/>
    <w:link w:val="BalloonText"/>
    <w:rsid w:val="002E2A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2A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2A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2ACD"/>
    <w:rPr>
      <w:b/>
      <w:color w:val="660033"/>
      <w:spacing w:val="0"/>
    </w:rPr>
  </w:style>
  <w:style w:type="paragraph" w:customStyle="1" w:styleId="Nameditemlist">
    <w:name w:val="Named item list"/>
    <w:basedOn w:val="BodyText"/>
    <w:qFormat/>
    <w:rsid w:val="002E2ACD"/>
    <w:pPr>
      <w:tabs>
        <w:tab w:val="left" w:pos="2835"/>
      </w:tabs>
      <w:ind w:left="2835" w:hanging="2835"/>
    </w:pPr>
  </w:style>
  <w:style w:type="paragraph" w:customStyle="1" w:styleId="BodyTextnopadding">
    <w:name w:val="Body Text no padding"/>
    <w:basedOn w:val="BodyText"/>
    <w:qFormat/>
    <w:rsid w:val="002E2ACD"/>
    <w:pPr>
      <w:spacing w:before="0" w:after="0"/>
    </w:pPr>
  </w:style>
  <w:style w:type="paragraph" w:customStyle="1" w:styleId="BodyTextBold">
    <w:name w:val="Body Text Bold"/>
    <w:basedOn w:val="BodyText"/>
    <w:qFormat/>
    <w:rsid w:val="002E2ACD"/>
    <w:rPr>
      <w:b/>
    </w:rPr>
  </w:style>
  <w:style w:type="character" w:styleId="Hyperlink">
    <w:name w:val="Hyperlink"/>
    <w:basedOn w:val="DefaultParagraphFont"/>
    <w:uiPriority w:val="99"/>
    <w:unhideWhenUsed/>
    <w:rsid w:val="00FE55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952</Words>
  <Characters>5859</Characters>
  <Application>Microsoft Office Word</Application>
  <DocSecurity>0</DocSecurity>
  <Lines>266</Lines>
  <Paragraphs>133</Paragraphs>
  <ScaleCrop>false</ScaleCrop>
  <Company>Author-it Software Corporation Ltd.</Company>
  <LinksUpToDate>false</LinksUpToDate>
  <CharactersWithSpaces>6678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CPPSIS5051 Apply land and planning law to surveying</dc:title>
  <dc:subject>Approved</dc:subject>
  <dc:creator>Artibus Innovation</dc:creator>
  <cp:keywords>Release: 1</cp:keywords>
  <dc:description>Review Date: 12 April 2008</dc:description>
  <cp:lastModifiedBy>HSD_TPCMSd.prod</cp:lastModifiedBy>
  <cp:revision>3</cp:revision>
  <dcterms:created xsi:type="dcterms:W3CDTF">2021-01-07T13:25:00Z</dcterms:created>
  <dcterms:modified xsi:type="dcterms:W3CDTF">2021-01-07T13:25:00Z</dcterms:modified>
</cp:coreProperties>
</file>