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8A9" w:rsidP="002B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CPPSIS4038 Prepare and present GIS data</w:t>
      </w:r>
      <w:r>
        <w:fldChar w:fldCharType="end"/>
      </w:r>
    </w:p>
    <w:p w:rsidR="002B68A9" w:rsidP="002B68A9">
      <w:pPr>
        <w:pStyle w:val="Version"/>
        <w:sectPr w:rsidSect="00A25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55E" w:rsidP="00A2555E">
      <w:pPr>
        <w:pStyle w:val="SuperHeading"/>
      </w:pPr>
      <w:r w:rsidRPr="00A2555E">
        <w:t>Assessment Requirements for CPPSIS4038 Prepare and present GIS data</w:t>
      </w:r>
    </w:p>
    <w:p w:rsidR="00000000" w:rsidRPr="00A2555E" w:rsidP="00A2555E">
      <w:pPr>
        <w:pStyle w:val="Heading1"/>
      </w:pPr>
      <w:bookmarkStart w:id="1" w:name="O_837079"/>
      <w:bookmarkEnd w:id="1"/>
      <w:r w:rsidRPr="00A2555E">
        <w:t>Modification History</w:t>
      </w:r>
    </w:p>
    <w:p w:rsidR="00000000" w:rsidRPr="00A2555E" w:rsidP="002B68A9">
      <w:pPr>
        <w:pStyle w:val="BodyText"/>
      </w:pPr>
      <w:r w:rsidRPr="00A2555E">
        <w:t>Release 1.</w:t>
      </w:r>
    </w:p>
    <w:p w:rsidR="00000000" w:rsidRPr="00A2555E" w:rsidP="002B68A9">
      <w:pPr>
        <w:pStyle w:val="BodyText"/>
      </w:pPr>
      <w:r w:rsidRPr="00A2555E">
        <w:t>Replaces superseded equivalent CPPSIS4038A Prepare and present GIS data.</w:t>
      </w:r>
    </w:p>
    <w:p w:rsidR="00000000" w:rsidRPr="00A2555E" w:rsidP="002B68A9">
      <w:pPr>
        <w:pStyle w:val="BodyText"/>
      </w:pPr>
      <w:r w:rsidRPr="00A2555E">
        <w:t>This version first released with CPP Property Services Training Package Version 3.</w:t>
      </w:r>
    </w:p>
    <w:p w:rsidR="00000000" w:rsidRPr="00A2555E" w:rsidP="00A2555E">
      <w:pPr>
        <w:pStyle w:val="Heading1"/>
      </w:pPr>
      <w:bookmarkStart w:id="2" w:name="O_837082"/>
      <w:bookmarkEnd w:id="2"/>
      <w:r w:rsidRPr="00A2555E">
        <w:t>Performance Evidence</w:t>
      </w:r>
    </w:p>
    <w:p w:rsidR="00000000" w:rsidRPr="00A2555E" w:rsidP="002B68A9">
      <w:pPr>
        <w:pStyle w:val="BodyText"/>
      </w:pPr>
      <w:r w:rsidRPr="00A2555E">
        <w:t>A person demonstrating competency in this unit must satisfy the requirements of the elements, performance criteria, foundation skills a</w:t>
      </w:r>
      <w:r w:rsidRPr="00A2555E">
        <w:t xml:space="preserve">nd range of conditions of this unit. The person must also prepare and present geographic information system (GIS) data for two different projects that use different mediums. </w:t>
      </w:r>
    </w:p>
    <w:p w:rsidR="00000000" w:rsidRPr="00A2555E" w:rsidP="002B68A9">
      <w:pPr>
        <w:pStyle w:val="BodyText"/>
      </w:pPr>
      <w:r w:rsidRPr="00A2555E">
        <w:t xml:space="preserve">While preparing and presenting the above GIS data, the person must: </w:t>
      </w:r>
    </w:p>
    <w:p w:rsidR="00000000" w:rsidRPr="00A2555E" w:rsidP="00A2555E">
      <w:pPr>
        <w:pStyle w:val="ListBullet"/>
      </w:pPr>
      <w:r w:rsidRPr="00A2555E">
        <w:t>communicat</w:t>
      </w:r>
      <w:r w:rsidRPr="00A2555E">
        <w:t>e clearly with others to negotiate client requirements, clarify work tasks, and seek feedback to improve display</w:t>
      </w:r>
    </w:p>
    <w:p w:rsidR="00000000" w:rsidRPr="00A2555E" w:rsidP="00A2555E">
      <w:pPr>
        <w:pStyle w:val="ListBullet"/>
      </w:pPr>
      <w:r w:rsidRPr="00A2555E">
        <w:t>access GIS data from a range of sources</w:t>
      </w:r>
    </w:p>
    <w:p w:rsidR="00000000" w:rsidRPr="00A2555E" w:rsidP="00A2555E">
      <w:pPr>
        <w:pStyle w:val="ListBullet"/>
      </w:pPr>
      <w:r w:rsidRPr="00A2555E">
        <w:t>apply data formats and media that ensure compatibility of data and comply with display specifications</w:t>
      </w:r>
    </w:p>
    <w:p w:rsidR="00000000" w:rsidRPr="00A2555E" w:rsidP="00A2555E">
      <w:pPr>
        <w:pStyle w:val="ListBullet"/>
      </w:pPr>
      <w:r w:rsidRPr="00A2555E">
        <w:t>c</w:t>
      </w:r>
      <w:r w:rsidRPr="00A2555E">
        <w:t>omply with administrative and legal requirements for accessing spatial data, including data privacy and information copyright</w:t>
      </w:r>
    </w:p>
    <w:p w:rsidR="00000000" w:rsidRPr="00A2555E" w:rsidP="00A2555E">
      <w:pPr>
        <w:pStyle w:val="ListBullet"/>
      </w:pPr>
      <w:r w:rsidRPr="00A2555E">
        <w:t>comply with organisational requirements and manufacturer specifications when setting up and using the equipment specified in the a</w:t>
      </w:r>
      <w:r w:rsidRPr="00A2555E">
        <w:t>ssessment conditions</w:t>
      </w:r>
    </w:p>
    <w:p w:rsidR="00000000" w:rsidRPr="00A2555E" w:rsidP="00A2555E">
      <w:pPr>
        <w:pStyle w:val="ListBullet"/>
      </w:pPr>
      <w:r w:rsidRPr="00A2555E">
        <w:t>comply with organisational requirements for:</w:t>
      </w:r>
    </w:p>
    <w:p w:rsidR="00000000" w:rsidRPr="00A2555E" w:rsidP="00A2555E">
      <w:pPr>
        <w:pStyle w:val="ListBullet2"/>
      </w:pPr>
      <w:r w:rsidRPr="00A2555E">
        <w:t>health and safety when using screen-based equipment</w:t>
      </w:r>
    </w:p>
    <w:p w:rsidR="00000000" w:rsidRPr="00A2555E" w:rsidP="00A2555E">
      <w:pPr>
        <w:pStyle w:val="ListBullet2"/>
      </w:pPr>
      <w:r w:rsidRPr="00A2555E">
        <w:t>recording data and completing documentation</w:t>
      </w:r>
    </w:p>
    <w:p w:rsidR="00000000" w:rsidRPr="00A2555E" w:rsidP="00A2555E">
      <w:pPr>
        <w:pStyle w:val="ListBullet"/>
      </w:pPr>
      <w:r w:rsidRPr="00A2555E">
        <w:t>present GIS data that complies with quality requirements relating to:</w:t>
      </w:r>
    </w:p>
    <w:p w:rsidR="00000000" w:rsidRPr="00A2555E" w:rsidP="00A2555E">
      <w:pPr>
        <w:pStyle w:val="ListBullet2"/>
      </w:pPr>
      <w:r w:rsidRPr="00A2555E">
        <w:t>accuracy</w:t>
      </w:r>
    </w:p>
    <w:p w:rsidR="00000000" w:rsidRPr="00A2555E" w:rsidP="00A2555E">
      <w:pPr>
        <w:pStyle w:val="ListBullet2"/>
      </w:pPr>
      <w:r w:rsidRPr="00A2555E">
        <w:t>detail</w:t>
      </w:r>
    </w:p>
    <w:p w:rsidR="00000000" w:rsidRPr="00A2555E" w:rsidP="00A2555E">
      <w:pPr>
        <w:pStyle w:val="ListBullet2"/>
      </w:pPr>
      <w:r w:rsidRPr="00A2555E">
        <w:t>format</w:t>
      </w:r>
    </w:p>
    <w:p w:rsidR="00000000" w:rsidRPr="00A2555E" w:rsidP="00A2555E">
      <w:pPr>
        <w:pStyle w:val="ListBullet2"/>
      </w:pPr>
      <w:r w:rsidRPr="00A2555E">
        <w:t>information</w:t>
      </w:r>
    </w:p>
    <w:p w:rsidR="00000000" w:rsidRPr="00A2555E" w:rsidP="00A2555E">
      <w:pPr>
        <w:pStyle w:val="ListBullet2"/>
      </w:pPr>
      <w:r w:rsidRPr="00A2555E">
        <w:t>meeting client requirements</w:t>
      </w:r>
    </w:p>
    <w:p w:rsidR="00000000" w:rsidRPr="00A2555E" w:rsidP="00A2555E">
      <w:pPr>
        <w:pStyle w:val="ListBullet2"/>
      </w:pPr>
      <w:r w:rsidRPr="00A2555E">
        <w:t>timeframe.</w:t>
      </w:r>
    </w:p>
    <w:p w:rsidR="00000000" w:rsidRPr="00A2555E" w:rsidP="00A2555E">
      <w:pPr>
        <w:pStyle w:val="AllowPageBreak"/>
      </w:pPr>
    </w:p>
    <w:p w:rsidR="00000000" w:rsidRPr="00A2555E" w:rsidP="00A2555E">
      <w:pPr>
        <w:pStyle w:val="Heading1"/>
      </w:pPr>
      <w:bookmarkStart w:id="3" w:name="O_837081"/>
      <w:bookmarkEnd w:id="3"/>
      <w:r w:rsidRPr="00A2555E">
        <w:t>Knowledge Evidence</w:t>
      </w:r>
    </w:p>
    <w:p w:rsidR="00000000" w:rsidRPr="00A2555E" w:rsidP="002B68A9">
      <w:pPr>
        <w:pStyle w:val="BodyText"/>
      </w:pPr>
      <w:r w:rsidRPr="00A2555E">
        <w:t>A person demonstrating competency in this unit must demonstrate knowledge of:</w:t>
      </w:r>
    </w:p>
    <w:p w:rsidR="00000000" w:rsidRPr="00A2555E" w:rsidP="00A2555E">
      <w:pPr>
        <w:pStyle w:val="ListBullet"/>
      </w:pPr>
      <w:r w:rsidRPr="00A2555E">
        <w:t>administrative and legal requirements for accessing and presenting digital and hard</w:t>
      </w:r>
      <w:r w:rsidRPr="00A2555E">
        <w:t xml:space="preserve"> copy GIS data, including data privacy and information copyright</w:t>
      </w:r>
    </w:p>
    <w:p w:rsidR="00000000" w:rsidRPr="00A2555E" w:rsidP="00A2555E">
      <w:pPr>
        <w:pStyle w:val="ListBullet"/>
      </w:pPr>
      <w:r w:rsidRPr="00A2555E">
        <w:t>basic purpose and use of metadata, including:</w:t>
      </w:r>
    </w:p>
    <w:p w:rsidR="00000000" w:rsidRPr="00A2555E" w:rsidP="00A2555E">
      <w:pPr>
        <w:pStyle w:val="ListBullet2"/>
      </w:pPr>
      <w:r w:rsidRPr="00A2555E">
        <w:t>availability</w:t>
      </w:r>
    </w:p>
    <w:p w:rsidR="00000000" w:rsidRPr="00A2555E" w:rsidP="00A2555E">
      <w:pPr>
        <w:pStyle w:val="ListBullet2"/>
      </w:pPr>
      <w:r w:rsidRPr="00A2555E">
        <w:t>conditions of use</w:t>
      </w:r>
    </w:p>
    <w:p w:rsidR="00000000" w:rsidRPr="00A2555E" w:rsidP="00A2555E">
      <w:pPr>
        <w:pStyle w:val="ListBullet2"/>
      </w:pPr>
      <w:r w:rsidRPr="00A2555E">
        <w:t>coordinate system</w:t>
      </w:r>
    </w:p>
    <w:p w:rsidR="00000000" w:rsidRPr="00A2555E" w:rsidP="00A2555E">
      <w:pPr>
        <w:pStyle w:val="ListBullet2"/>
      </w:pPr>
      <w:r w:rsidRPr="00A2555E">
        <w:t>currency</w:t>
      </w:r>
    </w:p>
    <w:p w:rsidR="00000000" w:rsidRPr="00A2555E" w:rsidP="00A2555E">
      <w:pPr>
        <w:pStyle w:val="ListBullet2"/>
      </w:pPr>
      <w:r w:rsidRPr="00A2555E">
        <w:t>custodian</w:t>
      </w:r>
    </w:p>
    <w:p w:rsidR="00000000" w:rsidRPr="00A2555E" w:rsidP="00A2555E">
      <w:pPr>
        <w:pStyle w:val="ListBullet2"/>
      </w:pPr>
      <w:r w:rsidRPr="00A2555E">
        <w:t>data accuracy</w:t>
      </w:r>
    </w:p>
    <w:p w:rsidR="00000000" w:rsidRPr="00A2555E" w:rsidP="00A2555E">
      <w:pPr>
        <w:pStyle w:val="ListBullet2"/>
      </w:pPr>
      <w:r w:rsidRPr="00A2555E">
        <w:t>data description</w:t>
      </w:r>
    </w:p>
    <w:p w:rsidR="00000000" w:rsidRPr="00A2555E" w:rsidP="00A2555E">
      <w:pPr>
        <w:pStyle w:val="ListBullet2"/>
      </w:pPr>
      <w:r w:rsidRPr="00A2555E">
        <w:t>date of acquisition</w:t>
      </w:r>
    </w:p>
    <w:p w:rsidR="00000000" w:rsidRPr="00A2555E" w:rsidP="00A2555E">
      <w:pPr>
        <w:pStyle w:val="ListBullet2"/>
      </w:pPr>
      <w:r w:rsidRPr="00A2555E">
        <w:t>licence</w:t>
      </w:r>
    </w:p>
    <w:p w:rsidR="00000000" w:rsidRPr="00A2555E" w:rsidP="00A2555E">
      <w:pPr>
        <w:pStyle w:val="ListBullet2"/>
      </w:pPr>
      <w:r w:rsidRPr="00A2555E">
        <w:t>quality</w:t>
      </w:r>
    </w:p>
    <w:p w:rsidR="00000000" w:rsidRPr="00A2555E" w:rsidP="00A2555E">
      <w:pPr>
        <w:pStyle w:val="ListBullet2"/>
      </w:pPr>
      <w:r w:rsidRPr="00A2555E">
        <w:t>source</w:t>
      </w:r>
    </w:p>
    <w:p w:rsidR="00000000" w:rsidRPr="00A2555E" w:rsidP="00A2555E">
      <w:pPr>
        <w:pStyle w:val="ListBullet2"/>
      </w:pPr>
      <w:r w:rsidRPr="00A2555E">
        <w:t>spatial data acquisition methodologies</w:t>
      </w:r>
    </w:p>
    <w:p w:rsidR="00000000" w:rsidRPr="00A2555E" w:rsidP="00A2555E">
      <w:pPr>
        <w:pStyle w:val="ListBullet2"/>
      </w:pPr>
      <w:r w:rsidRPr="00A2555E">
        <w:t>version control.</w:t>
      </w:r>
    </w:p>
    <w:p w:rsidR="00000000" w:rsidRPr="00A2555E" w:rsidP="00A2555E">
      <w:pPr>
        <w:pStyle w:val="ListBullet"/>
      </w:pPr>
      <w:r w:rsidRPr="00A2555E">
        <w:t>GIS data formats, including:</w:t>
      </w:r>
    </w:p>
    <w:p w:rsidR="00000000" w:rsidRPr="00A2555E" w:rsidP="00A2555E">
      <w:pPr>
        <w:pStyle w:val="ListBullet2"/>
      </w:pPr>
      <w:r w:rsidRPr="00A2555E">
        <w:t>databases</w:t>
      </w:r>
    </w:p>
    <w:p w:rsidR="00000000" w:rsidRPr="00A2555E" w:rsidP="00A2555E">
      <w:pPr>
        <w:pStyle w:val="ListBullet2"/>
      </w:pPr>
      <w:r w:rsidRPr="00A2555E">
        <w:t>digital graphic output</w:t>
      </w:r>
    </w:p>
    <w:p w:rsidR="00000000" w:rsidRPr="00A2555E" w:rsidP="00A2555E">
      <w:pPr>
        <w:pStyle w:val="ListBullet2"/>
      </w:pPr>
      <w:r w:rsidRPr="00A2555E">
        <w:t>hard copy</w:t>
      </w:r>
    </w:p>
    <w:p w:rsidR="00000000" w:rsidRPr="00A2555E" w:rsidP="00A2555E">
      <w:pPr>
        <w:pStyle w:val="ListBullet2"/>
      </w:pPr>
      <w:r w:rsidRPr="00A2555E">
        <w:t>maps</w:t>
      </w:r>
    </w:p>
    <w:p w:rsidR="00000000" w:rsidRPr="00A2555E" w:rsidP="00A2555E">
      <w:pPr>
        <w:pStyle w:val="ListBullet2"/>
      </w:pPr>
      <w:r w:rsidRPr="00A2555E">
        <w:t>nomenclature</w:t>
      </w:r>
    </w:p>
    <w:p w:rsidR="00000000" w:rsidRPr="00A2555E" w:rsidP="00A2555E">
      <w:pPr>
        <w:pStyle w:val="ListBullet2"/>
      </w:pPr>
      <w:r w:rsidRPr="00A2555E">
        <w:t>plans and diagrams</w:t>
      </w:r>
    </w:p>
    <w:p w:rsidR="00000000" w:rsidRPr="00A2555E" w:rsidP="00A2555E">
      <w:pPr>
        <w:pStyle w:val="ListBullet2"/>
      </w:pPr>
      <w:r w:rsidRPr="00A2555E">
        <w:t>spreadsheets</w:t>
      </w:r>
    </w:p>
    <w:p w:rsidR="00000000" w:rsidRPr="00A2555E" w:rsidP="00A2555E">
      <w:pPr>
        <w:pStyle w:val="ListBullet"/>
      </w:pPr>
      <w:r w:rsidRPr="00A2555E">
        <w:t>display principles, including:</w:t>
      </w:r>
    </w:p>
    <w:p w:rsidR="00000000" w:rsidRPr="00A2555E" w:rsidP="00A2555E">
      <w:pPr>
        <w:pStyle w:val="ListBullet2"/>
      </w:pPr>
      <w:r w:rsidRPr="00A2555E">
        <w:t>colour</w:t>
      </w:r>
    </w:p>
    <w:p w:rsidR="00000000" w:rsidRPr="00A2555E" w:rsidP="00A2555E">
      <w:pPr>
        <w:pStyle w:val="ListBullet2"/>
      </w:pPr>
      <w:r w:rsidRPr="00A2555E">
        <w:t>composition</w:t>
      </w:r>
    </w:p>
    <w:p w:rsidR="00000000" w:rsidRPr="00A2555E" w:rsidP="00A2555E">
      <w:pPr>
        <w:pStyle w:val="ListBullet2"/>
      </w:pPr>
      <w:r w:rsidRPr="00A2555E">
        <w:t>font type</w:t>
      </w:r>
    </w:p>
    <w:p w:rsidR="00000000" w:rsidRPr="00A2555E" w:rsidP="00A2555E">
      <w:pPr>
        <w:pStyle w:val="ListBullet2"/>
      </w:pPr>
      <w:r w:rsidRPr="00A2555E">
        <w:t>legends</w:t>
      </w:r>
    </w:p>
    <w:p w:rsidR="00000000" w:rsidRPr="00A2555E" w:rsidP="00A2555E">
      <w:pPr>
        <w:pStyle w:val="ListBullet2"/>
      </w:pPr>
      <w:r w:rsidRPr="00A2555E">
        <w:t>media</w:t>
      </w:r>
    </w:p>
    <w:p w:rsidR="00000000" w:rsidRPr="00A2555E" w:rsidP="00A2555E">
      <w:pPr>
        <w:pStyle w:val="ListBullet2"/>
      </w:pPr>
      <w:r w:rsidRPr="00A2555E">
        <w:t>scale</w:t>
      </w:r>
    </w:p>
    <w:p w:rsidR="00000000" w:rsidRPr="00A2555E" w:rsidP="00A2555E">
      <w:pPr>
        <w:pStyle w:val="ListBullet2"/>
      </w:pPr>
      <w:r w:rsidRPr="00A2555E">
        <w:t>size</w:t>
      </w:r>
    </w:p>
    <w:p w:rsidR="00000000" w:rsidRPr="00A2555E" w:rsidP="00A2555E">
      <w:pPr>
        <w:pStyle w:val="ListBullet2"/>
      </w:pPr>
      <w:r w:rsidRPr="00A2555E">
        <w:t>symbology</w:t>
      </w:r>
    </w:p>
    <w:p w:rsidR="00000000" w:rsidRPr="00A2555E" w:rsidP="00A2555E">
      <w:pPr>
        <w:pStyle w:val="ListBullet2"/>
      </w:pPr>
      <w:r w:rsidRPr="00A2555E">
        <w:t>text and line style</w:t>
      </w:r>
    </w:p>
    <w:p w:rsidR="00000000" w:rsidRPr="00A2555E" w:rsidP="00A2555E">
      <w:pPr>
        <w:pStyle w:val="ListBullet"/>
      </w:pPr>
      <w:r w:rsidRPr="00A2555E">
        <w:t>organisational requirements for preparing and displaying GIS data, including:</w:t>
      </w:r>
    </w:p>
    <w:p w:rsidR="00000000" w:rsidRPr="00A2555E" w:rsidP="00A2555E">
      <w:pPr>
        <w:pStyle w:val="ListBullet2"/>
      </w:pPr>
      <w:r w:rsidRPr="00A2555E">
        <w:t>accuracy and precision</w:t>
      </w:r>
    </w:p>
    <w:p w:rsidR="00000000" w:rsidRPr="00A2555E" w:rsidP="00A2555E">
      <w:pPr>
        <w:pStyle w:val="ListBullet2"/>
      </w:pPr>
      <w:r w:rsidRPr="00A2555E">
        <w:t>Australian drawing standards.</w:t>
      </w:r>
    </w:p>
    <w:p w:rsidR="00000000" w:rsidRPr="00A2555E" w:rsidP="00A2555E">
      <w:pPr>
        <w:pStyle w:val="AllowPageBreak"/>
      </w:pPr>
    </w:p>
    <w:p w:rsidR="00000000" w:rsidRPr="00A2555E" w:rsidP="00A2555E">
      <w:pPr>
        <w:pStyle w:val="Heading1"/>
      </w:pPr>
      <w:bookmarkStart w:id="4" w:name="O_837080"/>
      <w:bookmarkEnd w:id="4"/>
      <w:r w:rsidRPr="00A2555E">
        <w:t>Assessment Conditions</w:t>
      </w:r>
    </w:p>
    <w:p w:rsidR="00000000" w:rsidRPr="00A2555E" w:rsidP="002B68A9">
      <w:pPr>
        <w:pStyle w:val="BodyText"/>
      </w:pPr>
      <w:r w:rsidRPr="00A2555E">
        <w:t>The following must be present and available to learners during assessment activities:</w:t>
      </w:r>
    </w:p>
    <w:p w:rsidR="00000000" w:rsidRPr="00A2555E" w:rsidP="00A2555E">
      <w:pPr>
        <w:pStyle w:val="ListBullet"/>
      </w:pPr>
      <w:r w:rsidRPr="00A2555E">
        <w:t>equipment:</w:t>
      </w:r>
    </w:p>
    <w:p w:rsidR="00000000" w:rsidRPr="00A2555E" w:rsidP="00A2555E">
      <w:pPr>
        <w:pStyle w:val="ListBullet2"/>
      </w:pPr>
      <w:r w:rsidRPr="00A2555E">
        <w:t>computer with access to suitable software</w:t>
      </w:r>
    </w:p>
    <w:p w:rsidR="00000000" w:rsidRPr="00A2555E" w:rsidP="00A2555E">
      <w:pPr>
        <w:pStyle w:val="ListBullet2"/>
      </w:pPr>
      <w:r w:rsidRPr="00A2555E">
        <w:t>hardware, including plotter or printer</w:t>
      </w:r>
    </w:p>
    <w:p w:rsidR="00000000" w:rsidRPr="00A2555E" w:rsidP="00A2555E">
      <w:pPr>
        <w:pStyle w:val="ListBullet2"/>
      </w:pPr>
      <w:r w:rsidRPr="00A2555E">
        <w:t>high resolution computer screen</w:t>
      </w:r>
    </w:p>
    <w:p w:rsidR="00000000" w:rsidRPr="00A2555E" w:rsidP="00A2555E">
      <w:pPr>
        <w:pStyle w:val="ListBullet"/>
      </w:pPr>
      <w:r w:rsidRPr="00A2555E">
        <w:t>specifications:</w:t>
      </w:r>
    </w:p>
    <w:p w:rsidR="00000000" w:rsidRPr="00A2555E" w:rsidP="00A2555E">
      <w:pPr>
        <w:pStyle w:val="ListBullet2"/>
      </w:pPr>
      <w:r w:rsidRPr="00A2555E">
        <w:t>organisational policies an</w:t>
      </w:r>
      <w:r w:rsidRPr="00A2555E">
        <w:t>d procedures relating to:</w:t>
      </w:r>
    </w:p>
    <w:p w:rsidR="00000000" w:rsidRPr="00A2555E" w:rsidP="00A2555E">
      <w:pPr>
        <w:pStyle w:val="ListBullet3"/>
      </w:pPr>
      <w:r w:rsidRPr="00A2555E">
        <w:t>work health and safety</w:t>
      </w:r>
    </w:p>
    <w:p w:rsidR="00000000" w:rsidRPr="00A2555E" w:rsidP="00A2555E">
      <w:pPr>
        <w:pStyle w:val="ListBullet3"/>
      </w:pPr>
      <w:r w:rsidRPr="00A2555E">
        <w:t>data privacy and information copyright</w:t>
      </w:r>
    </w:p>
    <w:p w:rsidR="00000000" w:rsidRPr="00A2555E" w:rsidP="00A2555E">
      <w:pPr>
        <w:pStyle w:val="ListBullet"/>
      </w:pPr>
      <w:r w:rsidRPr="00A2555E">
        <w:t>physical conditions:</w:t>
      </w:r>
    </w:p>
    <w:p w:rsidR="00000000" w:rsidRPr="00A2555E" w:rsidP="00A2555E">
      <w:pPr>
        <w:pStyle w:val="ListBullet2"/>
      </w:pPr>
      <w:r w:rsidRPr="00A2555E">
        <w:t>access to equipped work station</w:t>
      </w:r>
    </w:p>
    <w:p w:rsidR="00000000" w:rsidRPr="00A2555E" w:rsidP="00A2555E">
      <w:pPr>
        <w:pStyle w:val="ListBullet"/>
      </w:pPr>
      <w:r w:rsidRPr="00A2555E">
        <w:t>relationships with team members and supervisor:</w:t>
      </w:r>
    </w:p>
    <w:p w:rsidR="00000000" w:rsidRPr="00A2555E" w:rsidP="00A2555E">
      <w:pPr>
        <w:pStyle w:val="ListBullet2"/>
      </w:pPr>
      <w:r w:rsidRPr="00A2555E">
        <w:t>working in a team.</w:t>
      </w:r>
    </w:p>
    <w:p w:rsidR="00000000" w:rsidRPr="00A2555E" w:rsidP="002B68A9">
      <w:pPr>
        <w:pStyle w:val="BodyText"/>
      </w:pPr>
      <w:r w:rsidRPr="00A2555E">
        <w:t>Timeframe:</w:t>
      </w:r>
    </w:p>
    <w:p w:rsidR="00000000" w:rsidRPr="00A2555E" w:rsidP="00A2555E">
      <w:pPr>
        <w:pStyle w:val="ListBullet"/>
      </w:pPr>
      <w:r w:rsidRPr="00A2555E">
        <w:t>as specified by client and project requirements.</w:t>
      </w:r>
    </w:p>
    <w:p w:rsidR="00000000" w:rsidRPr="00A2555E" w:rsidP="00A2555E">
      <w:pPr>
        <w:pStyle w:val="BodyText"/>
      </w:pPr>
    </w:p>
    <w:p w:rsidR="00000000" w:rsidRPr="00A2555E" w:rsidP="002B68A9">
      <w:pPr>
        <w:pStyle w:val="Heading3"/>
      </w:pPr>
      <w:r w:rsidRPr="00A2555E">
        <w:rPr>
          <w:rStyle w:val="SpecialBold"/>
        </w:rPr>
        <w:t>Assessor requirements</w:t>
      </w:r>
    </w:p>
    <w:p w:rsidR="00000000" w:rsidRPr="00A2555E" w:rsidP="002B68A9">
      <w:pPr>
        <w:pStyle w:val="BodyText"/>
      </w:pPr>
      <w:r w:rsidRPr="00A2555E">
        <w:t>As a minimum, assessors must satisfy the assessor requirements in the Standards for Registered Training Organisations (RTOs) current at the time of assessment.</w:t>
      </w:r>
    </w:p>
    <w:p w:rsidR="00000000" w:rsidRPr="00A2555E" w:rsidP="00A2555E">
      <w:pPr>
        <w:pStyle w:val="Heading1"/>
      </w:pPr>
      <w:bookmarkStart w:id="5" w:name="O_837078"/>
      <w:bookmarkEnd w:id="5"/>
      <w:r w:rsidRPr="00A2555E">
        <w:t>Links</w:t>
      </w:r>
    </w:p>
    <w:p w:rsidR="00000000" w:rsidRPr="00A2555E" w:rsidP="002B68A9">
      <w:pPr>
        <w:pStyle w:val="BodyText"/>
      </w:pPr>
      <w:r w:rsidRPr="00A2555E">
        <w:t>C</w:t>
      </w:r>
      <w:r w:rsidRPr="00A2555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F0F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555E" w:rsidP="00A2555E"/>
    <w:sectPr w:rsidSect="00A255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5E" w:rsidRPr="002B68A9" w:rsidP="002B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9" w:rsidP="00A25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8A9" w:rsidP="00A25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B68A9" w:rsidP="00A25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55E" w:rsidRPr="002B68A9" w:rsidP="002B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A9" w:rsidRPr="002D2AF8" w:rsidP="00A25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CPPSIS4038 Prepare and present GIS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2B68A9" w:rsidP="00A25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83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069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E4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55E"/>
  </w:style>
  <w:style w:type="character" w:customStyle="1" w:styleId="Heading1Char">
    <w:name w:val="Heading 1 Char"/>
    <w:basedOn w:val="DefaultParagraphFont"/>
    <w:link w:val="Heading1"/>
    <w:rsid w:val="00A25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5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55E"/>
    <w:rPr>
      <w:b/>
      <w:spacing w:val="0"/>
    </w:rPr>
  </w:style>
  <w:style w:type="paragraph" w:styleId="ListBullet2">
    <w:name w:val="List Bullet 2"/>
    <w:basedOn w:val="List2"/>
    <w:rsid w:val="00A255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55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5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55E"/>
    <w:rPr>
      <w:i/>
    </w:rPr>
  </w:style>
  <w:style w:type="paragraph" w:styleId="Caption">
    <w:name w:val="caption"/>
    <w:basedOn w:val="BodyText"/>
    <w:next w:val="Normal"/>
    <w:qFormat/>
    <w:rsid w:val="00A25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55E"/>
  </w:style>
  <w:style w:type="paragraph" w:styleId="TableofFigures">
    <w:name w:val="table of figures"/>
    <w:basedOn w:val="Normal"/>
    <w:next w:val="Normal"/>
    <w:semiHidden/>
    <w:rsid w:val="00A25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5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555E"/>
    <w:rPr>
      <w:rFonts w:ascii="Wingdings" w:hAnsi="Wingdings"/>
    </w:rPr>
  </w:style>
  <w:style w:type="paragraph" w:customStyle="1" w:styleId="TableHeading">
    <w:name w:val="Table Heading"/>
    <w:basedOn w:val="HeadingBase"/>
    <w:rsid w:val="00A25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55E"/>
    <w:rPr>
      <w:color w:val="0033CC"/>
      <w:u w:val="none"/>
    </w:rPr>
  </w:style>
  <w:style w:type="paragraph" w:customStyle="1" w:styleId="BodyTextRight">
    <w:name w:val="Body Text Right"/>
    <w:basedOn w:val="BodyText"/>
    <w:rsid w:val="00A25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5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55E"/>
    <w:rPr>
      <w:sz w:val="32"/>
    </w:rPr>
  </w:style>
  <w:style w:type="paragraph" w:customStyle="1" w:styleId="HeadingProcedure">
    <w:name w:val="Heading Procedure"/>
    <w:basedOn w:val="HeadingBase"/>
    <w:next w:val="Normal"/>
    <w:rsid w:val="00A25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55E"/>
    <w:pPr>
      <w:spacing w:before="60" w:after="60"/>
    </w:pPr>
  </w:style>
  <w:style w:type="paragraph" w:styleId="ListContinue">
    <w:name w:val="List Continue"/>
    <w:basedOn w:val="List"/>
    <w:rsid w:val="00A2555E"/>
    <w:pPr>
      <w:ind w:firstLine="0"/>
    </w:pPr>
  </w:style>
  <w:style w:type="paragraph" w:customStyle="1" w:styleId="ListNote">
    <w:name w:val="List Note"/>
    <w:basedOn w:val="List"/>
    <w:rsid w:val="00A25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55E"/>
    <w:rPr>
      <w:rFonts w:ascii="Courier New" w:hAnsi="Courier New"/>
    </w:rPr>
  </w:style>
  <w:style w:type="paragraph" w:customStyle="1" w:styleId="NoteBullet">
    <w:name w:val="Note Bullet"/>
    <w:basedOn w:val="Note"/>
    <w:rsid w:val="00A25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5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5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55E"/>
    <w:rPr>
      <w:b/>
      <w:smallCaps/>
    </w:rPr>
  </w:style>
  <w:style w:type="paragraph" w:customStyle="1" w:styleId="TableListNumber">
    <w:name w:val="Table List Number"/>
    <w:basedOn w:val="ListNumber"/>
    <w:rsid w:val="00A25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55E"/>
    <w:pPr>
      <w:numPr>
        <w:numId w:val="10"/>
      </w:numPr>
    </w:pPr>
  </w:style>
  <w:style w:type="paragraph" w:customStyle="1" w:styleId="ListAlpha2">
    <w:name w:val="List Alpha 2"/>
    <w:basedOn w:val="List2"/>
    <w:rsid w:val="00A2555E"/>
    <w:pPr>
      <w:numPr>
        <w:numId w:val="9"/>
      </w:numPr>
    </w:pPr>
  </w:style>
  <w:style w:type="paragraph" w:styleId="List2">
    <w:name w:val="List 2"/>
    <w:basedOn w:val="BodyText"/>
    <w:rsid w:val="00A25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5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55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555E"/>
    <w:pPr>
      <w:numPr>
        <w:numId w:val="5"/>
      </w:numPr>
    </w:pPr>
  </w:style>
  <w:style w:type="paragraph" w:styleId="ListContinue2">
    <w:name w:val="List Continue 2"/>
    <w:basedOn w:val="List2"/>
    <w:rsid w:val="00A2555E"/>
    <w:pPr>
      <w:ind w:firstLine="0"/>
    </w:pPr>
  </w:style>
  <w:style w:type="paragraph" w:styleId="ListContinue3">
    <w:name w:val="List Continue 3"/>
    <w:basedOn w:val="List3"/>
    <w:rsid w:val="00A2555E"/>
    <w:pPr>
      <w:ind w:left="1021" w:firstLine="0"/>
    </w:pPr>
  </w:style>
  <w:style w:type="paragraph" w:styleId="ListContinue4">
    <w:name w:val="List Continue 4"/>
    <w:basedOn w:val="List4"/>
    <w:rsid w:val="00A2555E"/>
    <w:pPr>
      <w:ind w:firstLine="0"/>
    </w:pPr>
  </w:style>
  <w:style w:type="paragraph" w:styleId="ListContinue5">
    <w:name w:val="List Continue 5"/>
    <w:basedOn w:val="List5"/>
    <w:rsid w:val="00A2555E"/>
    <w:pPr>
      <w:ind w:firstLine="0"/>
    </w:pPr>
  </w:style>
  <w:style w:type="paragraph" w:styleId="ListNumber3">
    <w:name w:val="List Number 3"/>
    <w:basedOn w:val="List3"/>
    <w:rsid w:val="00A2555E"/>
    <w:pPr>
      <w:numPr>
        <w:numId w:val="6"/>
      </w:numPr>
    </w:pPr>
  </w:style>
  <w:style w:type="paragraph" w:styleId="ListNumber4">
    <w:name w:val="List Number 4"/>
    <w:basedOn w:val="List4"/>
    <w:rsid w:val="00A2555E"/>
    <w:pPr>
      <w:numPr>
        <w:numId w:val="7"/>
      </w:numPr>
    </w:pPr>
  </w:style>
  <w:style w:type="paragraph" w:styleId="ListNumber5">
    <w:name w:val="List Number 5"/>
    <w:basedOn w:val="List5"/>
    <w:rsid w:val="00A2555E"/>
    <w:pPr>
      <w:numPr>
        <w:numId w:val="8"/>
      </w:numPr>
    </w:pPr>
  </w:style>
  <w:style w:type="paragraph" w:styleId="BlockText">
    <w:name w:val="Block Text"/>
    <w:basedOn w:val="Normal"/>
    <w:rsid w:val="00A25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55E"/>
    <w:rPr>
      <w:sz w:val="16"/>
      <w:vertAlign w:val="superscript"/>
    </w:rPr>
  </w:style>
  <w:style w:type="character" w:customStyle="1" w:styleId="Symbols">
    <w:name w:val="Symbols"/>
    <w:basedOn w:val="DefaultParagraphFont"/>
    <w:rsid w:val="00A2555E"/>
    <w:rPr>
      <w:rFonts w:ascii="Symbol" w:hAnsi="Symbol"/>
    </w:rPr>
  </w:style>
  <w:style w:type="character" w:customStyle="1" w:styleId="MenuOptions">
    <w:name w:val="Menu Options"/>
    <w:basedOn w:val="DefaultParagraphFont"/>
    <w:rsid w:val="00A25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55E"/>
    <w:rPr>
      <w:b/>
    </w:rPr>
  </w:style>
  <w:style w:type="character" w:customStyle="1" w:styleId="Underlined">
    <w:name w:val="Underlined"/>
    <w:basedOn w:val="DefaultParagraphFont"/>
    <w:rsid w:val="00A2555E"/>
    <w:rPr>
      <w:u w:val="single"/>
    </w:rPr>
  </w:style>
  <w:style w:type="paragraph" w:customStyle="1" w:styleId="TableBodyTextRight">
    <w:name w:val="Table Body Text Right"/>
    <w:basedOn w:val="TableBodyText"/>
    <w:rsid w:val="00A25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55E"/>
    <w:rPr>
      <w:sz w:val="18"/>
    </w:rPr>
  </w:style>
  <w:style w:type="paragraph" w:customStyle="1" w:styleId="BodySmallRight">
    <w:name w:val="Body Small Right"/>
    <w:basedOn w:val="BodyTextRight"/>
    <w:rsid w:val="00A2555E"/>
    <w:rPr>
      <w:sz w:val="18"/>
      <w:szCs w:val="18"/>
    </w:rPr>
  </w:style>
  <w:style w:type="paragraph" w:customStyle="1" w:styleId="MarginEdition">
    <w:name w:val="Margin Edition"/>
    <w:basedOn w:val="MarginNote"/>
    <w:rsid w:val="00A25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55E"/>
    <w:rPr>
      <w:sz w:val="2"/>
      <w:szCs w:val="2"/>
    </w:rPr>
  </w:style>
  <w:style w:type="character" w:customStyle="1" w:styleId="Small">
    <w:name w:val="Small"/>
    <w:basedOn w:val="DefaultParagraphFont"/>
    <w:rsid w:val="00A2555E"/>
    <w:rPr>
      <w:sz w:val="16"/>
    </w:rPr>
  </w:style>
  <w:style w:type="paragraph" w:customStyle="1" w:styleId="WideTable">
    <w:name w:val="Wide Table"/>
    <w:basedOn w:val="Normal"/>
    <w:rsid w:val="00A25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55E"/>
  </w:style>
  <w:style w:type="paragraph" w:styleId="Quote">
    <w:name w:val="Quote"/>
    <w:basedOn w:val="Heading1"/>
    <w:link w:val="QuoteChar"/>
    <w:qFormat/>
    <w:rsid w:val="00A25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55E"/>
    <w:pPr>
      <w:pageBreakBefore/>
    </w:pPr>
  </w:style>
  <w:style w:type="paragraph" w:customStyle="1" w:styleId="Border">
    <w:name w:val="Border"/>
    <w:basedOn w:val="Normal"/>
    <w:qFormat/>
    <w:rsid w:val="00A25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55E"/>
    <w:rPr>
      <w:u w:val="single"/>
    </w:rPr>
  </w:style>
  <w:style w:type="character" w:customStyle="1" w:styleId="BoldandItalics">
    <w:name w:val="Bold and Italics"/>
    <w:qFormat/>
    <w:rsid w:val="00A2555E"/>
    <w:rPr>
      <w:b/>
      <w:i/>
      <w:u w:val="none"/>
    </w:rPr>
  </w:style>
  <w:style w:type="paragraph" w:styleId="BalloonText">
    <w:name w:val="Balloon Text"/>
    <w:basedOn w:val="Normal"/>
    <w:link w:val="BalloonTextChar"/>
    <w:rsid w:val="00A25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55E"/>
    <w:pPr>
      <w:spacing w:before="0" w:after="0"/>
    </w:pPr>
  </w:style>
  <w:style w:type="paragraph" w:customStyle="1" w:styleId="BodyTextBold">
    <w:name w:val="Body Text Bold"/>
    <w:basedOn w:val="BodyText"/>
    <w:qFormat/>
    <w:rsid w:val="00A2555E"/>
    <w:rPr>
      <w:b/>
    </w:rPr>
  </w:style>
  <w:style w:type="character" w:styleId="Hyperlink">
    <w:name w:val="Hyperlink"/>
    <w:basedOn w:val="DefaultParagraphFont"/>
    <w:uiPriority w:val="99"/>
    <w:unhideWhenUsed/>
    <w:rsid w:val="002B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3025</Characters>
  <Application>Microsoft Office Word</Application>
  <DocSecurity>0</DocSecurity>
  <Lines>108</Lines>
  <Paragraphs>96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CPPSIS4038 Prepare and present GIS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2021-01-07T13:28:00Z</dcterms:created>
  <dcterms:modified xsi:type="dcterms:W3CDTF">2021-01-07T13:28:00Z</dcterms:modified>
</cp:coreProperties>
</file>