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449F" w:rsidP="006D449F">
      <w:pPr>
        <w:pStyle w:val="Title"/>
      </w:pPr>
      <w:r>
        <w:fldChar w:fldCharType="begin"/>
      </w:r>
      <w:r>
        <w:instrText xml:space="preserve"> TITLE   \* MERGEFORMAT </w:instrText>
      </w:r>
      <w:r>
        <w:fldChar w:fldCharType="separate"/>
      </w:r>
      <w:r>
        <w:t>CPPSIS3018 Transfer loads</w:t>
      </w:r>
      <w:r>
        <w:fldChar w:fldCharType="end"/>
      </w:r>
    </w:p>
    <w:p w:rsidR="006D449F" w:rsidP="006D449F">
      <w:pPr>
        <w:pStyle w:val="Version"/>
        <w:sectPr w:rsidSect="004927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27B2" w:rsidP="004927B2">
      <w:pPr>
        <w:pStyle w:val="SuperHeading"/>
      </w:pPr>
      <w:r w:rsidRPr="004927B2">
        <w:t>CPPSIS3018 Transfer loads</w:t>
      </w:r>
    </w:p>
    <w:p w:rsidR="00000000" w:rsidRPr="004927B2" w:rsidP="004927B2">
      <w:pPr>
        <w:pStyle w:val="Heading1"/>
      </w:pPr>
      <w:bookmarkStart w:id="1" w:name="O_836776"/>
      <w:bookmarkEnd w:id="1"/>
      <w:r w:rsidRPr="004927B2">
        <w:t>Modification History</w:t>
      </w:r>
    </w:p>
    <w:p w:rsidR="00000000" w:rsidRPr="004927B2" w:rsidP="006D449F">
      <w:pPr>
        <w:pStyle w:val="BodyText"/>
      </w:pPr>
      <w:r w:rsidRPr="004927B2">
        <w:t>Release 1.</w:t>
      </w:r>
    </w:p>
    <w:p w:rsidR="00000000" w:rsidRPr="004927B2" w:rsidP="006D449F">
      <w:pPr>
        <w:pStyle w:val="BodyText"/>
      </w:pPr>
      <w:r w:rsidRPr="004927B2">
        <w:t>Replaces superseded equivalent CPPSIS3018A Transfer personnel and loads.</w:t>
      </w:r>
    </w:p>
    <w:p w:rsidR="00000000" w:rsidRPr="004927B2" w:rsidP="006D449F">
      <w:pPr>
        <w:pStyle w:val="BodyText"/>
      </w:pPr>
      <w:r w:rsidRPr="004927B2">
        <w:t>This version first released with CPP Property Services Training Package Version 3.</w:t>
      </w:r>
    </w:p>
    <w:p w:rsidR="00000000" w:rsidRPr="004927B2" w:rsidP="004927B2">
      <w:pPr>
        <w:pStyle w:val="Heading1"/>
      </w:pPr>
      <w:bookmarkStart w:id="2" w:name="O_836783"/>
      <w:bookmarkEnd w:id="2"/>
      <w:r w:rsidRPr="004927B2">
        <w:t>Application</w:t>
      </w:r>
    </w:p>
    <w:p w:rsidR="00000000" w:rsidRPr="004927B2" w:rsidP="006D449F">
      <w:pPr>
        <w:pStyle w:val="BodyText"/>
      </w:pPr>
      <w:r w:rsidRPr="004927B2">
        <w:t>This unit of competency specifies the</w:t>
      </w:r>
      <w:r w:rsidRPr="004927B2">
        <w:t xml:space="preserve"> outcomes required to plan and conduct the loading, transfer and unloading of personnel and goods to a work site. The work site could be in a remote location in off-road conditions using a boat or four-wheel drive vehicle. The unit covers selecting equipme</w:t>
      </w:r>
      <w:r w:rsidRPr="004927B2">
        <w:t xml:space="preserve">nt to assist loading activities, and complying with legal requirements relating to the transport and handling of hazardous materials, and to load mass, restraint and protection. </w:t>
      </w:r>
    </w:p>
    <w:p w:rsidR="00000000" w:rsidRPr="004927B2" w:rsidP="006D449F">
      <w:pPr>
        <w:pStyle w:val="BodyText"/>
      </w:pPr>
      <w:r w:rsidRPr="004927B2">
        <w:t>The unit supports those who work under supervision in a surveying and spatia</w:t>
      </w:r>
      <w:r w:rsidRPr="004927B2">
        <w:t>l information services team, in a range of work sites and positions, such as field support for data collection and site set-out.</w:t>
      </w:r>
    </w:p>
    <w:p w:rsidR="00000000" w:rsidRPr="004927B2" w:rsidP="006D449F">
      <w:pPr>
        <w:pStyle w:val="BodyText"/>
      </w:pPr>
      <w:r w:rsidRPr="004927B2">
        <w:t>Licensing, legislative, regulatory or certification requirements concerning the loading and unloading of goods, including mass</w:t>
      </w:r>
      <w:r w:rsidRPr="004927B2">
        <w:t xml:space="preserve"> and loading regulations dealing with over-size and over-mass permits, apply to this unit in some States. Relevant state and territory regulatory authorities should be consulted to confirm those requirements.</w:t>
      </w:r>
    </w:p>
    <w:p w:rsidR="00000000" w:rsidRPr="004927B2" w:rsidP="004927B2">
      <w:pPr>
        <w:pStyle w:val="Heading1"/>
      </w:pPr>
      <w:bookmarkStart w:id="3" w:name="O_836782"/>
      <w:bookmarkEnd w:id="3"/>
      <w:r w:rsidRPr="004927B2">
        <w:t>Pre-requisite Unit</w:t>
      </w:r>
    </w:p>
    <w:p w:rsidR="00000000" w:rsidRPr="004927B2" w:rsidP="006D449F">
      <w:pPr>
        <w:pStyle w:val="BodyText"/>
      </w:pPr>
      <w:r w:rsidRPr="004927B2">
        <w:t>Nil</w:t>
      </w:r>
    </w:p>
    <w:p w:rsidR="00000000" w:rsidRPr="004927B2" w:rsidP="004927B2">
      <w:pPr>
        <w:pStyle w:val="Heading1"/>
      </w:pPr>
      <w:bookmarkStart w:id="4" w:name="O_836781"/>
      <w:bookmarkEnd w:id="4"/>
      <w:r w:rsidRPr="004927B2">
        <w:t>Unit Sector</w:t>
      </w:r>
    </w:p>
    <w:p w:rsidR="00000000" w:rsidRPr="004927B2" w:rsidP="006D449F">
      <w:pPr>
        <w:pStyle w:val="BodyText"/>
      </w:pPr>
      <w:r w:rsidRPr="004927B2">
        <w:t>Surveying and spatial information services</w:t>
      </w:r>
    </w:p>
    <w:p w:rsidR="00000000" w:rsidRPr="004927B2" w:rsidP="004927B2">
      <w:pPr>
        <w:pStyle w:val="Heading1"/>
      </w:pPr>
      <w:bookmarkStart w:id="5" w:name="O_836780"/>
      <w:bookmarkEnd w:id="5"/>
      <w:r w:rsidRPr="004927B2">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4927B2">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Performance criteria describe the performance needed to demonstrate achievement of the element. W</w:t>
            </w:r>
            <w:r w:rsidRPr="004927B2">
              <w:t xml:space="preserve">here bold italicised text is used, further information is detailed in the range of </w:t>
            </w:r>
            <w:r w:rsidRPr="004927B2">
              <w:t>conditions.</w:t>
            </w:r>
          </w:p>
        </w:tc>
      </w:tr>
      <w:tr w:rsidTr="00492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1.</w:t>
            </w:r>
          </w:p>
        </w:tc>
        <w:tc>
          <w:tcPr>
            <w:tcW w:w="1962" w:type="dxa"/>
            <w:vMerge w:val="restart"/>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Prepare for load transfer.</w:t>
            </w:r>
          </w:p>
        </w:tc>
        <w:tc>
          <w:tcPr>
            <w:tcW w:w="770" w:type="dxa"/>
            <w:tcBorders>
              <w:top w:val="nil"/>
              <w:left w:val="nil"/>
              <w:bottom w:val="nil"/>
              <w:right w:val="nil"/>
            </w:tcBorders>
            <w:tcMar>
              <w:top w:w="0" w:type="dxa"/>
              <w:left w:w="62" w:type="dxa"/>
              <w:bottom w:w="0" w:type="dxa"/>
              <w:right w:w="62" w:type="dxa"/>
            </w:tcMar>
          </w:tcPr>
          <w:p w:rsidR="00000000" w:rsidRPr="004927B2" w:rsidP="004927B2">
            <w:pPr>
              <w:pStyle w:val="BodyText"/>
            </w:pPr>
            <w:r w:rsidRPr="004927B2">
              <w:t>1.1.</w:t>
            </w:r>
          </w:p>
        </w:tc>
        <w:tc>
          <w:tcPr>
            <w:tcW w:w="5610"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rPr>
                <w:rStyle w:val="BoldandItalics"/>
              </w:rPr>
              <w:t>Load transfer requirements</w:t>
            </w:r>
            <w:r w:rsidRPr="004927B2">
              <w:t xml:space="preserve"> are identified and clarified with </w:t>
            </w:r>
            <w:r w:rsidRPr="004927B2">
              <w:rPr>
                <w:rStyle w:val="BoldandItalics"/>
              </w:rPr>
              <w:t>appropriate persons</w:t>
            </w:r>
            <w:r w:rsidRPr="004927B2">
              <w:t>.</w:t>
            </w:r>
          </w:p>
        </w:tc>
      </w:tr>
      <w:tr w:rsidTr="00492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1.2.</w:t>
            </w:r>
          </w:p>
        </w:tc>
        <w:tc>
          <w:tcPr>
            <w:tcW w:w="5610"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Load transfer activities are planned to ensure efficient and safe operations and environmental protection, and according to organisational requirements.</w:t>
            </w:r>
          </w:p>
        </w:tc>
      </w:tr>
      <w:tr w:rsidTr="00492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927B2" w:rsidP="004927B2">
            <w:pPr>
              <w:pStyle w:val="BodyText"/>
            </w:pPr>
            <w:r w:rsidRPr="004927B2">
              <w:t>1.3.</w:t>
            </w:r>
          </w:p>
        </w:tc>
        <w:tc>
          <w:tcPr>
            <w:tcW w:w="5610"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rPr>
                <w:rStyle w:val="BoldandItalics"/>
              </w:rPr>
              <w:t>Transport equipment</w:t>
            </w:r>
            <w:r w:rsidRPr="004927B2">
              <w:t xml:space="preserve"> appropriate for the type of load and loading and unloading activities to be conducted is selected and accessed.</w:t>
            </w:r>
          </w:p>
        </w:tc>
      </w:tr>
      <w:tr w:rsidTr="00492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1.4.</w:t>
            </w:r>
          </w:p>
        </w:tc>
        <w:tc>
          <w:tcPr>
            <w:tcW w:w="5610"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Factors affecting safe and efficient load transfer are identified and assessed in consultation with appropriate persons to meet organis</w:t>
            </w:r>
            <w:r w:rsidRPr="004927B2">
              <w:t>ational and safety requirements.</w:t>
            </w:r>
          </w:p>
        </w:tc>
      </w:tr>
      <w:tr w:rsidTr="00492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p>
        </w:tc>
      </w:tr>
      <w:tr w:rsidTr="00492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2.</w:t>
            </w:r>
          </w:p>
        </w:tc>
        <w:tc>
          <w:tcPr>
            <w:tcW w:w="1962" w:type="dxa"/>
            <w:vMerge w:val="restart"/>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Carry out loading and unloading.</w:t>
            </w:r>
          </w:p>
        </w:tc>
        <w:tc>
          <w:tcPr>
            <w:tcW w:w="770"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2.1.</w:t>
            </w:r>
          </w:p>
        </w:tc>
        <w:tc>
          <w:tcPr>
            <w:tcW w:w="5610"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Loading and unloading activities are conducted in a safe and efficient manner, taking into account suitable locations, stowage and balance of remaining load.</w:t>
            </w:r>
          </w:p>
        </w:tc>
      </w:tr>
      <w:tr w:rsidTr="00492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927B2" w:rsidP="004927B2">
            <w:pPr>
              <w:pStyle w:val="BodyText"/>
            </w:pPr>
            <w:r w:rsidRPr="004927B2">
              <w:t>2.2.</w:t>
            </w:r>
          </w:p>
        </w:tc>
        <w:tc>
          <w:tcPr>
            <w:tcW w:w="5610"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rPr>
                <w:rStyle w:val="BoldandItalics"/>
              </w:rPr>
              <w:t>Lifting aids and equipment</w:t>
            </w:r>
            <w:r w:rsidRPr="004927B2">
              <w:t xml:space="preserve"> are selected and used to assist loading and unloading according to organisational procedures and safety requirements.</w:t>
            </w:r>
          </w:p>
        </w:tc>
      </w:tr>
      <w:tr w:rsidTr="00492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2.3.</w:t>
            </w:r>
          </w:p>
        </w:tc>
        <w:tc>
          <w:tcPr>
            <w:tcW w:w="5610"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Load is secured and protected using correct load restraint methods and according to organisational requ</w:t>
            </w:r>
            <w:r w:rsidRPr="004927B2">
              <w:t>irements.</w:t>
            </w:r>
          </w:p>
        </w:tc>
      </w:tr>
      <w:tr w:rsidTr="00492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2.4.</w:t>
            </w:r>
          </w:p>
        </w:tc>
        <w:tc>
          <w:tcPr>
            <w:tcW w:w="5610"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Goods and technical equipment requiring special handling are identified and documentation is completed according to organisational requirements.</w:t>
            </w:r>
          </w:p>
        </w:tc>
      </w:tr>
      <w:tr w:rsidTr="00492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p>
        </w:tc>
      </w:tr>
      <w:tr w:rsidTr="00492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3.</w:t>
            </w:r>
          </w:p>
        </w:tc>
        <w:tc>
          <w:tcPr>
            <w:tcW w:w="1962" w:type="dxa"/>
            <w:vMerge w:val="restart"/>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Operate vehicle to complete load transfer.</w:t>
            </w:r>
          </w:p>
        </w:tc>
        <w:tc>
          <w:tcPr>
            <w:tcW w:w="770"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3.1.</w:t>
            </w:r>
          </w:p>
        </w:tc>
        <w:tc>
          <w:tcPr>
            <w:tcW w:w="5610"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Pre-operational inspections and checks of vehicle are conducted, and problems or malfunctions reported according to organisational requirements.</w:t>
            </w:r>
          </w:p>
        </w:tc>
      </w:tr>
      <w:tr w:rsidTr="00492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3.2.</w:t>
            </w:r>
          </w:p>
        </w:tc>
        <w:tc>
          <w:tcPr>
            <w:tcW w:w="5610"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Vehicle is operated using most efficient route of travel and ensuring safety of load and equipment.</w:t>
            </w:r>
          </w:p>
        </w:tc>
      </w:tr>
      <w:tr w:rsidTr="00492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3.3.</w:t>
            </w:r>
          </w:p>
        </w:tc>
        <w:tc>
          <w:tcPr>
            <w:tcW w:w="5610"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Route conditions and vehicle performance are constantly monitored and occurrences affecting safety and efficiency of operations are reported according to organisational requirements.</w:t>
            </w:r>
          </w:p>
        </w:tc>
      </w:tr>
      <w:tr w:rsidTr="004927B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3.4.</w:t>
            </w:r>
          </w:p>
        </w:tc>
        <w:tc>
          <w:tcPr>
            <w:tcW w:w="5610" w:type="dxa"/>
            <w:tcBorders>
              <w:top w:val="nil"/>
              <w:left w:val="nil"/>
              <w:bottom w:val="nil"/>
              <w:right w:val="nil"/>
            </w:tcBorders>
            <w:tcMar>
              <w:top w:w="0" w:type="dxa"/>
              <w:left w:w="62" w:type="dxa"/>
              <w:bottom w:w="0" w:type="dxa"/>
              <w:right w:w="62" w:type="dxa"/>
            </w:tcMar>
          </w:tcPr>
          <w:p w:rsidR="00000000" w:rsidRPr="004927B2" w:rsidP="004927B2">
            <w:pPr>
              <w:pStyle w:val="BodyText"/>
            </w:pPr>
            <w:r w:rsidRPr="004927B2">
              <w:t xml:space="preserve">Vehicle records are completed and maintained according </w:t>
            </w:r>
            <w:r w:rsidRPr="004927B2">
              <w:t>to or</w:t>
            </w:r>
            <w:r w:rsidRPr="004927B2">
              <w:t>ganisational requirements.</w:t>
            </w:r>
          </w:p>
        </w:tc>
      </w:tr>
    </w:tbl>
    <w:p w:rsidR="00000000" w:rsidRPr="004927B2" w:rsidP="004927B2">
      <w:pPr>
        <w:pStyle w:val="BodyText"/>
      </w:pPr>
    </w:p>
    <w:p w:rsidR="00000000" w:rsidRPr="004927B2" w:rsidP="004927B2">
      <w:pPr>
        <w:pStyle w:val="AllowPageBreak"/>
      </w:pPr>
    </w:p>
    <w:p w:rsidR="00000000" w:rsidRPr="004927B2" w:rsidP="004927B2">
      <w:pPr>
        <w:pStyle w:val="Heading1"/>
      </w:pPr>
      <w:bookmarkStart w:id="6" w:name="O_836779"/>
      <w:bookmarkEnd w:id="6"/>
      <w:r w:rsidRPr="004927B2">
        <w:t>Foundation Skills</w:t>
      </w:r>
    </w:p>
    <w:tbl>
      <w:tblPr>
        <w:tblW w:w="0" w:type="auto"/>
        <w:tblLayout w:type="fixed"/>
        <w:tblCellMar>
          <w:left w:w="62" w:type="dxa"/>
          <w:right w:w="62" w:type="dxa"/>
        </w:tblCellMar>
        <w:tblLook w:val="0000"/>
      </w:tblPr>
      <w:tblGrid>
        <w:gridCol w:w="2195"/>
        <w:gridCol w:w="6877"/>
      </w:tblGrid>
      <w:tr w:rsidTr="004927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This section describes the language, literacy, numeracy and employment skills essential to performance in this unit but not explicit in the performance criteria.</w:t>
            </w:r>
          </w:p>
        </w:tc>
      </w:tr>
      <w:tr w:rsidTr="004927B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4927B2" w:rsidP="004927B2">
            <w:pPr>
              <w:pStyle w:val="BodyText"/>
            </w:pPr>
            <w:r w:rsidRPr="004927B2">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rPr>
                <w:rStyle w:val="SpecialBold"/>
              </w:rPr>
              <w:t>Performance feature</w:t>
            </w:r>
          </w:p>
        </w:tc>
      </w:tr>
      <w:tr w:rsidTr="004927B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4927B2">
            <w:pPr>
              <w:pStyle w:val="ListBullet"/>
              <w:rPr>
                <w:lang w:val="en-NZ"/>
              </w:rPr>
            </w:pPr>
            <w:r w:rsidRPr="004927B2">
              <w:t>plan and navigate a transport route to account for terrain, weather and traffic contingencies.</w:t>
            </w:r>
          </w:p>
        </w:tc>
      </w:tr>
      <w:tr w:rsidTr="004927B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p>
        </w:tc>
      </w:tr>
      <w:tr w:rsidTr="004927B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Numeracy skills to:</w:t>
            </w:r>
          </w:p>
        </w:tc>
        <w:tc>
          <w:tcPr>
            <w:tcW w:w="6877" w:type="dxa"/>
            <w:tcBorders>
              <w:top w:val="nil"/>
              <w:left w:val="nil"/>
              <w:bottom w:val="nil"/>
              <w:right w:val="nil"/>
            </w:tcBorders>
            <w:tcMar>
              <w:top w:w="0" w:type="dxa"/>
              <w:left w:w="62" w:type="dxa"/>
              <w:bottom w:w="0" w:type="dxa"/>
              <w:right w:w="62" w:type="dxa"/>
            </w:tcMar>
          </w:tcPr>
          <w:p w:rsidR="00000000" w:rsidP="004927B2">
            <w:pPr>
              <w:pStyle w:val="ListBullet"/>
              <w:rPr>
                <w:lang w:val="en-NZ"/>
              </w:rPr>
            </w:pPr>
            <w:r w:rsidRPr="004927B2">
              <w:t>apply basic computations relating to load mass, size and weight.</w:t>
            </w:r>
          </w:p>
        </w:tc>
      </w:tr>
      <w:tr w:rsidTr="004927B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p>
        </w:tc>
      </w:tr>
      <w:tr w:rsidTr="004927B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4927B2" w:rsidP="004927B2">
            <w:pPr>
              <w:pStyle w:val="ListBullet"/>
            </w:pPr>
            <w:r w:rsidRPr="004927B2">
              <w:t>ask questions to clarify work task requirements</w:t>
            </w:r>
          </w:p>
          <w:p w:rsidR="00000000" w:rsidP="004927B2">
            <w:pPr>
              <w:pStyle w:val="ListBullet"/>
              <w:rPr>
                <w:lang w:val="en-NZ"/>
              </w:rPr>
            </w:pPr>
            <w:r w:rsidRPr="004927B2">
              <w:t>receive and relay information clearly using a two-way radio.</w:t>
            </w:r>
          </w:p>
        </w:tc>
      </w:tr>
      <w:tr w:rsidTr="004927B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p>
        </w:tc>
      </w:tr>
      <w:tr w:rsidTr="004927B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Reading skills to:</w:t>
            </w:r>
          </w:p>
        </w:tc>
        <w:tc>
          <w:tcPr>
            <w:tcW w:w="6877" w:type="dxa"/>
            <w:tcBorders>
              <w:top w:val="nil"/>
              <w:left w:val="nil"/>
              <w:bottom w:val="nil"/>
              <w:right w:val="nil"/>
            </w:tcBorders>
            <w:tcMar>
              <w:top w:w="0" w:type="dxa"/>
              <w:left w:w="62" w:type="dxa"/>
              <w:bottom w:w="0" w:type="dxa"/>
              <w:right w:w="62" w:type="dxa"/>
            </w:tcMar>
          </w:tcPr>
          <w:p w:rsidR="00000000" w:rsidRPr="004927B2" w:rsidP="004927B2">
            <w:pPr>
              <w:pStyle w:val="ListBullet"/>
            </w:pPr>
            <w:r w:rsidRPr="004927B2">
              <w:t xml:space="preserve">interpret Australian Dangerous Goods (ADG) markings and HAZCHEM signs </w:t>
            </w:r>
          </w:p>
          <w:p w:rsidR="00000000" w:rsidP="004927B2">
            <w:pPr>
              <w:pStyle w:val="ListBullet"/>
              <w:rPr>
                <w:lang w:val="en-NZ"/>
              </w:rPr>
            </w:pPr>
            <w:r w:rsidRPr="004927B2">
              <w:t>interpret information from maps and manufacturer specifications.</w:t>
            </w:r>
          </w:p>
        </w:tc>
      </w:tr>
      <w:tr w:rsidTr="004927B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p>
        </w:tc>
      </w:tr>
      <w:tr w:rsidTr="004927B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Writing skills to:</w:t>
            </w:r>
          </w:p>
        </w:tc>
        <w:tc>
          <w:tcPr>
            <w:tcW w:w="6877" w:type="dxa"/>
            <w:tcBorders>
              <w:top w:val="nil"/>
              <w:left w:val="nil"/>
              <w:bottom w:val="nil"/>
              <w:right w:val="nil"/>
            </w:tcBorders>
            <w:tcMar>
              <w:top w:w="0" w:type="dxa"/>
              <w:left w:w="62" w:type="dxa"/>
              <w:bottom w:w="0" w:type="dxa"/>
              <w:right w:w="62" w:type="dxa"/>
            </w:tcMar>
          </w:tcPr>
          <w:p w:rsidR="00000000" w:rsidP="004927B2">
            <w:pPr>
              <w:pStyle w:val="ListBullet"/>
              <w:rPr>
                <w:lang w:val="en-NZ"/>
              </w:rPr>
            </w:pPr>
            <w:r w:rsidRPr="004927B2">
              <w:t>record clear and accurate load computations.</w:t>
            </w:r>
          </w:p>
        </w:tc>
      </w:tr>
      <w:tr w:rsidTr="004927B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p>
        </w:tc>
      </w:tr>
      <w:tr w:rsidTr="004927B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Problem-solving skills to:</w:t>
            </w:r>
          </w:p>
        </w:tc>
        <w:tc>
          <w:tcPr>
            <w:tcW w:w="6877" w:type="dxa"/>
            <w:tcBorders>
              <w:top w:val="nil"/>
              <w:left w:val="nil"/>
              <w:bottom w:val="nil"/>
              <w:right w:val="nil"/>
            </w:tcBorders>
            <w:tcMar>
              <w:top w:w="0" w:type="dxa"/>
              <w:left w:w="62" w:type="dxa"/>
              <w:bottom w:w="0" w:type="dxa"/>
              <w:right w:w="62" w:type="dxa"/>
            </w:tcMar>
          </w:tcPr>
          <w:p w:rsidR="00000000" w:rsidRPr="004927B2" w:rsidP="004927B2">
            <w:pPr>
              <w:pStyle w:val="ListBullet"/>
            </w:pPr>
            <w:r w:rsidRPr="004927B2">
              <w:t>solve routine problems impacting on safety of load.</w:t>
            </w:r>
          </w:p>
        </w:tc>
      </w:tr>
    </w:tbl>
    <w:p w:rsidR="00000000" w:rsidRPr="004927B2" w:rsidP="004927B2">
      <w:pPr>
        <w:pStyle w:val="BodyText"/>
      </w:pPr>
    </w:p>
    <w:p w:rsidR="00000000" w:rsidRPr="004927B2" w:rsidP="004927B2">
      <w:pPr>
        <w:pStyle w:val="AllowPageBreak"/>
      </w:pPr>
    </w:p>
    <w:p w:rsidR="00000000" w:rsidRPr="004927B2" w:rsidP="004927B2">
      <w:pPr>
        <w:pStyle w:val="Heading1"/>
      </w:pPr>
      <w:bookmarkStart w:id="7" w:name="O_836778"/>
      <w:bookmarkEnd w:id="7"/>
      <w:r w:rsidRPr="004927B2">
        <w:t>Range of Conditions</w:t>
      </w:r>
    </w:p>
    <w:tbl>
      <w:tblPr>
        <w:tblW w:w="0" w:type="auto"/>
        <w:tblLayout w:type="fixed"/>
        <w:tblCellMar>
          <w:left w:w="62" w:type="dxa"/>
          <w:right w:w="62" w:type="dxa"/>
        </w:tblCellMar>
        <w:tblLook w:val="0000"/>
      </w:tblPr>
      <w:tblGrid>
        <w:gridCol w:w="2364"/>
        <w:gridCol w:w="6708"/>
      </w:tblGrid>
      <w:tr w:rsidTr="004927B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t>This section specifies work environments and conditions that may affect performance. Essential operating conditions that may be present (depending on the work situation, needs of the candidate, accessibility of the item, and local industry and regional co</w:t>
            </w:r>
            <w:r w:rsidRPr="004927B2">
              <w:t>ntexts) are included. Bold italicised wording, if used in the performance criteria, is detailed below.</w:t>
            </w:r>
          </w:p>
        </w:tc>
      </w:tr>
      <w:tr w:rsidTr="004927B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rPr>
                <w:rStyle w:val="BoldandItalics"/>
              </w:rPr>
              <w:t xml:space="preserve">Load transfer requirements </w:t>
            </w:r>
            <w:r w:rsidRPr="004927B2">
              <w:t>must include</w:t>
            </w:r>
            <w:r w:rsidRPr="004927B2">
              <w:rPr>
                <w:rStyle w:val="BoldandItalics"/>
              </w:rPr>
              <w:t>:</w:t>
            </w:r>
          </w:p>
        </w:tc>
        <w:tc>
          <w:tcPr>
            <w:tcW w:w="6708" w:type="dxa"/>
            <w:tcBorders>
              <w:top w:val="nil"/>
              <w:left w:val="nil"/>
              <w:bottom w:val="nil"/>
              <w:right w:val="nil"/>
            </w:tcBorders>
            <w:tcMar>
              <w:top w:w="0" w:type="dxa"/>
              <w:left w:w="62" w:type="dxa"/>
              <w:bottom w:w="0" w:type="dxa"/>
              <w:right w:w="62" w:type="dxa"/>
            </w:tcMar>
          </w:tcPr>
          <w:p w:rsidR="00000000" w:rsidRPr="004927B2" w:rsidP="004927B2">
            <w:pPr>
              <w:pStyle w:val="ListBullet"/>
            </w:pPr>
            <w:r w:rsidRPr="004927B2">
              <w:t>load shape</w:t>
            </w:r>
          </w:p>
          <w:p w:rsidR="00000000" w:rsidRPr="004927B2" w:rsidP="004927B2">
            <w:pPr>
              <w:pStyle w:val="ListBullet"/>
            </w:pPr>
            <w:r w:rsidRPr="004927B2">
              <w:t>load size</w:t>
            </w:r>
          </w:p>
          <w:p w:rsidR="00000000" w:rsidRPr="004927B2" w:rsidP="004927B2">
            <w:pPr>
              <w:pStyle w:val="ListBullet"/>
            </w:pPr>
            <w:r w:rsidRPr="004927B2">
              <w:t>load weight</w:t>
            </w:r>
          </w:p>
          <w:p w:rsidR="00000000" w:rsidRPr="004927B2" w:rsidP="004927B2">
            <w:pPr>
              <w:pStyle w:val="ListBullet"/>
            </w:pPr>
            <w:r w:rsidRPr="004927B2">
              <w:t>route conditions</w:t>
            </w:r>
          </w:p>
          <w:p w:rsidR="00000000" w:rsidP="004927B2">
            <w:pPr>
              <w:pStyle w:val="ListBullet"/>
              <w:rPr>
                <w:lang w:val="en-NZ"/>
              </w:rPr>
            </w:pPr>
            <w:r w:rsidRPr="004927B2">
              <w:t>work site location for load transfer.</w:t>
            </w:r>
          </w:p>
        </w:tc>
      </w:tr>
      <w:tr w:rsidTr="004927B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p>
        </w:tc>
      </w:tr>
      <w:tr w:rsidTr="004927B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rPr>
                <w:rStyle w:val="BoldandItalics"/>
              </w:rPr>
              <w:t>Appropriate persons</w:t>
            </w:r>
            <w:r w:rsidRPr="004927B2">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4927B2" w:rsidP="004927B2">
            <w:pPr>
              <w:pStyle w:val="ListBullet"/>
            </w:pPr>
            <w:r w:rsidRPr="004927B2">
              <w:t>experienced colleague</w:t>
            </w:r>
          </w:p>
          <w:p w:rsidR="00000000" w:rsidP="004927B2">
            <w:pPr>
              <w:pStyle w:val="ListBullet"/>
              <w:rPr>
                <w:lang w:val="en-NZ"/>
              </w:rPr>
            </w:pPr>
            <w:r w:rsidRPr="004927B2">
              <w:t>supervisor or line manager.</w:t>
            </w:r>
          </w:p>
        </w:tc>
      </w:tr>
      <w:tr w:rsidTr="004927B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p>
        </w:tc>
      </w:tr>
      <w:tr w:rsidTr="004927B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rPr>
                <w:rStyle w:val="BoldandItalics"/>
              </w:rPr>
              <w:t xml:space="preserve">Transport equipment </w:t>
            </w:r>
            <w:r w:rsidRPr="004927B2">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4927B2" w:rsidP="004927B2">
            <w:pPr>
              <w:pStyle w:val="ListBullet"/>
            </w:pPr>
            <w:r w:rsidRPr="004927B2">
              <w:t>boat</w:t>
            </w:r>
          </w:p>
          <w:p w:rsidR="00000000" w:rsidRPr="004927B2" w:rsidP="004927B2">
            <w:pPr>
              <w:pStyle w:val="ListBullet"/>
            </w:pPr>
            <w:r w:rsidRPr="004927B2">
              <w:t>car</w:t>
            </w:r>
          </w:p>
          <w:p w:rsidR="00000000" w:rsidRPr="004927B2" w:rsidP="004927B2">
            <w:pPr>
              <w:pStyle w:val="ListBullet"/>
            </w:pPr>
            <w:r w:rsidRPr="004927B2">
              <w:t>four-wheel drive vehicle (with or without trailer)</w:t>
            </w:r>
          </w:p>
          <w:p w:rsidR="00000000" w:rsidRPr="004927B2" w:rsidP="004927B2">
            <w:pPr>
              <w:pStyle w:val="ListBullet"/>
            </w:pPr>
            <w:r w:rsidRPr="004927B2">
              <w:t>light truck</w:t>
            </w:r>
          </w:p>
          <w:p w:rsidR="00000000" w:rsidRPr="004927B2" w:rsidP="004927B2">
            <w:pPr>
              <w:pStyle w:val="ListBullet"/>
            </w:pPr>
            <w:r w:rsidRPr="004927B2">
              <w:t>quad bike</w:t>
            </w:r>
          </w:p>
          <w:p w:rsidR="00000000" w:rsidP="004927B2">
            <w:pPr>
              <w:pStyle w:val="ListBullet"/>
              <w:rPr>
                <w:lang w:val="en-NZ"/>
              </w:rPr>
            </w:pPr>
            <w:r w:rsidRPr="004927B2">
              <w:t>two-wheel drive vehicle (with or without trailer).</w:t>
            </w:r>
          </w:p>
        </w:tc>
      </w:tr>
      <w:tr w:rsidTr="004927B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p>
        </w:tc>
      </w:tr>
      <w:tr w:rsidTr="004927B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927B2">
            <w:pPr>
              <w:pStyle w:val="BodyText"/>
              <w:rPr>
                <w:lang w:val="en-NZ"/>
              </w:rPr>
            </w:pPr>
            <w:r w:rsidRPr="004927B2">
              <w:rPr>
                <w:rStyle w:val="BoldandItalics"/>
              </w:rPr>
              <w:t>Lifting aids and equipment</w:t>
            </w:r>
            <w:r w:rsidRPr="004927B2">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4927B2" w:rsidP="004927B2">
            <w:pPr>
              <w:pStyle w:val="ListBullet"/>
            </w:pPr>
            <w:r w:rsidRPr="004927B2">
              <w:t>block and tackle</w:t>
            </w:r>
          </w:p>
          <w:p w:rsidR="00000000" w:rsidRPr="004927B2" w:rsidP="004927B2">
            <w:pPr>
              <w:pStyle w:val="ListBullet"/>
            </w:pPr>
            <w:r w:rsidRPr="004927B2">
              <w:t>hoist</w:t>
            </w:r>
          </w:p>
          <w:p w:rsidR="00000000" w:rsidRPr="004927B2" w:rsidP="004927B2">
            <w:pPr>
              <w:pStyle w:val="ListBullet"/>
            </w:pPr>
            <w:r w:rsidRPr="004927B2">
              <w:t>hydraulic lift</w:t>
            </w:r>
          </w:p>
          <w:p w:rsidR="00000000" w:rsidRPr="004927B2" w:rsidP="004927B2">
            <w:pPr>
              <w:pStyle w:val="ListBullet"/>
            </w:pPr>
            <w:r w:rsidRPr="004927B2">
              <w:t>jack</w:t>
            </w:r>
          </w:p>
          <w:p w:rsidR="00000000" w:rsidRPr="004927B2" w:rsidP="004927B2">
            <w:pPr>
              <w:pStyle w:val="ListBullet"/>
            </w:pPr>
            <w:r w:rsidRPr="004927B2">
              <w:t>stacker.</w:t>
            </w:r>
          </w:p>
        </w:tc>
      </w:tr>
    </w:tbl>
    <w:p w:rsidR="00000000" w:rsidRPr="004927B2" w:rsidP="004927B2">
      <w:pPr>
        <w:pStyle w:val="BodyText"/>
      </w:pPr>
    </w:p>
    <w:p w:rsidR="00000000" w:rsidRPr="004927B2" w:rsidP="004927B2">
      <w:pPr>
        <w:pStyle w:val="AllowPageBreak"/>
      </w:pPr>
    </w:p>
    <w:p w:rsidR="00000000" w:rsidRPr="004927B2" w:rsidP="004927B2">
      <w:pPr>
        <w:pStyle w:val="Heading1"/>
      </w:pPr>
      <w:bookmarkStart w:id="8" w:name="O_836777"/>
      <w:bookmarkEnd w:id="8"/>
      <w:r w:rsidRPr="004927B2">
        <w:t>Unit Mapping Information</w:t>
      </w:r>
    </w:p>
    <w:p w:rsidR="00000000" w:rsidRPr="004927B2" w:rsidP="006D449F">
      <w:pPr>
        <w:pStyle w:val="BodyText"/>
      </w:pPr>
      <w:r w:rsidRPr="004927B2">
        <w:t>CP</w:t>
      </w:r>
      <w:r w:rsidRPr="004927B2">
        <w:t>PSIS3018A Transfer personnel and loads</w:t>
      </w:r>
    </w:p>
    <w:p w:rsidR="00000000" w:rsidRPr="004927B2" w:rsidP="004927B2">
      <w:pPr>
        <w:pStyle w:val="Heading1"/>
      </w:pPr>
      <w:bookmarkStart w:id="9" w:name="O_836770"/>
      <w:bookmarkEnd w:id="9"/>
      <w:r w:rsidRPr="004927B2">
        <w:t>Links</w:t>
      </w:r>
    </w:p>
    <w:p w:rsidR="00000000" w:rsidRPr="004927B2" w:rsidP="006D449F">
      <w:pPr>
        <w:pStyle w:val="BodyText"/>
      </w:pPr>
      <w:r w:rsidRPr="004927B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E501A">
        <w:rPr>
          <w:rStyle w:val="Hyperlink"/>
        </w:rPr>
        <w:t>https://vetnet.gov.au/Pages/TrainingDocs.aspx?q=6f3f9672-30e8-4835-b348-205dfcf13d9b</w:t>
      </w:r>
      <w:r>
        <w:fldChar w:fldCharType="end"/>
      </w:r>
    </w:p>
    <w:p w:rsidR="00000000" w:rsidRPr="004927B2" w:rsidP="004927B2"/>
    <w:sectPr w:rsidSect="004927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7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7B2" w:rsidRPr="006D449F" w:rsidP="006D44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7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9F" w:rsidP="004927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449F" w:rsidP="004927B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6D449F" w:rsidP="004927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7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27B2" w:rsidRPr="006D449F" w:rsidP="006D44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7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9F" w:rsidRPr="002D2AF8" w:rsidP="004927B2">
    <w:pPr>
      <w:pStyle w:val="Header"/>
      <w:framePr w:wrap="around"/>
    </w:pPr>
    <w:r>
      <w:fldChar w:fldCharType="begin"/>
    </w:r>
    <w:r>
      <w:instrText xml:space="preserve"> TITLE   \* MERGEFORMAT </w:instrText>
    </w:r>
    <w:r>
      <w:fldChar w:fldCharType="separate"/>
    </w:r>
    <w:r>
      <w:t>CPPSIS3018 Transfer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6D449F" w:rsidP="004927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5C43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6839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7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27B2"/>
    <w:pPr>
      <w:spacing w:before="360" w:after="60"/>
      <w:outlineLvl w:val="0"/>
    </w:pPr>
    <w:rPr>
      <w:sz w:val="32"/>
    </w:rPr>
  </w:style>
  <w:style w:type="paragraph" w:styleId="Heading2">
    <w:name w:val="heading 2"/>
    <w:basedOn w:val="HeadingBase"/>
    <w:next w:val="BodyText"/>
    <w:link w:val="Heading2Char"/>
    <w:qFormat/>
    <w:rsid w:val="004927B2"/>
    <w:pPr>
      <w:keepLines/>
      <w:spacing w:before="240" w:after="120"/>
      <w:outlineLvl w:val="1"/>
    </w:pPr>
    <w:rPr>
      <w:sz w:val="28"/>
      <w:szCs w:val="40"/>
    </w:rPr>
  </w:style>
  <w:style w:type="paragraph" w:styleId="Heading3">
    <w:name w:val="heading 3"/>
    <w:basedOn w:val="HeadingBase"/>
    <w:next w:val="BodyText"/>
    <w:link w:val="Heading3Char"/>
    <w:qFormat/>
    <w:rsid w:val="004927B2"/>
    <w:pPr>
      <w:spacing w:before="180" w:after="120"/>
      <w:outlineLvl w:val="2"/>
    </w:pPr>
    <w:rPr>
      <w:spacing w:val="-10"/>
      <w:kern w:val="32"/>
    </w:rPr>
  </w:style>
  <w:style w:type="paragraph" w:styleId="Heading4">
    <w:name w:val="heading 4"/>
    <w:basedOn w:val="HeadingBase"/>
    <w:next w:val="BodyText"/>
    <w:link w:val="Heading4Char"/>
    <w:qFormat/>
    <w:rsid w:val="004927B2"/>
    <w:pPr>
      <w:spacing w:before="160" w:after="120"/>
      <w:outlineLvl w:val="3"/>
    </w:pPr>
    <w:rPr>
      <w:sz w:val="22"/>
    </w:rPr>
  </w:style>
  <w:style w:type="paragraph" w:styleId="Heading5">
    <w:name w:val="heading 5"/>
    <w:basedOn w:val="HeadingBase"/>
    <w:next w:val="Normal"/>
    <w:link w:val="Heading5Char"/>
    <w:qFormat/>
    <w:rsid w:val="004927B2"/>
    <w:pPr>
      <w:spacing w:before="80"/>
      <w:outlineLvl w:val="4"/>
    </w:pPr>
    <w:rPr>
      <w:color w:val="918585"/>
      <w:sz w:val="20"/>
    </w:rPr>
  </w:style>
  <w:style w:type="paragraph" w:styleId="Heading6">
    <w:name w:val="heading 6"/>
    <w:basedOn w:val="HeadingBase"/>
    <w:next w:val="Normal"/>
    <w:link w:val="Heading6Char"/>
    <w:qFormat/>
    <w:rsid w:val="004927B2"/>
    <w:pPr>
      <w:spacing w:before="60"/>
      <w:outlineLvl w:val="5"/>
    </w:pPr>
    <w:rPr>
      <w:color w:val="918585"/>
      <w:sz w:val="20"/>
    </w:rPr>
  </w:style>
  <w:style w:type="paragraph" w:styleId="Heading7">
    <w:name w:val="heading 7"/>
    <w:basedOn w:val="Normal"/>
    <w:next w:val="Normal"/>
    <w:link w:val="Heading7Char"/>
    <w:qFormat/>
    <w:rsid w:val="004927B2"/>
    <w:pPr>
      <w:ind w:left="720"/>
      <w:outlineLvl w:val="6"/>
    </w:pPr>
    <w:rPr>
      <w:i/>
    </w:rPr>
  </w:style>
  <w:style w:type="paragraph" w:styleId="Heading8">
    <w:name w:val="heading 8"/>
    <w:basedOn w:val="Normal"/>
    <w:next w:val="Normal"/>
    <w:link w:val="Heading8Char"/>
    <w:qFormat/>
    <w:rsid w:val="004927B2"/>
    <w:pPr>
      <w:ind w:left="720"/>
      <w:outlineLvl w:val="7"/>
    </w:pPr>
    <w:rPr>
      <w:i/>
    </w:rPr>
  </w:style>
  <w:style w:type="paragraph" w:styleId="Heading9">
    <w:name w:val="heading 9"/>
    <w:basedOn w:val="Normal"/>
    <w:next w:val="Normal"/>
    <w:link w:val="Heading9Char"/>
    <w:qFormat/>
    <w:rsid w:val="004927B2"/>
    <w:pPr>
      <w:ind w:left="720"/>
      <w:outlineLvl w:val="8"/>
    </w:pPr>
    <w:rPr>
      <w:i/>
    </w:rPr>
  </w:style>
  <w:style w:type="character" w:default="1" w:styleId="DefaultParagraphFont">
    <w:name w:val="Default Paragraph Font"/>
    <w:uiPriority w:val="1"/>
    <w:unhideWhenUsed/>
    <w:rsid w:val="004927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7B2"/>
  </w:style>
  <w:style w:type="character" w:customStyle="1" w:styleId="Heading1Char">
    <w:name w:val="Heading 1 Char"/>
    <w:basedOn w:val="DefaultParagraphFont"/>
    <w:link w:val="Heading1"/>
    <w:rsid w:val="004927B2"/>
    <w:rPr>
      <w:rFonts w:ascii="Times New Roman" w:eastAsia="Times New Roman" w:hAnsi="Times New Roman" w:cs="Times New Roman"/>
      <w:b/>
      <w:sz w:val="32"/>
      <w:szCs w:val="20"/>
      <w:lang w:eastAsia="en-US"/>
    </w:rPr>
  </w:style>
  <w:style w:type="paragraph" w:styleId="BodyText">
    <w:name w:val="Body Text"/>
    <w:basedOn w:val="Normal"/>
    <w:link w:val="BodyTextChar"/>
    <w:rsid w:val="004927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27B2"/>
    <w:rPr>
      <w:rFonts w:ascii="Times New Roman" w:eastAsia="Times New Roman" w:hAnsi="Times New Roman" w:cs="Times New Roman"/>
      <w:sz w:val="24"/>
      <w:lang w:eastAsia="en-US"/>
    </w:rPr>
  </w:style>
  <w:style w:type="paragraph" w:styleId="ListBullet">
    <w:name w:val="List Bullet"/>
    <w:basedOn w:val="List"/>
    <w:rsid w:val="004927B2"/>
    <w:pPr>
      <w:numPr>
        <w:numId w:val="11"/>
      </w:numPr>
      <w:tabs>
        <w:tab w:val="clear" w:pos="340"/>
      </w:tabs>
      <w:spacing w:before="40" w:after="40"/>
    </w:pPr>
  </w:style>
  <w:style w:type="character" w:customStyle="1" w:styleId="SpecialBold">
    <w:name w:val="Special Bold"/>
    <w:basedOn w:val="DefaultParagraphFont"/>
    <w:rsid w:val="004927B2"/>
    <w:rPr>
      <w:b/>
      <w:spacing w:val="0"/>
    </w:rPr>
  </w:style>
  <w:style w:type="paragraph" w:customStyle="1" w:styleId="SuperHeading">
    <w:name w:val="SuperHeading"/>
    <w:basedOn w:val="Normal"/>
    <w:rsid w:val="004927B2"/>
    <w:pPr>
      <w:spacing w:before="240" w:after="120"/>
      <w:outlineLvl w:val="0"/>
    </w:pPr>
    <w:rPr>
      <w:rFonts w:ascii="Times New Roman" w:hAnsi="Times New Roman"/>
      <w:b/>
      <w:sz w:val="32"/>
    </w:rPr>
  </w:style>
  <w:style w:type="paragraph" w:customStyle="1" w:styleId="AllowPageBreak">
    <w:name w:val="AllowPageBreak"/>
    <w:rsid w:val="004927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927B2"/>
    <w:rPr>
      <w:b/>
      <w:i/>
      <w:u w:val="none"/>
    </w:rPr>
  </w:style>
  <w:style w:type="character" w:customStyle="1" w:styleId="Heading2Char">
    <w:name w:val="Heading 2 Char"/>
    <w:basedOn w:val="DefaultParagraphFont"/>
    <w:link w:val="Heading2"/>
    <w:rsid w:val="004927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7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7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7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7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7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27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27B2"/>
    <w:rPr>
      <w:rFonts w:ascii="Courier New" w:eastAsia="Times New Roman" w:hAnsi="Courier New" w:cs="Times New Roman"/>
      <w:i/>
      <w:szCs w:val="20"/>
      <w:lang w:eastAsia="en-US"/>
    </w:rPr>
  </w:style>
  <w:style w:type="paragraph" w:customStyle="1" w:styleId="HeadingBase">
    <w:name w:val="Heading Base"/>
    <w:rsid w:val="004927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7B2"/>
    <w:pPr>
      <w:tabs>
        <w:tab w:val="right" w:leader="dot" w:pos="9072"/>
      </w:tabs>
      <w:ind w:left="567"/>
    </w:pPr>
    <w:rPr>
      <w:szCs w:val="22"/>
    </w:rPr>
  </w:style>
  <w:style w:type="paragraph" w:customStyle="1" w:styleId="TOCBase">
    <w:name w:val="TOC Base"/>
    <w:rsid w:val="004927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7B2"/>
    <w:pPr>
      <w:tabs>
        <w:tab w:val="right" w:leader="dot" w:pos="9072"/>
      </w:tabs>
      <w:spacing w:before="40" w:after="40"/>
      <w:ind w:left="284"/>
    </w:pPr>
    <w:rPr>
      <w:rFonts w:ascii="Times New Roman" w:hAnsi="Times New Roman"/>
    </w:rPr>
  </w:style>
  <w:style w:type="paragraph" w:styleId="TOC1">
    <w:name w:val="toc 1"/>
    <w:basedOn w:val="TOCBase"/>
    <w:next w:val="Normal"/>
    <w:rsid w:val="004927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27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7B2"/>
    <w:rPr>
      <w:rFonts w:ascii="Times New Roman" w:eastAsia="Times New Roman" w:hAnsi="Times New Roman" w:cs="Times New Roman"/>
      <w:sz w:val="16"/>
      <w:lang w:eastAsia="en-US"/>
    </w:rPr>
  </w:style>
  <w:style w:type="paragraph" w:styleId="Title">
    <w:name w:val="Title"/>
    <w:basedOn w:val="HeadingBase"/>
    <w:link w:val="TitleChar"/>
    <w:qFormat/>
    <w:rsid w:val="004927B2"/>
    <w:pPr>
      <w:spacing w:before="5040"/>
      <w:jc w:val="center"/>
    </w:pPr>
    <w:rPr>
      <w:sz w:val="48"/>
      <w:szCs w:val="72"/>
      <w:lang w:val="en-US"/>
    </w:rPr>
  </w:style>
  <w:style w:type="character" w:customStyle="1" w:styleId="TitleChar">
    <w:name w:val="Title Char"/>
    <w:basedOn w:val="DefaultParagraphFont"/>
    <w:link w:val="Title"/>
    <w:rsid w:val="004927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7B2"/>
    <w:pPr>
      <w:tabs>
        <w:tab w:val="left" w:pos="3600"/>
        <w:tab w:val="left" w:pos="3958"/>
      </w:tabs>
    </w:pPr>
  </w:style>
  <w:style w:type="paragraph" w:styleId="List">
    <w:name w:val="List"/>
    <w:basedOn w:val="BodyText"/>
    <w:next w:val="BodyText"/>
    <w:rsid w:val="004927B2"/>
    <w:pPr>
      <w:tabs>
        <w:tab w:val="left" w:pos="340"/>
      </w:tabs>
      <w:spacing w:before="60" w:after="60"/>
      <w:ind w:left="340" w:hanging="340"/>
    </w:pPr>
  </w:style>
  <w:style w:type="paragraph" w:customStyle="1" w:styleId="Note">
    <w:name w:val="Note"/>
    <w:basedOn w:val="BodyText"/>
    <w:rsid w:val="004927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27B2"/>
    <w:pPr>
      <w:framePr w:wrap="auto" w:hAnchor="text" w:y="6049"/>
    </w:pPr>
    <w:rPr>
      <w:color w:val="000000"/>
      <w:sz w:val="40"/>
    </w:rPr>
  </w:style>
  <w:style w:type="paragraph" w:customStyle="1" w:styleId="TOCTitle">
    <w:name w:val="TOCTitle"/>
    <w:basedOn w:val="Heading1"/>
    <w:rsid w:val="004927B2"/>
    <w:pPr>
      <w:spacing w:after="240"/>
      <w:jc w:val="center"/>
      <w:outlineLvl w:val="9"/>
    </w:pPr>
    <w:rPr>
      <w:caps/>
    </w:rPr>
  </w:style>
  <w:style w:type="paragraph" w:customStyle="1" w:styleId="Version">
    <w:name w:val="Version"/>
    <w:rsid w:val="004927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27B2"/>
    <w:pPr>
      <w:numPr>
        <w:numId w:val="12"/>
      </w:numPr>
      <w:tabs>
        <w:tab w:val="clear" w:pos="680"/>
      </w:tabs>
    </w:pPr>
  </w:style>
  <w:style w:type="paragraph" w:styleId="Index1">
    <w:name w:val="index 1"/>
    <w:basedOn w:val="Normal"/>
    <w:next w:val="Normal"/>
    <w:semiHidden/>
    <w:rsid w:val="004927B2"/>
    <w:pPr>
      <w:keepNext w:val="0"/>
      <w:tabs>
        <w:tab w:val="right" w:pos="4176"/>
      </w:tabs>
      <w:ind w:left="198" w:hanging="198"/>
    </w:pPr>
    <w:rPr>
      <w:rFonts w:ascii="Garamond" w:hAnsi="Garamond"/>
    </w:rPr>
  </w:style>
  <w:style w:type="paragraph" w:styleId="IndexHeading">
    <w:name w:val="index heading"/>
    <w:basedOn w:val="Normal"/>
    <w:next w:val="Index1"/>
    <w:semiHidden/>
    <w:rsid w:val="004927B2"/>
    <w:pPr>
      <w:spacing w:before="120" w:after="120"/>
    </w:pPr>
    <w:rPr>
      <w:rFonts w:ascii="Arial" w:hAnsi="Arial"/>
      <w:b/>
      <w:color w:val="918585"/>
      <w:sz w:val="24"/>
    </w:rPr>
  </w:style>
  <w:style w:type="paragraph" w:styleId="Header">
    <w:name w:val="header"/>
    <w:basedOn w:val="Normal"/>
    <w:link w:val="HeaderChar"/>
    <w:rsid w:val="004927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7B2"/>
    <w:rPr>
      <w:rFonts w:ascii="Times New Roman" w:eastAsia="Times New Roman" w:hAnsi="Times New Roman" w:cs="Times New Roman"/>
      <w:sz w:val="16"/>
      <w:szCs w:val="20"/>
      <w:lang w:val="en-GB" w:eastAsia="en-US"/>
    </w:rPr>
  </w:style>
  <w:style w:type="paragraph" w:customStyle="1" w:styleId="Chapter">
    <w:name w:val="Chapter"/>
    <w:basedOn w:val="Normal"/>
    <w:rsid w:val="004927B2"/>
    <w:pPr>
      <w:spacing w:before="240"/>
    </w:pPr>
    <w:rPr>
      <w:rFonts w:ascii="Times New Roman" w:hAnsi="Times New Roman"/>
      <w:smallCaps/>
      <w:spacing w:val="80"/>
      <w:sz w:val="28"/>
    </w:rPr>
  </w:style>
  <w:style w:type="paragraph" w:customStyle="1" w:styleId="InChapter">
    <w:name w:val="InChapter"/>
    <w:basedOn w:val="Heading3"/>
    <w:rsid w:val="004927B2"/>
    <w:pPr>
      <w:spacing w:after="240"/>
      <w:outlineLvl w:val="9"/>
    </w:pPr>
    <w:rPr>
      <w:noProof/>
    </w:rPr>
  </w:style>
  <w:style w:type="paragraph" w:styleId="Index2">
    <w:name w:val="index 2"/>
    <w:basedOn w:val="Normal"/>
    <w:next w:val="Normal"/>
    <w:semiHidden/>
    <w:rsid w:val="004927B2"/>
    <w:pPr>
      <w:tabs>
        <w:tab w:val="right" w:pos="4176"/>
      </w:tabs>
      <w:ind w:left="568" w:hanging="284"/>
    </w:pPr>
    <w:rPr>
      <w:rFonts w:ascii="Garamond" w:hAnsi="Garamond"/>
    </w:rPr>
  </w:style>
  <w:style w:type="paragraph" w:customStyle="1" w:styleId="Byline">
    <w:name w:val="Byline"/>
    <w:rsid w:val="004927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7B2"/>
    <w:pPr>
      <w:tabs>
        <w:tab w:val="clear" w:pos="3600"/>
        <w:tab w:val="clear" w:pos="3958"/>
      </w:tabs>
      <w:jc w:val="right"/>
    </w:pPr>
  </w:style>
  <w:style w:type="character" w:styleId="Emphasis">
    <w:name w:val="Emphasis"/>
    <w:basedOn w:val="DefaultParagraphFont"/>
    <w:qFormat/>
    <w:rsid w:val="004927B2"/>
    <w:rPr>
      <w:i/>
    </w:rPr>
  </w:style>
  <w:style w:type="paragraph" w:styleId="Caption">
    <w:name w:val="caption"/>
    <w:basedOn w:val="BodyText"/>
    <w:next w:val="Normal"/>
    <w:qFormat/>
    <w:rsid w:val="004927B2"/>
    <w:pPr>
      <w:framePr w:w="2268" w:hSpace="181" w:vSpace="181" w:wrap="around" w:vAnchor="text" w:hAnchor="page" w:x="1135" w:y="285" w:anchorLock="1"/>
    </w:pPr>
    <w:rPr>
      <w:i/>
    </w:rPr>
  </w:style>
  <w:style w:type="paragraph" w:customStyle="1" w:styleId="MiniTOCTitle">
    <w:name w:val="MiniTOCTitle"/>
    <w:basedOn w:val="Heading4"/>
    <w:rsid w:val="004927B2"/>
    <w:pPr>
      <w:spacing w:before="240"/>
      <w:outlineLvl w:val="9"/>
    </w:pPr>
    <w:rPr>
      <w:noProof/>
      <w:sz w:val="24"/>
    </w:rPr>
  </w:style>
  <w:style w:type="paragraph" w:customStyle="1" w:styleId="MiniTOCItem">
    <w:name w:val="MiniTOCItem"/>
    <w:basedOn w:val="ListBullet"/>
    <w:rsid w:val="004927B2"/>
    <w:pPr>
      <w:numPr>
        <w:numId w:val="0"/>
      </w:numPr>
      <w:tabs>
        <w:tab w:val="right" w:leader="dot" w:pos="6521"/>
      </w:tabs>
      <w:spacing w:before="0" w:after="0"/>
    </w:pPr>
  </w:style>
  <w:style w:type="paragraph" w:customStyle="1" w:styleId="TOFTitle">
    <w:name w:val="TOFTitle"/>
    <w:basedOn w:val="TOCTitle"/>
    <w:rsid w:val="004927B2"/>
  </w:style>
  <w:style w:type="paragraph" w:styleId="TableofFigures">
    <w:name w:val="table of figures"/>
    <w:basedOn w:val="Normal"/>
    <w:next w:val="Normal"/>
    <w:semiHidden/>
    <w:rsid w:val="004927B2"/>
    <w:pPr>
      <w:tabs>
        <w:tab w:val="right" w:leader="dot" w:pos="9072"/>
      </w:tabs>
      <w:ind w:left="970" w:hanging="403"/>
    </w:pPr>
    <w:rPr>
      <w:rFonts w:ascii="Times New Roman" w:hAnsi="Times New Roman"/>
      <w:b/>
    </w:rPr>
  </w:style>
  <w:style w:type="paragraph" w:styleId="ListNumber">
    <w:name w:val="List Number"/>
    <w:basedOn w:val="List"/>
    <w:rsid w:val="004927B2"/>
    <w:pPr>
      <w:numPr>
        <w:numId w:val="14"/>
      </w:numPr>
      <w:tabs>
        <w:tab w:val="clear" w:pos="340"/>
      </w:tabs>
    </w:pPr>
  </w:style>
  <w:style w:type="character" w:customStyle="1" w:styleId="WingdingSymbols">
    <w:name w:val="Wingding Symbols"/>
    <w:rsid w:val="004927B2"/>
    <w:rPr>
      <w:rFonts w:ascii="Wingdings" w:hAnsi="Wingdings"/>
    </w:rPr>
  </w:style>
  <w:style w:type="paragraph" w:customStyle="1" w:styleId="TableHeading">
    <w:name w:val="Table Heading"/>
    <w:basedOn w:val="HeadingBase"/>
    <w:rsid w:val="004927B2"/>
    <w:pPr>
      <w:keepLines/>
      <w:pBdr>
        <w:bottom w:val="single" w:sz="6" w:space="1" w:color="918585"/>
      </w:pBdr>
      <w:spacing w:before="240"/>
    </w:pPr>
  </w:style>
  <w:style w:type="character" w:customStyle="1" w:styleId="HotSpot">
    <w:name w:val="HotSpot"/>
    <w:rsid w:val="004927B2"/>
    <w:rPr>
      <w:color w:val="0033CC"/>
      <w:u w:val="none"/>
    </w:rPr>
  </w:style>
  <w:style w:type="paragraph" w:customStyle="1" w:styleId="BodyTextRight">
    <w:name w:val="Body Text Right"/>
    <w:basedOn w:val="BodyText"/>
    <w:rsid w:val="004927B2"/>
    <w:pPr>
      <w:spacing w:before="0" w:after="0"/>
      <w:jc w:val="right"/>
    </w:pPr>
  </w:style>
  <w:style w:type="paragraph" w:styleId="Index3">
    <w:name w:val="index 3"/>
    <w:basedOn w:val="ListNumber2"/>
    <w:next w:val="Normal"/>
    <w:semiHidden/>
    <w:rsid w:val="004927B2"/>
    <w:pPr>
      <w:numPr>
        <w:numId w:val="0"/>
      </w:numPr>
      <w:tabs>
        <w:tab w:val="right" w:leader="dot" w:pos="4176"/>
      </w:tabs>
    </w:pPr>
  </w:style>
  <w:style w:type="paragraph" w:styleId="ListNumber2">
    <w:name w:val="List Number 2"/>
    <w:basedOn w:val="List2"/>
    <w:rsid w:val="004927B2"/>
    <w:pPr>
      <w:numPr>
        <w:numId w:val="9"/>
      </w:numPr>
      <w:tabs>
        <w:tab w:val="clear" w:pos="1060"/>
      </w:tabs>
    </w:pPr>
  </w:style>
  <w:style w:type="paragraph" w:customStyle="1" w:styleId="MarginNote">
    <w:name w:val="Margin Note"/>
    <w:basedOn w:val="BodyText"/>
    <w:rsid w:val="004927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7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7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27B2"/>
    <w:rPr>
      <w:sz w:val="32"/>
    </w:rPr>
  </w:style>
  <w:style w:type="paragraph" w:customStyle="1" w:styleId="HeadingProcedure">
    <w:name w:val="Heading Procedure"/>
    <w:basedOn w:val="HeadingBase"/>
    <w:next w:val="Normal"/>
    <w:rsid w:val="004927B2"/>
    <w:pPr>
      <w:tabs>
        <w:tab w:val="left" w:pos="0"/>
      </w:tabs>
      <w:spacing w:before="120" w:after="60"/>
    </w:pPr>
    <w:rPr>
      <w:i/>
      <w:color w:val="918585"/>
      <w:sz w:val="22"/>
    </w:rPr>
  </w:style>
  <w:style w:type="paragraph" w:customStyle="1" w:styleId="TableBodyText">
    <w:name w:val="Table Body Text"/>
    <w:basedOn w:val="BodyText"/>
    <w:rsid w:val="004927B2"/>
    <w:pPr>
      <w:spacing w:before="60" w:after="60"/>
    </w:pPr>
  </w:style>
  <w:style w:type="paragraph" w:styleId="ListContinue">
    <w:name w:val="List Continue"/>
    <w:basedOn w:val="List"/>
    <w:rsid w:val="004927B2"/>
    <w:pPr>
      <w:ind w:firstLine="0"/>
    </w:pPr>
  </w:style>
  <w:style w:type="paragraph" w:customStyle="1" w:styleId="ListNote">
    <w:name w:val="List Note"/>
    <w:basedOn w:val="List"/>
    <w:rsid w:val="004927B2"/>
    <w:pPr>
      <w:pBdr>
        <w:top w:val="single" w:sz="6" w:space="2" w:color="918585"/>
        <w:bottom w:val="single" w:sz="6" w:space="2" w:color="918585"/>
      </w:pBdr>
      <w:tabs>
        <w:tab w:val="left" w:pos="1021"/>
      </w:tabs>
      <w:ind w:firstLine="0"/>
    </w:pPr>
  </w:style>
  <w:style w:type="paragraph" w:customStyle="1" w:styleId="Warning">
    <w:name w:val="Warning"/>
    <w:basedOn w:val="BodyText"/>
    <w:rsid w:val="004927B2"/>
    <w:pPr>
      <w:shd w:val="clear" w:color="auto" w:fill="D9D9D9"/>
      <w:tabs>
        <w:tab w:val="left" w:pos="992"/>
      </w:tabs>
      <w:ind w:left="119" w:right="119"/>
    </w:pPr>
    <w:rPr>
      <w:sz w:val="20"/>
    </w:rPr>
  </w:style>
  <w:style w:type="paragraph" w:customStyle="1" w:styleId="MarginIcons">
    <w:name w:val="Margin Icons"/>
    <w:basedOn w:val="BodyText"/>
    <w:rsid w:val="004927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7B2"/>
    <w:rPr>
      <w:rFonts w:ascii="Courier New" w:hAnsi="Courier New"/>
    </w:rPr>
  </w:style>
  <w:style w:type="paragraph" w:customStyle="1" w:styleId="NoteBullet">
    <w:name w:val="Note Bullet"/>
    <w:basedOn w:val="Note"/>
    <w:rsid w:val="004927B2"/>
    <w:pPr>
      <w:tabs>
        <w:tab w:val="clear" w:pos="680"/>
      </w:tabs>
      <w:spacing w:before="60" w:after="60"/>
    </w:pPr>
  </w:style>
  <w:style w:type="paragraph" w:customStyle="1" w:styleId="SubHeading2">
    <w:name w:val="SubHeading2"/>
    <w:basedOn w:val="HeadingBase"/>
    <w:rsid w:val="004927B2"/>
    <w:pPr>
      <w:spacing w:before="240" w:after="60"/>
    </w:pPr>
    <w:rPr>
      <w:sz w:val="20"/>
    </w:rPr>
  </w:style>
  <w:style w:type="paragraph" w:customStyle="1" w:styleId="SubHeading1">
    <w:name w:val="SubHeading1"/>
    <w:basedOn w:val="HeadingBase"/>
    <w:rsid w:val="004927B2"/>
    <w:pPr>
      <w:spacing w:before="240" w:after="60"/>
    </w:pPr>
    <w:rPr>
      <w:color w:val="918585"/>
      <w:sz w:val="22"/>
    </w:rPr>
  </w:style>
  <w:style w:type="paragraph" w:customStyle="1" w:styleId="SideHeading">
    <w:name w:val="Side Heading"/>
    <w:basedOn w:val="HeadingBase"/>
    <w:rsid w:val="004927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7B2"/>
    <w:pPr>
      <w:numPr>
        <w:numId w:val="10"/>
      </w:numPr>
    </w:pPr>
  </w:style>
  <w:style w:type="paragraph" w:styleId="PlainText">
    <w:name w:val="Plain Text"/>
    <w:basedOn w:val="Normal"/>
    <w:link w:val="PlainTextChar"/>
    <w:rsid w:val="004927B2"/>
    <w:rPr>
      <w:sz w:val="20"/>
    </w:rPr>
  </w:style>
  <w:style w:type="character" w:customStyle="1" w:styleId="PlainTextChar">
    <w:name w:val="Plain Text Char"/>
    <w:basedOn w:val="DefaultParagraphFont"/>
    <w:link w:val="PlainText"/>
    <w:rsid w:val="004927B2"/>
    <w:rPr>
      <w:rFonts w:ascii="Courier New" w:eastAsia="Times New Roman" w:hAnsi="Courier New" w:cs="Times New Roman"/>
      <w:sz w:val="20"/>
      <w:szCs w:val="20"/>
      <w:lang w:eastAsia="en-US"/>
    </w:rPr>
  </w:style>
  <w:style w:type="character" w:customStyle="1" w:styleId="MenuOption">
    <w:name w:val="Menu Option"/>
    <w:basedOn w:val="DefaultParagraphFont"/>
    <w:rsid w:val="004927B2"/>
    <w:rPr>
      <w:b/>
      <w:smallCaps/>
    </w:rPr>
  </w:style>
  <w:style w:type="paragraph" w:customStyle="1" w:styleId="TableListNumber">
    <w:name w:val="Table List Number"/>
    <w:basedOn w:val="ListNumber"/>
    <w:rsid w:val="004927B2"/>
    <w:pPr>
      <w:numPr>
        <w:numId w:val="0"/>
      </w:numPr>
    </w:pPr>
  </w:style>
  <w:style w:type="paragraph" w:styleId="TOC4">
    <w:name w:val="toc 4"/>
    <w:basedOn w:val="TOCBase"/>
    <w:next w:val="Normal"/>
    <w:semiHidden/>
    <w:rsid w:val="004927B2"/>
    <w:pPr>
      <w:tabs>
        <w:tab w:val="right" w:leader="dot" w:pos="9071"/>
      </w:tabs>
      <w:ind w:left="1701"/>
    </w:pPr>
  </w:style>
  <w:style w:type="paragraph" w:customStyle="1" w:styleId="ListAlpha">
    <w:name w:val="List Alpha"/>
    <w:basedOn w:val="List"/>
    <w:rsid w:val="004927B2"/>
    <w:pPr>
      <w:numPr>
        <w:numId w:val="8"/>
      </w:numPr>
    </w:pPr>
  </w:style>
  <w:style w:type="paragraph" w:customStyle="1" w:styleId="ListAlpha2">
    <w:name w:val="List Alpha 2"/>
    <w:basedOn w:val="List2"/>
    <w:rsid w:val="004927B2"/>
    <w:pPr>
      <w:numPr>
        <w:numId w:val="7"/>
      </w:numPr>
    </w:pPr>
  </w:style>
  <w:style w:type="paragraph" w:styleId="List2">
    <w:name w:val="List 2"/>
    <w:basedOn w:val="BodyText"/>
    <w:rsid w:val="004927B2"/>
    <w:pPr>
      <w:tabs>
        <w:tab w:val="left" w:pos="680"/>
      </w:tabs>
      <w:spacing w:before="60" w:after="60"/>
      <w:ind w:left="680" w:hanging="340"/>
    </w:pPr>
  </w:style>
  <w:style w:type="paragraph" w:styleId="List3">
    <w:name w:val="List 3"/>
    <w:basedOn w:val="BodyText"/>
    <w:rsid w:val="004927B2"/>
    <w:pPr>
      <w:tabs>
        <w:tab w:val="left" w:pos="1021"/>
      </w:tabs>
      <w:spacing w:before="60" w:after="60"/>
      <w:ind w:left="1020" w:hanging="340"/>
    </w:pPr>
  </w:style>
  <w:style w:type="paragraph" w:styleId="List4">
    <w:name w:val="List 4"/>
    <w:basedOn w:val="BodyText"/>
    <w:rsid w:val="004927B2"/>
    <w:pPr>
      <w:tabs>
        <w:tab w:val="left" w:pos="1361"/>
      </w:tabs>
      <w:spacing w:before="60" w:after="60"/>
      <w:ind w:left="1361" w:hanging="340"/>
    </w:pPr>
  </w:style>
  <w:style w:type="paragraph" w:styleId="List5">
    <w:name w:val="List 5"/>
    <w:basedOn w:val="BodyText"/>
    <w:rsid w:val="004927B2"/>
    <w:pPr>
      <w:tabs>
        <w:tab w:val="left" w:pos="1701"/>
      </w:tabs>
      <w:spacing w:before="60" w:after="60"/>
      <w:ind w:left="1701" w:hanging="340"/>
    </w:pPr>
  </w:style>
  <w:style w:type="paragraph" w:styleId="ListBullet3">
    <w:name w:val="List Bullet 3"/>
    <w:basedOn w:val="List3"/>
    <w:rsid w:val="004927B2"/>
    <w:pPr>
      <w:numPr>
        <w:numId w:val="13"/>
      </w:numPr>
      <w:tabs>
        <w:tab w:val="clear" w:pos="1021"/>
      </w:tabs>
      <w:ind w:left="1037" w:hanging="357"/>
    </w:pPr>
  </w:style>
  <w:style w:type="paragraph" w:styleId="ListBullet4">
    <w:name w:val="List Bullet 4"/>
    <w:basedOn w:val="List4"/>
    <w:rsid w:val="004927B2"/>
    <w:pPr>
      <w:numPr>
        <w:numId w:val="2"/>
      </w:numPr>
      <w:tabs>
        <w:tab w:val="clear" w:pos="1361"/>
      </w:tabs>
    </w:pPr>
  </w:style>
  <w:style w:type="paragraph" w:styleId="ListBullet5">
    <w:name w:val="List Bullet 5"/>
    <w:basedOn w:val="List5"/>
    <w:rsid w:val="004927B2"/>
    <w:pPr>
      <w:numPr>
        <w:numId w:val="3"/>
      </w:numPr>
    </w:pPr>
  </w:style>
  <w:style w:type="paragraph" w:styleId="ListContinue2">
    <w:name w:val="List Continue 2"/>
    <w:basedOn w:val="List2"/>
    <w:rsid w:val="004927B2"/>
    <w:pPr>
      <w:ind w:firstLine="0"/>
    </w:pPr>
  </w:style>
  <w:style w:type="paragraph" w:styleId="ListContinue3">
    <w:name w:val="List Continue 3"/>
    <w:basedOn w:val="List3"/>
    <w:rsid w:val="004927B2"/>
    <w:pPr>
      <w:ind w:left="1021" w:firstLine="0"/>
    </w:pPr>
  </w:style>
  <w:style w:type="paragraph" w:styleId="ListContinue4">
    <w:name w:val="List Continue 4"/>
    <w:basedOn w:val="List4"/>
    <w:rsid w:val="004927B2"/>
    <w:pPr>
      <w:ind w:firstLine="0"/>
    </w:pPr>
  </w:style>
  <w:style w:type="paragraph" w:styleId="ListContinue5">
    <w:name w:val="List Continue 5"/>
    <w:basedOn w:val="List5"/>
    <w:rsid w:val="004927B2"/>
    <w:pPr>
      <w:ind w:firstLine="0"/>
    </w:pPr>
  </w:style>
  <w:style w:type="paragraph" w:styleId="ListNumber3">
    <w:name w:val="List Number 3"/>
    <w:basedOn w:val="List3"/>
    <w:rsid w:val="004927B2"/>
    <w:pPr>
      <w:numPr>
        <w:numId w:val="4"/>
      </w:numPr>
    </w:pPr>
  </w:style>
  <w:style w:type="paragraph" w:styleId="ListNumber4">
    <w:name w:val="List Number 4"/>
    <w:basedOn w:val="List4"/>
    <w:rsid w:val="004927B2"/>
    <w:pPr>
      <w:numPr>
        <w:numId w:val="5"/>
      </w:numPr>
    </w:pPr>
  </w:style>
  <w:style w:type="paragraph" w:styleId="ListNumber5">
    <w:name w:val="List Number 5"/>
    <w:basedOn w:val="List5"/>
    <w:rsid w:val="004927B2"/>
    <w:pPr>
      <w:numPr>
        <w:numId w:val="6"/>
      </w:numPr>
    </w:pPr>
  </w:style>
  <w:style w:type="paragraph" w:styleId="BlockText">
    <w:name w:val="Block Text"/>
    <w:basedOn w:val="Normal"/>
    <w:rsid w:val="004927B2"/>
    <w:pPr>
      <w:spacing w:after="120"/>
      <w:ind w:left="1440" w:right="1440"/>
    </w:pPr>
  </w:style>
  <w:style w:type="character" w:customStyle="1" w:styleId="Subscript">
    <w:name w:val="Subscript"/>
    <w:basedOn w:val="DefaultParagraphFont"/>
    <w:rsid w:val="004927B2"/>
    <w:rPr>
      <w:sz w:val="16"/>
      <w:vertAlign w:val="subscript"/>
    </w:rPr>
  </w:style>
  <w:style w:type="character" w:customStyle="1" w:styleId="Superscript">
    <w:name w:val="Superscript"/>
    <w:basedOn w:val="DefaultParagraphFont"/>
    <w:rsid w:val="004927B2"/>
    <w:rPr>
      <w:sz w:val="16"/>
      <w:vertAlign w:val="superscript"/>
    </w:rPr>
  </w:style>
  <w:style w:type="character" w:customStyle="1" w:styleId="Symbols">
    <w:name w:val="Symbols"/>
    <w:basedOn w:val="DefaultParagraphFont"/>
    <w:rsid w:val="004927B2"/>
    <w:rPr>
      <w:rFonts w:ascii="Symbol" w:hAnsi="Symbol"/>
    </w:rPr>
  </w:style>
  <w:style w:type="character" w:customStyle="1" w:styleId="MenuOptions">
    <w:name w:val="Menu Options"/>
    <w:basedOn w:val="DefaultParagraphFont"/>
    <w:rsid w:val="004927B2"/>
    <w:rPr>
      <w:rFonts w:ascii="Arial Narrow" w:hAnsi="Arial Narrow"/>
      <w:smallCaps/>
    </w:rPr>
  </w:style>
  <w:style w:type="character" w:customStyle="1" w:styleId="Buttons">
    <w:name w:val="Buttons"/>
    <w:basedOn w:val="DefaultParagraphFont"/>
    <w:rsid w:val="004927B2"/>
    <w:rPr>
      <w:b/>
    </w:rPr>
  </w:style>
  <w:style w:type="character" w:customStyle="1" w:styleId="Underlined">
    <w:name w:val="Underlined"/>
    <w:basedOn w:val="DefaultParagraphFont"/>
    <w:rsid w:val="004927B2"/>
    <w:rPr>
      <w:u w:val="single"/>
    </w:rPr>
  </w:style>
  <w:style w:type="paragraph" w:customStyle="1" w:styleId="TableBodyTextRight">
    <w:name w:val="Table Body Text Right"/>
    <w:basedOn w:val="TableBodyText"/>
    <w:rsid w:val="004927B2"/>
    <w:pPr>
      <w:widowControl w:val="0"/>
      <w:autoSpaceDE w:val="0"/>
      <w:autoSpaceDN w:val="0"/>
      <w:adjustRightInd w:val="0"/>
      <w:jc w:val="right"/>
    </w:pPr>
    <w:rPr>
      <w:rFonts w:cs="Arial"/>
      <w:szCs w:val="18"/>
    </w:rPr>
  </w:style>
  <w:style w:type="paragraph" w:customStyle="1" w:styleId="CopyrightText">
    <w:name w:val="Copyright Text"/>
    <w:basedOn w:val="BodyText"/>
    <w:rsid w:val="004927B2"/>
    <w:rPr>
      <w:sz w:val="18"/>
    </w:rPr>
  </w:style>
  <w:style w:type="paragraph" w:customStyle="1" w:styleId="BodySmallRight">
    <w:name w:val="Body Small Right"/>
    <w:basedOn w:val="BodyTextRight"/>
    <w:rsid w:val="004927B2"/>
    <w:rPr>
      <w:sz w:val="18"/>
      <w:szCs w:val="18"/>
    </w:rPr>
  </w:style>
  <w:style w:type="paragraph" w:customStyle="1" w:styleId="MarginEdition">
    <w:name w:val="Margin Edition"/>
    <w:basedOn w:val="MarginNote"/>
    <w:rsid w:val="004927B2"/>
    <w:pPr>
      <w:spacing w:before="0" w:after="0"/>
    </w:pPr>
    <w:rPr>
      <w:rFonts w:ascii="Times New Roman" w:hAnsi="Times New Roman"/>
      <w:color w:val="999999"/>
    </w:rPr>
  </w:style>
  <w:style w:type="paragraph" w:customStyle="1" w:styleId="Spacer">
    <w:name w:val="Spacer"/>
    <w:basedOn w:val="Normal"/>
    <w:rsid w:val="004927B2"/>
    <w:rPr>
      <w:sz w:val="2"/>
      <w:szCs w:val="2"/>
    </w:rPr>
  </w:style>
  <w:style w:type="character" w:customStyle="1" w:styleId="Small">
    <w:name w:val="Small"/>
    <w:basedOn w:val="DefaultParagraphFont"/>
    <w:rsid w:val="004927B2"/>
    <w:rPr>
      <w:sz w:val="16"/>
    </w:rPr>
  </w:style>
  <w:style w:type="paragraph" w:customStyle="1" w:styleId="WideTable">
    <w:name w:val="Wide Table"/>
    <w:basedOn w:val="Normal"/>
    <w:rsid w:val="004927B2"/>
    <w:pPr>
      <w:ind w:left="-1418"/>
    </w:pPr>
    <w:rPr>
      <w:sz w:val="2"/>
      <w:szCs w:val="2"/>
    </w:rPr>
  </w:style>
  <w:style w:type="character" w:styleId="PageNumber">
    <w:name w:val="page number"/>
    <w:basedOn w:val="DefaultParagraphFont"/>
    <w:rsid w:val="004927B2"/>
  </w:style>
  <w:style w:type="paragraph" w:styleId="Quote">
    <w:name w:val="Quote"/>
    <w:basedOn w:val="Heading1"/>
    <w:link w:val="QuoteChar"/>
    <w:qFormat/>
    <w:rsid w:val="004927B2"/>
    <w:rPr>
      <w:b w:val="0"/>
      <w:sz w:val="72"/>
      <w:szCs w:val="72"/>
      <w:lang w:val="en-NZ"/>
    </w:rPr>
  </w:style>
  <w:style w:type="character" w:customStyle="1" w:styleId="QuoteChar">
    <w:name w:val="Quote Char"/>
    <w:basedOn w:val="DefaultParagraphFont"/>
    <w:link w:val="Quote"/>
    <w:rsid w:val="004927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7B2"/>
    <w:pPr>
      <w:pageBreakBefore/>
    </w:pPr>
  </w:style>
  <w:style w:type="paragraph" w:customStyle="1" w:styleId="Border">
    <w:name w:val="Border"/>
    <w:basedOn w:val="Normal"/>
    <w:qFormat/>
    <w:rsid w:val="004927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7B2"/>
    <w:rPr>
      <w:b/>
      <w:bCs/>
      <w:i/>
      <w:iCs/>
      <w:color w:val="auto"/>
    </w:rPr>
  </w:style>
  <w:style w:type="paragraph" w:styleId="IntenseQuote">
    <w:name w:val="Intense Quote"/>
    <w:basedOn w:val="Normal"/>
    <w:next w:val="Normal"/>
    <w:link w:val="IntenseQuoteChar"/>
    <w:uiPriority w:val="30"/>
    <w:qFormat/>
    <w:rsid w:val="004927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7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27B2"/>
    <w:rPr>
      <w:smallCaps/>
      <w:color w:val="auto"/>
      <w:u w:val="single"/>
    </w:rPr>
  </w:style>
  <w:style w:type="character" w:styleId="IntenseReference">
    <w:name w:val="Intense Reference"/>
    <w:basedOn w:val="DefaultParagraphFont"/>
    <w:uiPriority w:val="32"/>
    <w:qFormat/>
    <w:rsid w:val="004927B2"/>
    <w:rPr>
      <w:b/>
      <w:bCs/>
      <w:smallCaps/>
      <w:color w:val="auto"/>
      <w:spacing w:val="5"/>
      <w:u w:val="single"/>
    </w:rPr>
  </w:style>
  <w:style w:type="paragraph" w:customStyle="1" w:styleId="2ColumnHeading">
    <w:name w:val="2Column Heading"/>
    <w:basedOn w:val="BodyText"/>
    <w:qFormat/>
    <w:rsid w:val="004927B2"/>
    <w:pPr>
      <w:spacing w:after="60"/>
      <w:ind w:left="-2268"/>
    </w:pPr>
    <w:rPr>
      <w:b/>
    </w:rPr>
  </w:style>
  <w:style w:type="paragraph" w:customStyle="1" w:styleId="Heading1TOC">
    <w:name w:val="Heading1 TOC"/>
    <w:basedOn w:val="Normal"/>
    <w:qFormat/>
    <w:rsid w:val="004927B2"/>
    <w:pPr>
      <w:spacing w:before="240" w:after="120"/>
    </w:pPr>
    <w:rPr>
      <w:rFonts w:ascii="Times New Roman" w:hAnsi="Times New Roman"/>
      <w:b/>
      <w:sz w:val="32"/>
    </w:rPr>
  </w:style>
  <w:style w:type="paragraph" w:customStyle="1" w:styleId="Heading2TOC">
    <w:name w:val="Heading2 TOC"/>
    <w:basedOn w:val="Normal"/>
    <w:qFormat/>
    <w:rsid w:val="004927B2"/>
    <w:pPr>
      <w:spacing w:before="240" w:after="60"/>
    </w:pPr>
    <w:rPr>
      <w:rFonts w:ascii="Times New Roman" w:hAnsi="Times New Roman"/>
      <w:b/>
      <w:sz w:val="28"/>
    </w:rPr>
  </w:style>
  <w:style w:type="character" w:customStyle="1" w:styleId="Underline">
    <w:name w:val="Underline"/>
    <w:basedOn w:val="DefaultParagraphFont"/>
    <w:qFormat/>
    <w:rsid w:val="004927B2"/>
    <w:rPr>
      <w:u w:val="single"/>
    </w:rPr>
  </w:style>
  <w:style w:type="paragraph" w:styleId="BalloonText">
    <w:name w:val="Balloon Text"/>
    <w:basedOn w:val="Normal"/>
    <w:link w:val="BalloonTextChar"/>
    <w:rsid w:val="004927B2"/>
    <w:rPr>
      <w:rFonts w:ascii="Tahoma" w:hAnsi="Tahoma" w:cs="Tahoma"/>
      <w:sz w:val="16"/>
      <w:szCs w:val="16"/>
    </w:rPr>
  </w:style>
  <w:style w:type="character" w:customStyle="1" w:styleId="BalloonTextChar">
    <w:name w:val="Balloon Text Char"/>
    <w:basedOn w:val="DefaultParagraphFont"/>
    <w:link w:val="BalloonText"/>
    <w:rsid w:val="004927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27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27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27B2"/>
    <w:rPr>
      <w:b/>
      <w:color w:val="660033"/>
      <w:spacing w:val="0"/>
    </w:rPr>
  </w:style>
  <w:style w:type="paragraph" w:customStyle="1" w:styleId="Nameditemlist">
    <w:name w:val="Named item list"/>
    <w:basedOn w:val="BodyText"/>
    <w:qFormat/>
    <w:rsid w:val="004927B2"/>
    <w:pPr>
      <w:tabs>
        <w:tab w:val="left" w:pos="2835"/>
      </w:tabs>
      <w:ind w:left="2835" w:hanging="2835"/>
    </w:pPr>
  </w:style>
  <w:style w:type="paragraph" w:customStyle="1" w:styleId="BodyTextnopadding">
    <w:name w:val="Body Text no padding"/>
    <w:basedOn w:val="BodyText"/>
    <w:qFormat/>
    <w:rsid w:val="004927B2"/>
    <w:pPr>
      <w:spacing w:before="0" w:after="0"/>
    </w:pPr>
  </w:style>
  <w:style w:type="paragraph" w:customStyle="1" w:styleId="BodyTextBold">
    <w:name w:val="Body Text Bold"/>
    <w:basedOn w:val="BodyText"/>
    <w:qFormat/>
    <w:rsid w:val="004927B2"/>
    <w:rPr>
      <w:b/>
    </w:rPr>
  </w:style>
  <w:style w:type="character" w:styleId="Hyperlink">
    <w:name w:val="Hyperlink"/>
    <w:basedOn w:val="DefaultParagraphFont"/>
    <w:uiPriority w:val="99"/>
    <w:unhideWhenUsed/>
    <w:rsid w:val="006D44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781</Words>
  <Characters>4895</Characters>
  <Application>Microsoft Office Word</Application>
  <DocSecurity>0</DocSecurity>
  <Lines>222</Lines>
  <Paragraphs>113</Paragraphs>
  <ScaleCrop>false</ScaleCrop>
  <Company>Author-it Software Corporation Ltd.</Company>
  <LinksUpToDate>false</LinksUpToDate>
  <CharactersWithSpaces>5563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CPPSIS3018 Transfer loads</dc:title>
  <dc:subject>Approved</dc:subject>
  <dc:creator>Artibus Innovation</dc:creator>
  <cp:keywords>Release: 1</cp:keywords>
  <dc:description>Review Date: 12 April 2008</dc:description>
  <cp:lastModifiedBy>HSD_TPCMSd.prod</cp:lastModifiedBy>
  <cp:revision>3</cp:revision>
  <dcterms:created xsi:type="dcterms:W3CDTF">2021-01-07T13:48:00Z</dcterms:created>
  <dcterms:modified xsi:type="dcterms:W3CDTF">2021-01-07T13:48:00Z</dcterms:modified>
</cp:coreProperties>
</file>