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C74" w:rsidP="006B3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CPPSEC5008 Analyse threat environment and devise strategies to respond to active threats</w:t>
      </w:r>
      <w:r>
        <w:fldChar w:fldCharType="end"/>
      </w:r>
    </w:p>
    <w:p w:rsidR="006B3C74" w:rsidP="006B3C74">
      <w:pPr>
        <w:pStyle w:val="Version"/>
        <w:sectPr w:rsidSect="00CB1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2B8" w:rsidP="00CB12B8">
      <w:pPr>
        <w:pStyle w:val="SuperHeading"/>
      </w:pPr>
      <w:r w:rsidRPr="00CB12B8">
        <w:t>Assessment Requirements for CPPSEC5008 Analyse threat environment and devise strategies to respond to active threats</w:t>
      </w:r>
    </w:p>
    <w:p w:rsidR="00000000" w:rsidRPr="00CB12B8" w:rsidP="00CB12B8">
      <w:pPr>
        <w:pStyle w:val="Heading1"/>
      </w:pPr>
      <w:bookmarkStart w:id="1" w:name="O_1053734"/>
      <w:bookmarkEnd w:id="1"/>
      <w:r w:rsidRPr="00CB1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1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2B8">
            <w:pPr>
              <w:pStyle w:val="BodyText"/>
              <w:rPr>
                <w:lang w:val="en-NZ"/>
              </w:rPr>
            </w:pPr>
            <w:r w:rsidRPr="00CB12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2B8" w:rsidP="00CB12B8">
            <w:pPr>
              <w:pStyle w:val="BodyText"/>
            </w:pPr>
            <w:r w:rsidRPr="00CB12B8">
              <w:t>This version first released with CPP Property Services Training Package Release 9.0.</w:t>
            </w:r>
          </w:p>
          <w:p w:rsidR="00000000" w:rsidRPr="00CB12B8" w:rsidP="00CB12B8">
            <w:pPr>
              <w:pStyle w:val="BodyText"/>
            </w:pPr>
            <w:r w:rsidRPr="00CB12B8">
              <w:t>New unit.</w:t>
            </w:r>
          </w:p>
        </w:tc>
      </w:tr>
    </w:tbl>
    <w:p w:rsidR="00000000" w:rsidRPr="00CB12B8" w:rsidP="00CB12B8">
      <w:pPr>
        <w:pStyle w:val="BodyText"/>
      </w:pPr>
    </w:p>
    <w:p w:rsidR="00000000" w:rsidRPr="00CB12B8" w:rsidP="00CB12B8">
      <w:pPr>
        <w:pStyle w:val="AllowPageBreak"/>
      </w:pPr>
    </w:p>
    <w:p w:rsidR="00000000" w:rsidRPr="00CB12B8" w:rsidP="00CB12B8">
      <w:pPr>
        <w:pStyle w:val="Heading1"/>
      </w:pPr>
      <w:bookmarkStart w:id="2" w:name="O_1053737"/>
      <w:bookmarkEnd w:id="2"/>
      <w:r w:rsidRPr="00CB12B8">
        <w:t>Performance Evidence</w:t>
      </w:r>
    </w:p>
    <w:p w:rsidR="00000000" w:rsidRPr="00CB12B8" w:rsidP="006B3C74">
      <w:pPr>
        <w:pStyle w:val="BodyText"/>
      </w:pPr>
      <w:r w:rsidRPr="00CB12B8">
        <w:t>To demonstrate competency, a candidate must meet the performance criteria of this unit by analysing the threat environment and devising strategies to respond to active threats for two different sites.</w:t>
      </w:r>
    </w:p>
    <w:p w:rsidR="00000000" w:rsidRPr="00CB12B8" w:rsidP="00CB12B8">
      <w:pPr>
        <w:pStyle w:val="Heading1"/>
      </w:pPr>
      <w:bookmarkStart w:id="3" w:name="O_1053736"/>
      <w:bookmarkEnd w:id="3"/>
      <w:r w:rsidRPr="00CB12B8">
        <w:t>Knowledge Evidence</w:t>
      </w:r>
    </w:p>
    <w:p w:rsidR="00000000" w:rsidRPr="00CB12B8" w:rsidP="006B3C74">
      <w:pPr>
        <w:pStyle w:val="BodyText"/>
      </w:pPr>
      <w:r w:rsidRPr="00CB12B8">
        <w:t>To be competent in this unit, a candidate must demonstrate knowledge of:</w:t>
      </w:r>
    </w:p>
    <w:p w:rsidR="00000000" w:rsidRPr="00CB12B8" w:rsidP="00CB12B8">
      <w:pPr>
        <w:pStyle w:val="ListBullet"/>
      </w:pPr>
      <w:r w:rsidRPr="00CB12B8">
        <w:t>legislative and regulatory requirements that apply when analysing threat environments and devising strategies to respond to active threats:</w:t>
      </w:r>
    </w:p>
    <w:p w:rsidR="00000000" w:rsidRPr="00CB12B8" w:rsidP="00CB12B8">
      <w:pPr>
        <w:pStyle w:val="ListBullet2"/>
      </w:pPr>
      <w:r w:rsidRPr="00CB12B8">
        <w:t>key re</w:t>
      </w:r>
      <w:r w:rsidRPr="00CB12B8">
        <w:t>quirements of legislation, regulations and codes of conduct for security response in the jurisdiction of operation</w:t>
      </w:r>
    </w:p>
    <w:p w:rsidR="00000000" w:rsidRPr="00CB12B8" w:rsidP="00CB12B8">
      <w:pPr>
        <w:pStyle w:val="ListBullet2"/>
      </w:pPr>
      <w:r w:rsidRPr="00CB12B8">
        <w:t>licensing requirements in the security industry</w:t>
      </w:r>
    </w:p>
    <w:p w:rsidR="00000000" w:rsidRPr="00CB12B8" w:rsidP="00CB12B8">
      <w:pPr>
        <w:pStyle w:val="ListBullet2"/>
      </w:pPr>
      <w:r w:rsidRPr="00CB12B8">
        <w:t>use of force</w:t>
      </w:r>
    </w:p>
    <w:p w:rsidR="00000000" w:rsidRPr="00CB12B8" w:rsidP="00CB12B8">
      <w:pPr>
        <w:pStyle w:val="ListBullet2"/>
      </w:pPr>
      <w:r w:rsidRPr="00CB12B8">
        <w:t>work health and safety and duty of care</w:t>
      </w:r>
    </w:p>
    <w:p w:rsidR="00000000" w:rsidRPr="00CB12B8" w:rsidP="00CB12B8">
      <w:pPr>
        <w:pStyle w:val="ListBullet"/>
      </w:pPr>
      <w:r w:rsidRPr="00CB12B8">
        <w:t>application of integrated security measures including physical security, manpower, security technologies and security of personnel and information</w:t>
      </w:r>
    </w:p>
    <w:p w:rsidR="00000000" w:rsidRPr="00CB12B8" w:rsidP="00CB12B8">
      <w:pPr>
        <w:pStyle w:val="ListBullet"/>
      </w:pPr>
      <w:r w:rsidRPr="00CB12B8">
        <w:t>critical infrastructure and key service providers including electricity, gas, water and transport in the juri</w:t>
      </w:r>
      <w:r w:rsidRPr="00CB12B8">
        <w:t>sdiction of operation</w:t>
      </w:r>
    </w:p>
    <w:p w:rsidR="00000000" w:rsidRPr="00CB12B8" w:rsidP="00CB12B8">
      <w:pPr>
        <w:pStyle w:val="ListBullet"/>
      </w:pPr>
      <w:r w:rsidRPr="00CB12B8">
        <w:t>implications for private security arising from: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National Counter-Terrorism Plan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National Guidelines for the Protection of Places of Mass gathering from Terrorism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Active Armed Offender Guidelines for Crowded Places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Improvised Explosiv</w:t>
      </w:r>
      <w:r w:rsidRPr="00CB12B8">
        <w:rPr>
          <w:rStyle w:val="Emphasis"/>
        </w:rPr>
        <w:t>e Device Guidelines for Crowded Places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Chemical Weapon Guidelines for Crowded Places</w:t>
      </w:r>
    </w:p>
    <w:p w:rsidR="00000000" w:rsidRPr="00CB12B8" w:rsidP="00CB12B8">
      <w:pPr>
        <w:pStyle w:val="ListBullet2"/>
      </w:pPr>
      <w:r w:rsidRPr="00CB12B8">
        <w:rPr>
          <w:rStyle w:val="Emphasis"/>
        </w:rPr>
        <w:t>Hostile Vehicle Guidelines for Crowded Places</w:t>
      </w:r>
    </w:p>
    <w:p w:rsidR="00000000" w:rsidRPr="00CB12B8" w:rsidP="00CB12B8">
      <w:pPr>
        <w:pStyle w:val="ListBullet"/>
      </w:pPr>
      <w:r w:rsidRPr="00CB12B8">
        <w:t>national security hotline contact information</w:t>
      </w:r>
    </w:p>
    <w:p w:rsidR="00000000" w:rsidRPr="00CB12B8" w:rsidP="00CB12B8">
      <w:pPr>
        <w:pStyle w:val="ListBullet"/>
      </w:pPr>
      <w:r w:rsidRPr="00CB12B8">
        <w:t>national terrorism threat advisory system</w:t>
      </w:r>
    </w:p>
    <w:p w:rsidR="00000000" w:rsidRPr="00CB12B8" w:rsidP="00CB12B8">
      <w:pPr>
        <w:pStyle w:val="ListBullet"/>
      </w:pPr>
      <w:r w:rsidRPr="00CB12B8">
        <w:t xml:space="preserve">purpose of </w:t>
      </w:r>
      <w:r w:rsidRPr="00CB12B8">
        <w:rPr>
          <w:rStyle w:val="Emphasis"/>
        </w:rPr>
        <w:t>Australia’s</w:t>
      </w:r>
      <w:r w:rsidRPr="00CB12B8">
        <w:t xml:space="preserve"> </w:t>
      </w:r>
      <w:r w:rsidRPr="00CB12B8">
        <w:rPr>
          <w:rStyle w:val="Emphasis"/>
        </w:rPr>
        <w:t xml:space="preserve">Strategy for </w:t>
      </w:r>
      <w:r w:rsidRPr="00CB12B8">
        <w:rPr>
          <w:rStyle w:val="Emphasis"/>
        </w:rPr>
        <w:t>Protecting Crowded Places from Terrorism</w:t>
      </w:r>
      <w:r w:rsidRPr="00CB12B8">
        <w:t xml:space="preserve"> and understanding of:</w:t>
      </w:r>
    </w:p>
    <w:p w:rsidR="00000000" w:rsidRPr="00CB12B8" w:rsidP="00CB12B8">
      <w:pPr>
        <w:pStyle w:val="ListBullet2"/>
      </w:pPr>
      <w:r w:rsidRPr="00CB12B8">
        <w:t>definition of crowded places</w:t>
      </w:r>
    </w:p>
    <w:p w:rsidR="00000000" w:rsidRPr="00CB12B8" w:rsidP="00CB12B8">
      <w:pPr>
        <w:pStyle w:val="ListBullet2"/>
      </w:pPr>
      <w:r w:rsidRPr="00CB12B8">
        <w:t>key security issues for crowded places</w:t>
      </w:r>
    </w:p>
    <w:p w:rsidR="00000000" w:rsidRPr="00CB12B8" w:rsidP="00CB12B8">
      <w:pPr>
        <w:pStyle w:val="ListBullet2"/>
      </w:pPr>
      <w:r w:rsidRPr="00CB12B8">
        <w:t>objectives, characteristics and identification of active armed offenders</w:t>
      </w:r>
    </w:p>
    <w:p w:rsidR="00000000" w:rsidRPr="00CB12B8" w:rsidP="00CB12B8">
      <w:pPr>
        <w:pStyle w:val="ListBullet2"/>
      </w:pPr>
      <w:r w:rsidRPr="00CB12B8">
        <w:t>definition of hostile vehicles and methods of attack</w:t>
      </w:r>
    </w:p>
    <w:p w:rsidR="00000000" w:rsidRPr="00CB12B8" w:rsidP="00CB12B8">
      <w:pPr>
        <w:pStyle w:val="ListBullet2"/>
      </w:pPr>
      <w:r w:rsidRPr="00CB12B8">
        <w:t>signs of chemical weapons attack and recommend response</w:t>
      </w:r>
    </w:p>
    <w:p w:rsidR="00000000" w:rsidRPr="00CB12B8" w:rsidP="00CB12B8">
      <w:pPr>
        <w:pStyle w:val="ListBullet2"/>
      </w:pPr>
      <w:r w:rsidRPr="00CB12B8">
        <w:t>general features of improvised explosive devices and recommended incident response</w:t>
      </w:r>
    </w:p>
    <w:p w:rsidR="00000000" w:rsidRPr="00CB12B8" w:rsidP="00CB12B8">
      <w:pPr>
        <w:pStyle w:val="ListBullet"/>
      </w:pPr>
      <w:r w:rsidRPr="00CB12B8">
        <w:t>techniques for conducting site threat assessments and ratings t</w:t>
      </w:r>
      <w:r w:rsidRPr="00CB12B8">
        <w:t>hat can be used to determine attractiveness of site to attack</w:t>
      </w:r>
    </w:p>
    <w:p w:rsidR="00000000" w:rsidRPr="00CB12B8" w:rsidP="00CB12B8">
      <w:pPr>
        <w:pStyle w:val="ListBullet"/>
      </w:pPr>
      <w:r w:rsidRPr="00CB12B8">
        <w:t>techniques for conducting site vulnerability assessments and ratings that can be used to determine impact of loss and vulnerability to attack</w:t>
      </w:r>
    </w:p>
    <w:p w:rsidR="00000000" w:rsidRPr="00CB12B8" w:rsidP="00CB12B8">
      <w:pPr>
        <w:pStyle w:val="ListBullet"/>
      </w:pPr>
      <w:r w:rsidRPr="00CB12B8">
        <w:t>ways that social and cultural differences may be exp</w:t>
      </w:r>
      <w:r w:rsidRPr="00CB12B8">
        <w:t>ressed.</w:t>
      </w:r>
    </w:p>
    <w:p w:rsidR="00000000" w:rsidRPr="00CB12B8" w:rsidP="00CB12B8">
      <w:pPr>
        <w:pStyle w:val="AllowPageBreak"/>
      </w:pPr>
    </w:p>
    <w:p w:rsidR="00000000" w:rsidRPr="00CB12B8" w:rsidP="00CB12B8">
      <w:pPr>
        <w:pStyle w:val="Heading1"/>
      </w:pPr>
      <w:bookmarkStart w:id="4" w:name="O_1053735"/>
      <w:bookmarkEnd w:id="4"/>
      <w:r w:rsidRPr="00CB12B8">
        <w:t>Assessment Conditions</w:t>
      </w:r>
    </w:p>
    <w:p w:rsidR="00000000" w:rsidRPr="00CB12B8" w:rsidP="006B3C74">
      <w:pPr>
        <w:pStyle w:val="BodyText"/>
      </w:pPr>
      <w:r w:rsidRPr="00CB12B8">
        <w:t>Assessors must meet the requirements for assessors contained in the Standards for Registered Training Organisations.</w:t>
      </w:r>
    </w:p>
    <w:p w:rsidR="00000000" w:rsidRPr="00CB12B8" w:rsidP="006B3C74">
      <w:pPr>
        <w:pStyle w:val="BodyText"/>
      </w:pPr>
      <w:r w:rsidRPr="00CB12B8">
        <w:t>All individuals engaged by a licensed RTO for security licensing purposes must hold both a</w:t>
      </w:r>
      <w:r w:rsidRPr="00CB12B8">
        <w:t xml:space="preserve"> security trainers licence (where such a licence exists within the relevant jurisdiction) and the licence for performing the security activities for which the individual is providing training or assessment.  Regulators may impose other assessor conditions </w:t>
      </w:r>
      <w:r w:rsidRPr="00CB12B8">
        <w:t>to meet jurisdictional assessment requirements.</w:t>
      </w:r>
    </w:p>
    <w:p w:rsidR="00000000" w:rsidRPr="00CB12B8" w:rsidP="006B3C74">
      <w:pPr>
        <w:pStyle w:val="BodyText"/>
      </w:pPr>
      <w:r w:rsidRPr="00CB12B8">
        <w:t>Assessment must be conducted in the workplace or in a simulated workplace environment. Candidates must have access to:</w:t>
      </w:r>
    </w:p>
    <w:p w:rsidR="00000000" w:rsidRPr="00CB12B8" w:rsidP="00CB12B8">
      <w:pPr>
        <w:pStyle w:val="ListBullet"/>
      </w:pPr>
      <w:r w:rsidRPr="00CB12B8">
        <w:t>legislation, regulations and codes of practice that apply when analysing threat environments and devising strategies to respond to active threats in the jurisdiction of operation</w:t>
      </w:r>
    </w:p>
    <w:p w:rsidR="00000000" w:rsidRPr="00CB12B8" w:rsidP="00CB12B8">
      <w:pPr>
        <w:pStyle w:val="ListBullet"/>
      </w:pPr>
      <w:r w:rsidRPr="00CB12B8">
        <w:t>plans and documentation, resources and information technologies required to a</w:t>
      </w:r>
      <w:r w:rsidRPr="00CB12B8">
        <w:t>chieve the performance evidence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National Counter-Terrorism Plan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National Guidelines for the Protection of Places of Mass gathering from Terrorism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Australia’s Strategy for Protecting Crowded Places from Terrorism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National Guidelines for the Protection of Pl</w:t>
      </w:r>
      <w:r w:rsidRPr="00CB12B8">
        <w:rPr>
          <w:rStyle w:val="Emphasis"/>
        </w:rPr>
        <w:t>aces of Mass gathering from Terrorism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Active Armed Offender Guidelines for Crowded Places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Improvised Explosive Device Guidelines for Crowded Places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Chemical Weapon Guidelines for Crowded Places</w:t>
      </w:r>
    </w:p>
    <w:p w:rsidR="00000000" w:rsidRPr="00CB12B8" w:rsidP="00CB12B8">
      <w:pPr>
        <w:pStyle w:val="ListBullet"/>
      </w:pPr>
      <w:r w:rsidRPr="00CB12B8">
        <w:rPr>
          <w:rStyle w:val="Emphasis"/>
        </w:rPr>
        <w:t>Hostile Vehicle Guidelines for Crowded Places.</w:t>
      </w:r>
    </w:p>
    <w:p w:rsidR="00000000" w:rsidRPr="00CB12B8" w:rsidP="00CB12B8">
      <w:pPr>
        <w:pStyle w:val="AllowPageBreak"/>
      </w:pPr>
    </w:p>
    <w:p w:rsidR="00000000" w:rsidRPr="00CB12B8" w:rsidP="00CB12B8">
      <w:pPr>
        <w:pStyle w:val="Heading1"/>
      </w:pPr>
      <w:bookmarkStart w:id="5" w:name="O_1053733"/>
      <w:bookmarkEnd w:id="5"/>
      <w:r w:rsidRPr="00CB12B8">
        <w:t>Links</w:t>
      </w:r>
    </w:p>
    <w:p w:rsidR="00000000" w:rsidRPr="00CB12B8" w:rsidP="006B3C74">
      <w:pPr>
        <w:pStyle w:val="BodyText"/>
      </w:pPr>
      <w:r w:rsidRPr="00CB12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6607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12B8" w:rsidP="00CB12B8"/>
    <w:sectPr w:rsidSect="00CB1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B8" w:rsidRPr="006B3C74" w:rsidP="006B3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74" w:rsidP="00CB1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C74" w:rsidP="00CB1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B3C74" w:rsidP="00CB1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2B8" w:rsidRPr="006B3C74" w:rsidP="006B3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74" w:rsidRPr="002D2AF8" w:rsidP="00CB1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CPPSEC5008 Analyse threat environment and devise strategies to respond to active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B3C74" w:rsidP="00CB1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543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08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01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2B8"/>
  </w:style>
  <w:style w:type="character" w:customStyle="1" w:styleId="Heading1Char">
    <w:name w:val="Heading 1 Char"/>
    <w:basedOn w:val="DefaultParagraphFont"/>
    <w:link w:val="Heading1"/>
    <w:rsid w:val="00CB1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2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2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2B8"/>
    <w:rPr>
      <w:i/>
    </w:rPr>
  </w:style>
  <w:style w:type="paragraph" w:customStyle="1" w:styleId="SuperHeading">
    <w:name w:val="SuperHeading"/>
    <w:basedOn w:val="Normal"/>
    <w:rsid w:val="00CB1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2B8"/>
    <w:rPr>
      <w:b/>
      <w:spacing w:val="0"/>
    </w:rPr>
  </w:style>
  <w:style w:type="paragraph" w:customStyle="1" w:styleId="SuperTitle">
    <w:name w:val="SuperTitle"/>
    <w:basedOn w:val="Title"/>
    <w:rsid w:val="00CB1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2B8"/>
  </w:style>
  <w:style w:type="paragraph" w:styleId="TableofFigures">
    <w:name w:val="table of figures"/>
    <w:basedOn w:val="Normal"/>
    <w:next w:val="Normal"/>
    <w:semiHidden/>
    <w:rsid w:val="00CB1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2B8"/>
    <w:rPr>
      <w:rFonts w:ascii="Wingdings" w:hAnsi="Wingdings"/>
    </w:rPr>
  </w:style>
  <w:style w:type="paragraph" w:customStyle="1" w:styleId="TableHeading">
    <w:name w:val="Table Heading"/>
    <w:basedOn w:val="HeadingBase"/>
    <w:rsid w:val="00CB1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2B8"/>
    <w:rPr>
      <w:color w:val="0033CC"/>
      <w:u w:val="none"/>
    </w:rPr>
  </w:style>
  <w:style w:type="paragraph" w:customStyle="1" w:styleId="BodyTextRight">
    <w:name w:val="Body Text Right"/>
    <w:basedOn w:val="BodyText"/>
    <w:rsid w:val="00CB1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2B8"/>
    <w:rPr>
      <w:sz w:val="32"/>
    </w:rPr>
  </w:style>
  <w:style w:type="paragraph" w:customStyle="1" w:styleId="HeadingProcedure">
    <w:name w:val="Heading Procedure"/>
    <w:basedOn w:val="HeadingBase"/>
    <w:next w:val="Normal"/>
    <w:rsid w:val="00CB1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2B8"/>
    <w:pPr>
      <w:spacing w:before="60" w:after="60"/>
    </w:pPr>
  </w:style>
  <w:style w:type="paragraph" w:styleId="ListContinue">
    <w:name w:val="List Continue"/>
    <w:basedOn w:val="List"/>
    <w:rsid w:val="00CB12B8"/>
    <w:pPr>
      <w:ind w:firstLine="0"/>
    </w:pPr>
  </w:style>
  <w:style w:type="paragraph" w:customStyle="1" w:styleId="ListNote">
    <w:name w:val="List Note"/>
    <w:basedOn w:val="List"/>
    <w:rsid w:val="00CB1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2B8"/>
    <w:rPr>
      <w:rFonts w:ascii="Courier New" w:hAnsi="Courier New"/>
    </w:rPr>
  </w:style>
  <w:style w:type="paragraph" w:customStyle="1" w:styleId="NoteBullet">
    <w:name w:val="Note Bullet"/>
    <w:basedOn w:val="Note"/>
    <w:rsid w:val="00CB1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2B8"/>
    <w:rPr>
      <w:b/>
      <w:smallCaps/>
    </w:rPr>
  </w:style>
  <w:style w:type="paragraph" w:customStyle="1" w:styleId="TableListNumber">
    <w:name w:val="Table List Number"/>
    <w:basedOn w:val="ListNumber"/>
    <w:rsid w:val="00CB1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2B8"/>
    <w:pPr>
      <w:numPr>
        <w:numId w:val="9"/>
      </w:numPr>
    </w:pPr>
  </w:style>
  <w:style w:type="paragraph" w:customStyle="1" w:styleId="ListAlpha2">
    <w:name w:val="List Alpha 2"/>
    <w:basedOn w:val="List2"/>
    <w:rsid w:val="00CB12B8"/>
    <w:pPr>
      <w:numPr>
        <w:numId w:val="8"/>
      </w:numPr>
    </w:pPr>
  </w:style>
  <w:style w:type="paragraph" w:styleId="List2">
    <w:name w:val="List 2"/>
    <w:basedOn w:val="BodyText"/>
    <w:rsid w:val="00CB1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2B8"/>
    <w:pPr>
      <w:numPr>
        <w:numId w:val="4"/>
      </w:numPr>
    </w:pPr>
  </w:style>
  <w:style w:type="paragraph" w:styleId="ListContinue2">
    <w:name w:val="List Continue 2"/>
    <w:basedOn w:val="List2"/>
    <w:rsid w:val="00CB12B8"/>
    <w:pPr>
      <w:ind w:firstLine="0"/>
    </w:pPr>
  </w:style>
  <w:style w:type="paragraph" w:styleId="ListContinue3">
    <w:name w:val="List Continue 3"/>
    <w:basedOn w:val="List3"/>
    <w:rsid w:val="00CB12B8"/>
    <w:pPr>
      <w:ind w:left="1021" w:firstLine="0"/>
    </w:pPr>
  </w:style>
  <w:style w:type="paragraph" w:styleId="ListContinue4">
    <w:name w:val="List Continue 4"/>
    <w:basedOn w:val="List4"/>
    <w:rsid w:val="00CB12B8"/>
    <w:pPr>
      <w:ind w:firstLine="0"/>
    </w:pPr>
  </w:style>
  <w:style w:type="paragraph" w:styleId="ListContinue5">
    <w:name w:val="List Continue 5"/>
    <w:basedOn w:val="List5"/>
    <w:rsid w:val="00CB12B8"/>
    <w:pPr>
      <w:ind w:firstLine="0"/>
    </w:pPr>
  </w:style>
  <w:style w:type="paragraph" w:styleId="ListNumber3">
    <w:name w:val="List Number 3"/>
    <w:basedOn w:val="List3"/>
    <w:rsid w:val="00CB12B8"/>
    <w:pPr>
      <w:numPr>
        <w:numId w:val="5"/>
      </w:numPr>
    </w:pPr>
  </w:style>
  <w:style w:type="paragraph" w:styleId="ListNumber4">
    <w:name w:val="List Number 4"/>
    <w:basedOn w:val="List4"/>
    <w:rsid w:val="00CB12B8"/>
    <w:pPr>
      <w:numPr>
        <w:numId w:val="6"/>
      </w:numPr>
    </w:pPr>
  </w:style>
  <w:style w:type="paragraph" w:styleId="ListNumber5">
    <w:name w:val="List Number 5"/>
    <w:basedOn w:val="List5"/>
    <w:rsid w:val="00CB12B8"/>
    <w:pPr>
      <w:numPr>
        <w:numId w:val="7"/>
      </w:numPr>
    </w:pPr>
  </w:style>
  <w:style w:type="paragraph" w:styleId="BlockText">
    <w:name w:val="Block Text"/>
    <w:basedOn w:val="Normal"/>
    <w:rsid w:val="00CB1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2B8"/>
    <w:rPr>
      <w:sz w:val="16"/>
      <w:vertAlign w:val="superscript"/>
    </w:rPr>
  </w:style>
  <w:style w:type="character" w:customStyle="1" w:styleId="Symbols">
    <w:name w:val="Symbols"/>
    <w:basedOn w:val="DefaultParagraphFont"/>
    <w:rsid w:val="00CB12B8"/>
    <w:rPr>
      <w:rFonts w:ascii="Symbol" w:hAnsi="Symbol"/>
    </w:rPr>
  </w:style>
  <w:style w:type="character" w:customStyle="1" w:styleId="MenuOptions">
    <w:name w:val="Menu Options"/>
    <w:basedOn w:val="DefaultParagraphFont"/>
    <w:rsid w:val="00CB1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2B8"/>
    <w:rPr>
      <w:b/>
    </w:rPr>
  </w:style>
  <w:style w:type="character" w:customStyle="1" w:styleId="Underlined">
    <w:name w:val="Underlined"/>
    <w:basedOn w:val="DefaultParagraphFont"/>
    <w:rsid w:val="00CB12B8"/>
    <w:rPr>
      <w:u w:val="single"/>
    </w:rPr>
  </w:style>
  <w:style w:type="paragraph" w:customStyle="1" w:styleId="TableBodyTextRight">
    <w:name w:val="Table Body Text Right"/>
    <w:basedOn w:val="TableBodyText"/>
    <w:rsid w:val="00CB1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2B8"/>
    <w:rPr>
      <w:sz w:val="18"/>
    </w:rPr>
  </w:style>
  <w:style w:type="paragraph" w:customStyle="1" w:styleId="BodySmallRight">
    <w:name w:val="Body Small Right"/>
    <w:basedOn w:val="BodyTextRight"/>
    <w:rsid w:val="00CB12B8"/>
    <w:rPr>
      <w:sz w:val="18"/>
      <w:szCs w:val="18"/>
    </w:rPr>
  </w:style>
  <w:style w:type="paragraph" w:customStyle="1" w:styleId="MarginEdition">
    <w:name w:val="Margin Edition"/>
    <w:basedOn w:val="MarginNote"/>
    <w:rsid w:val="00CB1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2B8"/>
    <w:rPr>
      <w:sz w:val="2"/>
      <w:szCs w:val="2"/>
    </w:rPr>
  </w:style>
  <w:style w:type="character" w:customStyle="1" w:styleId="Small">
    <w:name w:val="Small"/>
    <w:basedOn w:val="DefaultParagraphFont"/>
    <w:rsid w:val="00CB12B8"/>
    <w:rPr>
      <w:sz w:val="16"/>
    </w:rPr>
  </w:style>
  <w:style w:type="paragraph" w:customStyle="1" w:styleId="WideTable">
    <w:name w:val="Wide Table"/>
    <w:basedOn w:val="Normal"/>
    <w:rsid w:val="00CB1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2B8"/>
  </w:style>
  <w:style w:type="paragraph" w:styleId="Quote">
    <w:name w:val="Quote"/>
    <w:basedOn w:val="Heading1"/>
    <w:link w:val="QuoteChar"/>
    <w:qFormat/>
    <w:rsid w:val="00CB1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2B8"/>
    <w:pPr>
      <w:pageBreakBefore/>
    </w:pPr>
  </w:style>
  <w:style w:type="paragraph" w:customStyle="1" w:styleId="Border">
    <w:name w:val="Border"/>
    <w:basedOn w:val="Normal"/>
    <w:qFormat/>
    <w:rsid w:val="00CB1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2B8"/>
    <w:rPr>
      <w:u w:val="single"/>
    </w:rPr>
  </w:style>
  <w:style w:type="character" w:customStyle="1" w:styleId="BoldandItalics">
    <w:name w:val="Bold and Italics"/>
    <w:qFormat/>
    <w:rsid w:val="00CB12B8"/>
    <w:rPr>
      <w:b/>
      <w:i/>
      <w:u w:val="none"/>
    </w:rPr>
  </w:style>
  <w:style w:type="paragraph" w:styleId="BalloonText">
    <w:name w:val="Balloon Text"/>
    <w:basedOn w:val="Normal"/>
    <w:link w:val="BalloonTextChar"/>
    <w:rsid w:val="00CB1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2B8"/>
    <w:pPr>
      <w:spacing w:before="0" w:after="0"/>
    </w:pPr>
  </w:style>
  <w:style w:type="paragraph" w:customStyle="1" w:styleId="BodyTextBold">
    <w:name w:val="Body Text Bold"/>
    <w:basedOn w:val="BodyText"/>
    <w:qFormat/>
    <w:rsid w:val="00CB12B8"/>
    <w:rPr>
      <w:b/>
    </w:rPr>
  </w:style>
  <w:style w:type="character" w:styleId="Hyperlink">
    <w:name w:val="Hyperlink"/>
    <w:basedOn w:val="DefaultParagraphFont"/>
    <w:uiPriority w:val="99"/>
    <w:unhideWhenUsed/>
    <w:rsid w:val="006B3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3721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CPPSEC5008 Analyse threat environment and devise strategies to respond to active threats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