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067C" w:rsidP="003306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CPPSEC5004 Develop security risk management plans</w:t>
      </w:r>
      <w:r>
        <w:fldChar w:fldCharType="end"/>
      </w:r>
    </w:p>
    <w:p w:rsidR="0033067C" w:rsidP="0033067C">
      <w:pPr>
        <w:pStyle w:val="Version"/>
        <w:sectPr w:rsidSect="00EC2B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2BE7" w:rsidP="00EC2BE7">
      <w:pPr>
        <w:pStyle w:val="SuperHeading"/>
      </w:pPr>
      <w:r w:rsidRPr="00EC2BE7">
        <w:t>CPPSEC5004 Develop security risk management plans</w:t>
      </w:r>
    </w:p>
    <w:p w:rsidR="00000000" w:rsidRPr="00EC2BE7" w:rsidP="00EC2BE7">
      <w:pPr>
        <w:pStyle w:val="Heading1"/>
      </w:pPr>
      <w:bookmarkStart w:id="1" w:name="O_1053687"/>
      <w:bookmarkEnd w:id="1"/>
      <w:r w:rsidRPr="00EC2B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C2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BE7">
            <w:pPr>
              <w:pStyle w:val="BodyText"/>
              <w:rPr>
                <w:lang w:val="en-NZ"/>
              </w:rPr>
            </w:pPr>
            <w:r w:rsidRPr="00EC2BE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BE7" w:rsidP="00EC2BE7">
            <w:pPr>
              <w:pStyle w:val="BodyText"/>
            </w:pPr>
            <w:r w:rsidRPr="00EC2BE7">
              <w:t>This version first released with CPP Property Services Training Package Release 9.0.</w:t>
            </w:r>
          </w:p>
          <w:p w:rsidR="00000000" w:rsidRPr="00EC2BE7" w:rsidP="00EC2BE7">
            <w:pPr>
              <w:pStyle w:val="BodyText"/>
            </w:pPr>
            <w:r w:rsidRPr="00EC2BE7">
              <w:t>Supersedes and is equivalent to CPPSEC5004A Prepare security risk management plan. Updated to meet the Standards for Training Packa</w:t>
            </w:r>
            <w:r w:rsidRPr="00EC2BE7">
              <w:t>ges.</w:t>
            </w:r>
          </w:p>
        </w:tc>
      </w:tr>
    </w:tbl>
    <w:p w:rsidR="00000000" w:rsidRPr="00EC2BE7" w:rsidP="00EC2BE7">
      <w:pPr>
        <w:pStyle w:val="BodyText"/>
      </w:pPr>
    </w:p>
    <w:p w:rsidR="00000000" w:rsidRPr="00EC2BE7" w:rsidP="00EC2BE7">
      <w:pPr>
        <w:pStyle w:val="AllowPageBreak"/>
      </w:pPr>
    </w:p>
    <w:p w:rsidR="00000000" w:rsidRPr="00EC2BE7" w:rsidP="00EC2BE7">
      <w:pPr>
        <w:pStyle w:val="Heading1"/>
      </w:pPr>
      <w:bookmarkStart w:id="2" w:name="O_1053693"/>
      <w:bookmarkEnd w:id="2"/>
      <w:r w:rsidRPr="00EC2BE7">
        <w:t>Application</w:t>
      </w:r>
    </w:p>
    <w:p w:rsidR="00000000" w:rsidRPr="00EC2BE7" w:rsidP="0033067C">
      <w:pPr>
        <w:pStyle w:val="BodyText"/>
      </w:pPr>
      <w:r w:rsidRPr="00EC2BE7">
        <w:t xml:space="preserve">This unit specifies the skills and knowledge required to develop comprehensive security risk management plans based on the principles of </w:t>
      </w:r>
      <w:r w:rsidRPr="00EC2BE7">
        <w:rPr>
          <w:rStyle w:val="Emphasis"/>
        </w:rPr>
        <w:t>ISO 31000:2018 Risk management – Guidelines</w:t>
      </w:r>
      <w:r w:rsidRPr="00EC2BE7">
        <w:t xml:space="preserve"> (ISO 31000). It includes identifying </w:t>
      </w:r>
      <w:r w:rsidRPr="00EC2BE7">
        <w:t>and evaluating security risks and existing control measures, developing action plans to identify and manage risks, designing risk treatment options and testing them in the field as part of a security risk management strategy.</w:t>
      </w:r>
    </w:p>
    <w:p w:rsidR="00000000" w:rsidRPr="00EC2BE7" w:rsidP="0033067C">
      <w:pPr>
        <w:pStyle w:val="BodyText"/>
      </w:pPr>
      <w:r w:rsidRPr="00EC2BE7">
        <w:t>This unit is suitable for thos</w:t>
      </w:r>
      <w:r w:rsidRPr="00EC2BE7">
        <w:t>e using a broad range of cognitive, technical and communication skills to select and apply methods and technologies to analyse information and provide solutions to sometimes complex problems.</w:t>
      </w:r>
    </w:p>
    <w:p w:rsidR="00000000" w:rsidRPr="00EC2BE7" w:rsidP="0033067C">
      <w:pPr>
        <w:pStyle w:val="BodyText"/>
      </w:pPr>
      <w:r w:rsidRPr="00EC2BE7">
        <w:t>Legislative, regulatory or certification requirements apply in s</w:t>
      </w:r>
      <w:r w:rsidRPr="00EC2BE7">
        <w:t>ome states and territories to the provision of advice on security solutions, strategies, protocols and procedures. For further information, check with the relevant regulatory authority.</w:t>
      </w:r>
    </w:p>
    <w:p w:rsidR="00000000" w:rsidRPr="00EC2BE7" w:rsidP="00EC2BE7">
      <w:pPr>
        <w:pStyle w:val="Heading1"/>
      </w:pPr>
      <w:bookmarkStart w:id="3" w:name="O_1053692"/>
      <w:bookmarkEnd w:id="3"/>
      <w:r w:rsidRPr="00EC2BE7">
        <w:t>Pre-requisite Unit</w:t>
      </w:r>
    </w:p>
    <w:p w:rsidR="00000000" w:rsidRPr="00EC2BE7" w:rsidP="0033067C">
      <w:pPr>
        <w:pStyle w:val="BodyText"/>
      </w:pPr>
      <w:r w:rsidRPr="00EC2BE7">
        <w:t>None.</w:t>
      </w:r>
    </w:p>
    <w:p w:rsidR="00000000" w:rsidRPr="00EC2BE7" w:rsidP="00EC2BE7">
      <w:pPr>
        <w:pStyle w:val="Heading1"/>
      </w:pPr>
      <w:bookmarkStart w:id="4" w:name="O_1053691"/>
      <w:bookmarkEnd w:id="4"/>
      <w:r w:rsidRPr="00EC2BE7">
        <w:t>Unit Se</w:t>
      </w:r>
      <w:r w:rsidRPr="00EC2BE7">
        <w:t>ctor</w:t>
      </w:r>
    </w:p>
    <w:p w:rsidR="00000000" w:rsidRPr="00EC2BE7" w:rsidP="0033067C">
      <w:pPr>
        <w:pStyle w:val="BodyText"/>
      </w:pPr>
      <w:r w:rsidRPr="00EC2BE7">
        <w:t>Security/Risk management</w:t>
      </w:r>
    </w:p>
    <w:p w:rsidR="00000000" w:rsidRPr="00EC2BE7" w:rsidP="00EC2BE7">
      <w:pPr>
        <w:pStyle w:val="Heading1"/>
      </w:pPr>
      <w:bookmarkStart w:id="5" w:name="O_1053690"/>
      <w:bookmarkEnd w:id="5"/>
      <w:r w:rsidRPr="00EC2BE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EC2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BE7">
            <w:pPr>
              <w:pStyle w:val="BodyText"/>
              <w:rPr>
                <w:lang w:val="en-NZ"/>
              </w:rPr>
            </w:pPr>
            <w:r w:rsidRPr="00EC2BE7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BE7">
            <w:pPr>
              <w:pStyle w:val="BodyText"/>
              <w:rPr>
                <w:lang w:val="en-NZ"/>
              </w:rPr>
            </w:pPr>
            <w:r w:rsidRPr="00EC2BE7">
              <w:t>Performance criteria describe what needs to be done to demonstrate achievement of the element.</w:t>
            </w:r>
          </w:p>
        </w:tc>
      </w:tr>
      <w:tr w:rsidTr="00EC2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BE7">
            <w:pPr>
              <w:pStyle w:val="BodyText"/>
              <w:rPr>
                <w:lang w:val="en-NZ"/>
              </w:rPr>
            </w:pPr>
            <w:r w:rsidRPr="00EC2BE7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BE7">
            <w:pPr>
              <w:pStyle w:val="BodyText"/>
              <w:rPr>
                <w:lang w:val="en-NZ"/>
              </w:rPr>
            </w:pPr>
            <w:r w:rsidRPr="00EC2BE7">
              <w:t>Evaluate security risks and controls.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BE7">
            <w:pPr>
              <w:pStyle w:val="BodyText"/>
              <w:rPr>
                <w:lang w:val="en-NZ"/>
              </w:rPr>
            </w:pPr>
            <w:r w:rsidRPr="00EC2BE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BE7">
            <w:pPr>
              <w:pStyle w:val="BodyText"/>
              <w:rPr>
                <w:lang w:val="en-NZ"/>
              </w:rPr>
            </w:pPr>
            <w:r w:rsidRPr="00EC2BE7">
              <w:t>Access and interpret key requirements of legislation, regulations and Australian standard ISO 31000 to understand and comply with requirements for developing security risk management plans.</w:t>
            </w:r>
          </w:p>
        </w:tc>
      </w:tr>
      <w:tr w:rsidTr="00EC2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BE7">
            <w:pPr>
              <w:pStyle w:val="BodyText"/>
              <w:rPr>
                <w:lang w:val="en-NZ"/>
              </w:rPr>
            </w:pPr>
            <w:r w:rsidRPr="00EC2BE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BE7">
            <w:pPr>
              <w:pStyle w:val="BodyText"/>
              <w:rPr>
                <w:lang w:val="en-NZ"/>
              </w:rPr>
            </w:pPr>
            <w:r w:rsidRPr="00EC2BE7">
              <w:t>Clarify client se</w:t>
            </w:r>
            <w:r w:rsidRPr="00EC2BE7">
              <w:t>curity requirements and operating environment in consultation with relevant persons.</w:t>
            </w:r>
          </w:p>
        </w:tc>
      </w:tr>
      <w:tr w:rsidTr="00EC2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BE7">
            <w:pPr>
              <w:pStyle w:val="BodyText"/>
              <w:rPr>
                <w:lang w:val="en-NZ"/>
              </w:rPr>
            </w:pPr>
            <w:r w:rsidRPr="00EC2BE7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BE7">
            <w:pPr>
              <w:pStyle w:val="BodyText"/>
              <w:rPr>
                <w:lang w:val="en-NZ"/>
              </w:rPr>
            </w:pPr>
            <w:r w:rsidRPr="00EC2BE7">
              <w:t>Source and review information to identify security risks.</w:t>
            </w:r>
          </w:p>
        </w:tc>
      </w:tr>
      <w:tr w:rsidTr="00EC2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BE7">
            <w:pPr>
              <w:pStyle w:val="BodyText"/>
              <w:rPr>
                <w:lang w:val="en-NZ"/>
              </w:rPr>
            </w:pPr>
            <w:r w:rsidRPr="00EC2BE7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BE7">
            <w:pPr>
              <w:pStyle w:val="BodyText"/>
              <w:rPr>
                <w:lang w:val="en-NZ"/>
              </w:rPr>
            </w:pPr>
            <w:r w:rsidRPr="00EC2BE7">
              <w:t>Clearly distinguish and confirm acceptable and unacceptable security risks.</w:t>
            </w:r>
          </w:p>
        </w:tc>
      </w:tr>
      <w:tr w:rsidTr="00EC2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BE7">
            <w:pPr>
              <w:pStyle w:val="BodyText"/>
              <w:rPr>
                <w:lang w:val="en-NZ"/>
              </w:rPr>
            </w:pPr>
            <w:r w:rsidRPr="00EC2BE7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BE7">
            <w:pPr>
              <w:pStyle w:val="BodyText"/>
              <w:rPr>
                <w:lang w:val="en-NZ"/>
              </w:rPr>
            </w:pPr>
            <w:r w:rsidRPr="00EC2BE7">
              <w:t>Set priorities for risk treatment and assurance of controls.</w:t>
            </w:r>
          </w:p>
        </w:tc>
      </w:tr>
      <w:tr w:rsidTr="00EC2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BE7">
            <w:pPr>
              <w:pStyle w:val="BodyText"/>
              <w:rPr>
                <w:lang w:val="en-NZ"/>
              </w:rPr>
            </w:pPr>
            <w:r w:rsidRPr="00EC2BE7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BE7">
            <w:pPr>
              <w:pStyle w:val="BodyText"/>
              <w:rPr>
                <w:lang w:val="en-NZ"/>
              </w:rPr>
            </w:pPr>
            <w:r w:rsidRPr="00EC2BE7">
              <w:t>Highlight and specify risks that are high priority to ensure appropriate controls are developed.</w:t>
            </w:r>
          </w:p>
        </w:tc>
      </w:tr>
      <w:tr w:rsidTr="00EC2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BE7">
            <w:pPr>
              <w:pStyle w:val="BodyText"/>
              <w:rPr>
                <w:lang w:val="en-NZ"/>
              </w:rPr>
            </w:pPr>
            <w:r w:rsidRPr="00EC2BE7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BE7">
            <w:pPr>
              <w:pStyle w:val="BodyText"/>
              <w:rPr>
                <w:lang w:val="en-NZ"/>
              </w:rPr>
            </w:pPr>
            <w:r w:rsidRPr="00EC2BE7">
              <w:t>Evaluate existing controls to determine impact on risk occurrence and implement required modifications.</w:t>
            </w:r>
          </w:p>
        </w:tc>
      </w:tr>
      <w:tr w:rsidTr="00EC2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BE7">
            <w:pPr>
              <w:pStyle w:val="BodyText"/>
              <w:rPr>
                <w:lang w:val="en-NZ"/>
              </w:rPr>
            </w:pPr>
          </w:p>
        </w:tc>
      </w:tr>
      <w:tr w:rsidTr="00EC2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BE7">
            <w:pPr>
              <w:pStyle w:val="BodyText"/>
              <w:rPr>
                <w:lang w:val="en-NZ"/>
              </w:rPr>
            </w:pPr>
            <w:r w:rsidRPr="00EC2BE7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BE7">
            <w:pPr>
              <w:pStyle w:val="BodyText"/>
              <w:rPr>
                <w:lang w:val="en-NZ"/>
              </w:rPr>
            </w:pPr>
            <w:r w:rsidRPr="00EC2BE7">
              <w:t>Plan risk management strategies.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BE7">
            <w:pPr>
              <w:pStyle w:val="BodyText"/>
              <w:rPr>
                <w:lang w:val="en-NZ"/>
              </w:rPr>
            </w:pPr>
            <w:r w:rsidRPr="00EC2BE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BE7">
            <w:pPr>
              <w:pStyle w:val="BodyText"/>
              <w:rPr>
                <w:lang w:val="en-NZ"/>
              </w:rPr>
            </w:pPr>
            <w:r w:rsidRPr="00EC2BE7">
              <w:t>Develop and document action plans that identify tasks, activities and resources required to achieve securit</w:t>
            </w:r>
            <w:r w:rsidRPr="00EC2BE7">
              <w:t>y risk management objectives.</w:t>
            </w:r>
          </w:p>
        </w:tc>
      </w:tr>
      <w:tr w:rsidTr="00EC2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BE7">
            <w:pPr>
              <w:pStyle w:val="BodyText"/>
              <w:rPr>
                <w:lang w:val="en-NZ"/>
              </w:rPr>
            </w:pPr>
            <w:r w:rsidRPr="00EC2BE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BE7">
            <w:pPr>
              <w:pStyle w:val="BodyText"/>
              <w:rPr>
                <w:lang w:val="en-NZ"/>
              </w:rPr>
            </w:pPr>
            <w:r w:rsidRPr="00EC2BE7">
              <w:t>Select security risk control measures based on assessed type, nature, cause and degree of risk associated with identified security risks.</w:t>
            </w:r>
          </w:p>
        </w:tc>
      </w:tr>
      <w:tr w:rsidTr="00EC2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BE7">
            <w:pPr>
              <w:pStyle w:val="BodyText"/>
              <w:rPr>
                <w:lang w:val="en-NZ"/>
              </w:rPr>
            </w:pPr>
            <w:r w:rsidRPr="00EC2BE7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BE7">
            <w:pPr>
              <w:pStyle w:val="BodyText"/>
              <w:rPr>
                <w:lang w:val="en-NZ"/>
              </w:rPr>
            </w:pPr>
            <w:r w:rsidRPr="00EC2BE7">
              <w:t>Incorporate actions to respond to contingencies when planning risk management strategies.</w:t>
            </w:r>
          </w:p>
        </w:tc>
      </w:tr>
      <w:tr w:rsidTr="00EC2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BE7">
            <w:pPr>
              <w:pStyle w:val="BodyText"/>
              <w:rPr>
                <w:lang w:val="en-NZ"/>
              </w:rPr>
            </w:pPr>
            <w:r w:rsidRPr="00EC2BE7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BE7">
            <w:pPr>
              <w:pStyle w:val="BodyText"/>
              <w:rPr>
                <w:lang w:val="en-NZ"/>
              </w:rPr>
            </w:pPr>
            <w:r w:rsidRPr="00EC2BE7">
              <w:t>Establish communication and reporting arrangements to maintain currency of action plans in consultation with relevant persons.</w:t>
            </w:r>
          </w:p>
        </w:tc>
      </w:tr>
      <w:tr w:rsidTr="00EC2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BE7">
            <w:pPr>
              <w:pStyle w:val="BodyText"/>
              <w:rPr>
                <w:lang w:val="en-NZ"/>
              </w:rPr>
            </w:pPr>
          </w:p>
        </w:tc>
      </w:tr>
      <w:tr w:rsidTr="00EC2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BE7">
            <w:pPr>
              <w:pStyle w:val="BodyText"/>
              <w:rPr>
                <w:lang w:val="en-NZ"/>
              </w:rPr>
            </w:pPr>
            <w:r w:rsidRPr="00EC2BE7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BE7">
            <w:pPr>
              <w:pStyle w:val="BodyText"/>
              <w:rPr>
                <w:lang w:val="en-NZ"/>
              </w:rPr>
            </w:pPr>
            <w:r w:rsidRPr="00EC2BE7">
              <w:t>Design security risk treatment options.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BE7">
            <w:pPr>
              <w:pStyle w:val="BodyText"/>
              <w:rPr>
                <w:lang w:val="en-NZ"/>
              </w:rPr>
            </w:pPr>
            <w:r w:rsidRPr="00EC2BE7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BE7">
            <w:pPr>
              <w:pStyle w:val="BodyText"/>
              <w:rPr>
                <w:lang w:val="en-NZ"/>
              </w:rPr>
            </w:pPr>
            <w:r w:rsidRPr="00EC2BE7">
              <w:t>Assess client’s operating environment to confirm potential and real security risks.</w:t>
            </w:r>
          </w:p>
        </w:tc>
      </w:tr>
      <w:tr w:rsidTr="00EC2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BE7">
            <w:pPr>
              <w:pStyle w:val="BodyText"/>
              <w:rPr>
                <w:lang w:val="en-NZ"/>
              </w:rPr>
            </w:pPr>
            <w:r w:rsidRPr="00EC2BE7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BE7">
            <w:pPr>
              <w:pStyle w:val="BodyText"/>
              <w:rPr>
                <w:lang w:val="en-NZ"/>
              </w:rPr>
            </w:pPr>
            <w:r w:rsidRPr="00EC2BE7">
              <w:t>Select feasible risk treatment options and conduct research to confirm implications for controlling whole or part of security risks.</w:t>
            </w:r>
          </w:p>
        </w:tc>
      </w:tr>
      <w:tr w:rsidTr="00EC2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BE7">
            <w:pPr>
              <w:pStyle w:val="BodyText"/>
              <w:rPr>
                <w:lang w:val="en-NZ"/>
              </w:rPr>
            </w:pPr>
            <w:r w:rsidRPr="00EC2BE7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BE7">
            <w:pPr>
              <w:pStyle w:val="BodyText"/>
              <w:rPr>
                <w:lang w:val="en-NZ"/>
              </w:rPr>
            </w:pPr>
            <w:r w:rsidRPr="00EC2BE7">
              <w:t>Document and cost recommended risk treatment options to ensure compatibility with nature of risk and client requirem</w:t>
            </w:r>
            <w:r w:rsidRPr="00EC2BE7">
              <w:t>ents.</w:t>
            </w:r>
          </w:p>
        </w:tc>
      </w:tr>
      <w:tr w:rsidTr="00EC2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BE7">
            <w:pPr>
              <w:pStyle w:val="BodyText"/>
              <w:rPr>
                <w:lang w:val="en-NZ"/>
              </w:rPr>
            </w:pPr>
            <w:r w:rsidRPr="00EC2BE7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BE7">
            <w:pPr>
              <w:pStyle w:val="BodyText"/>
              <w:rPr>
                <w:lang w:val="en-NZ"/>
              </w:rPr>
            </w:pPr>
            <w:r w:rsidRPr="00EC2BE7">
              <w:t>Consult with relevant persons to verify suitability of recommended risk treatment options and obtain required approvals.</w:t>
            </w:r>
          </w:p>
        </w:tc>
      </w:tr>
      <w:tr w:rsidTr="00EC2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BE7">
            <w:pPr>
              <w:pStyle w:val="BodyText"/>
              <w:rPr>
                <w:lang w:val="en-NZ"/>
              </w:rPr>
            </w:pPr>
            <w:r w:rsidRPr="00EC2BE7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BE7">
            <w:pPr>
              <w:pStyle w:val="BodyText"/>
              <w:rPr>
                <w:lang w:val="en-NZ"/>
              </w:rPr>
            </w:pPr>
            <w:r w:rsidRPr="00EC2BE7">
              <w:t>Test risk treatment options in the field and analyse results to verify effectiveness of treatments in the security context.</w:t>
            </w:r>
          </w:p>
        </w:tc>
      </w:tr>
      <w:tr w:rsidTr="00EC2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BE7">
            <w:pPr>
              <w:pStyle w:val="BodyText"/>
              <w:rPr>
                <w:lang w:val="en-NZ"/>
              </w:rPr>
            </w:pPr>
          </w:p>
        </w:tc>
      </w:tr>
      <w:tr w:rsidTr="00EC2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BE7">
            <w:pPr>
              <w:pStyle w:val="BodyText"/>
              <w:rPr>
                <w:lang w:val="en-NZ"/>
              </w:rPr>
            </w:pPr>
            <w:r w:rsidRPr="00EC2BE7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BE7">
            <w:pPr>
              <w:pStyle w:val="BodyText"/>
              <w:rPr>
                <w:lang w:val="en-NZ"/>
              </w:rPr>
            </w:pPr>
            <w:r w:rsidRPr="00EC2BE7">
              <w:t>Finalise and present security risk management plan.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BE7">
            <w:pPr>
              <w:pStyle w:val="BodyText"/>
              <w:rPr>
                <w:lang w:val="en-NZ"/>
              </w:rPr>
            </w:pPr>
            <w:r w:rsidRPr="00EC2BE7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BE7">
            <w:pPr>
              <w:pStyle w:val="BodyText"/>
              <w:rPr>
                <w:lang w:val="en-NZ"/>
              </w:rPr>
            </w:pPr>
            <w:r w:rsidRPr="00EC2BE7">
              <w:t>Finalise and document comprehensive security risk management plan in</w:t>
            </w:r>
            <w:r w:rsidRPr="00EC2BE7">
              <w:t xml:space="preserve"> the required format according to workplace requirements.</w:t>
            </w:r>
          </w:p>
        </w:tc>
      </w:tr>
      <w:tr w:rsidTr="00EC2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BE7">
            <w:pPr>
              <w:pStyle w:val="BodyText"/>
              <w:rPr>
                <w:lang w:val="en-NZ"/>
              </w:rPr>
            </w:pPr>
            <w:r w:rsidRPr="00EC2BE7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BE7">
            <w:pPr>
              <w:pStyle w:val="BodyText"/>
              <w:rPr>
                <w:lang w:val="en-NZ"/>
              </w:rPr>
            </w:pPr>
            <w:r w:rsidRPr="00EC2BE7">
              <w:t>Check security risk management plan to ensure analysis and recommendations are clear, coherent and consistent with client requirements, and based on the principles of ISO 31000.</w:t>
            </w:r>
          </w:p>
        </w:tc>
      </w:tr>
      <w:tr w:rsidTr="00EC2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BE7">
            <w:pPr>
              <w:pStyle w:val="BodyText"/>
              <w:rPr>
                <w:lang w:val="en-NZ"/>
              </w:rPr>
            </w:pPr>
            <w:r w:rsidRPr="00EC2BE7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BE7">
            <w:pPr>
              <w:pStyle w:val="BodyText"/>
              <w:rPr>
                <w:lang w:val="en-NZ"/>
              </w:rPr>
            </w:pPr>
            <w:r w:rsidRPr="00EC2BE7">
              <w:t>Present risk management plan to relevant persons within agreed timeframes and explain identified security risks and treatments to enhance understanding and acceptance of recommendations.</w:t>
            </w:r>
          </w:p>
        </w:tc>
      </w:tr>
      <w:tr w:rsidTr="00EC2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BE7">
            <w:pPr>
              <w:pStyle w:val="BodyText"/>
              <w:rPr>
                <w:lang w:val="en-NZ"/>
              </w:rPr>
            </w:pPr>
            <w:r w:rsidRPr="00EC2BE7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BE7">
            <w:pPr>
              <w:pStyle w:val="BodyText"/>
              <w:rPr>
                <w:lang w:val="en-NZ"/>
              </w:rPr>
            </w:pPr>
            <w:r w:rsidRPr="00EC2BE7">
              <w:t>Implement procedures to monitor and review security risk manag</w:t>
            </w:r>
            <w:r w:rsidRPr="00EC2BE7">
              <w:t>ement activities to ensure continuous improvement.</w:t>
            </w:r>
          </w:p>
        </w:tc>
      </w:tr>
      <w:tr w:rsidTr="00EC2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BE7">
            <w:pPr>
              <w:pStyle w:val="BodyText"/>
              <w:rPr>
                <w:lang w:val="en-NZ"/>
              </w:rPr>
            </w:pPr>
            <w:r w:rsidRPr="00EC2BE7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BE7" w:rsidP="00EC2BE7">
            <w:pPr>
              <w:pStyle w:val="BodyText"/>
            </w:pPr>
            <w:r w:rsidRPr="00EC2BE7">
              <w:t>Complete and secure risk management plan in a manner that facilitates future retrieval and maintains client confidentiality according to workplace and regulatory requirements.</w:t>
            </w:r>
          </w:p>
        </w:tc>
      </w:tr>
    </w:tbl>
    <w:p w:rsidR="00000000" w:rsidRPr="00EC2BE7" w:rsidP="00EC2BE7">
      <w:pPr>
        <w:pStyle w:val="BodyText"/>
      </w:pPr>
    </w:p>
    <w:p w:rsidR="00000000" w:rsidRPr="00EC2BE7" w:rsidP="00EC2BE7">
      <w:pPr>
        <w:pStyle w:val="AllowPageBreak"/>
      </w:pPr>
    </w:p>
    <w:p w:rsidR="00000000" w:rsidRPr="00EC2BE7" w:rsidP="00EC2BE7">
      <w:pPr>
        <w:pStyle w:val="Heading1"/>
      </w:pPr>
      <w:bookmarkStart w:id="6" w:name="O_1053689"/>
      <w:bookmarkEnd w:id="6"/>
      <w:r w:rsidRPr="00EC2BE7">
        <w:t>Foundation Skills</w:t>
      </w:r>
    </w:p>
    <w:p w:rsidR="00000000" w:rsidRPr="00EC2BE7" w:rsidP="0033067C">
      <w:pPr>
        <w:pStyle w:val="BodyText"/>
      </w:pPr>
      <w:r w:rsidRPr="00EC2BE7">
        <w:t>As well as the foundation skills explicit in the performance criteria of this unit, candidates require:</w:t>
      </w:r>
    </w:p>
    <w:p w:rsidR="00000000" w:rsidRPr="00EC2BE7" w:rsidP="00EC2BE7">
      <w:pPr>
        <w:pStyle w:val="ListBullet"/>
      </w:pPr>
      <w:r w:rsidRPr="00EC2BE7">
        <w:t>oral communication skills to negotiate client agreement</w:t>
      </w:r>
    </w:p>
    <w:p w:rsidR="00000000" w:rsidRPr="00EC2BE7" w:rsidP="00EC2BE7">
      <w:pPr>
        <w:pStyle w:val="ListBullet"/>
      </w:pPr>
      <w:r w:rsidRPr="00EC2BE7">
        <w:t xml:space="preserve">writing skills to prepare succinct and logically structured </w:t>
      </w:r>
      <w:r w:rsidRPr="00EC2BE7">
        <w:t xml:space="preserve">security risk management plans </w:t>
      </w:r>
    </w:p>
    <w:p w:rsidR="00000000" w:rsidRPr="00EC2BE7" w:rsidP="00EC2BE7">
      <w:pPr>
        <w:pStyle w:val="ListBullet"/>
      </w:pPr>
      <w:r w:rsidRPr="00EC2BE7">
        <w:t>numeracy skills to apply statistical methods and present statistical data.</w:t>
      </w:r>
    </w:p>
    <w:p w:rsidR="00000000" w:rsidRPr="00EC2BE7" w:rsidP="00EC2BE7">
      <w:pPr>
        <w:pStyle w:val="AllowPageBreak"/>
      </w:pPr>
    </w:p>
    <w:p w:rsidR="00000000" w:rsidRPr="00EC2BE7" w:rsidP="00EC2BE7">
      <w:pPr>
        <w:pStyle w:val="Heading1"/>
      </w:pPr>
      <w:bookmarkStart w:id="7" w:name="O_1053688"/>
      <w:bookmarkEnd w:id="7"/>
      <w:r w:rsidRPr="00EC2BE7">
        <w:t>Unit Mapping Information</w:t>
      </w:r>
    </w:p>
    <w:p w:rsidR="00000000" w:rsidRPr="00EC2BE7" w:rsidP="0033067C">
      <w:pPr>
        <w:pStyle w:val="BodyText"/>
      </w:pPr>
      <w:r w:rsidRPr="00EC2BE7">
        <w:t>Supersedes and equivalent to CPPSEC5004A Prepare security risk management plan.</w:t>
      </w:r>
    </w:p>
    <w:p w:rsidR="00000000" w:rsidRPr="00EC2BE7" w:rsidP="00EC2BE7">
      <w:pPr>
        <w:pStyle w:val="Heading1"/>
      </w:pPr>
      <w:bookmarkStart w:id="8" w:name="O_1053681"/>
      <w:bookmarkEnd w:id="8"/>
      <w:r w:rsidRPr="00EC2BE7">
        <w:t>Links</w:t>
      </w:r>
    </w:p>
    <w:p w:rsidR="00000000" w:rsidRPr="00EC2BE7" w:rsidP="0033067C">
      <w:pPr>
        <w:pStyle w:val="BodyText"/>
      </w:pPr>
      <w:r w:rsidRPr="00EC2BE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11313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C2BE7" w:rsidP="0033067C">
      <w:pPr>
        <w:pStyle w:val="BodyText"/>
        <w:sectPr w:rsidSect="00EC2BE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C2BE7" w:rsidP="00EC2BE7">
      <w:pPr>
        <w:pStyle w:val="SuperHeading"/>
      </w:pPr>
      <w:r w:rsidRPr="00EC2BE7">
        <w:t>Assessment Requirements for CPPSEC5004 Deve</w:t>
      </w:r>
      <w:r w:rsidRPr="00EC2BE7">
        <w:t>lop security risk management plans</w:t>
      </w:r>
    </w:p>
    <w:p w:rsidR="00000000" w:rsidRPr="00EC2BE7" w:rsidP="00EC2BE7">
      <w:pPr>
        <w:pStyle w:val="Heading1"/>
      </w:pPr>
      <w:bookmarkStart w:id="9" w:name="O_1053683"/>
      <w:bookmarkEnd w:id="9"/>
      <w:r w:rsidRPr="00EC2B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C2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BE7">
            <w:pPr>
              <w:pStyle w:val="BodyText"/>
              <w:rPr>
                <w:lang w:val="en-NZ"/>
              </w:rPr>
            </w:pPr>
            <w:r w:rsidRPr="00EC2BE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BE7" w:rsidP="00EC2BE7">
            <w:pPr>
              <w:pStyle w:val="BodyText"/>
            </w:pPr>
            <w:r w:rsidRPr="00EC2BE7">
              <w:t>This version first released with CPP Property Services Training Package Release 9.0.</w:t>
            </w:r>
          </w:p>
          <w:p w:rsidR="00000000" w:rsidRPr="00EC2BE7" w:rsidP="00EC2BE7">
            <w:pPr>
              <w:pStyle w:val="BodyText"/>
            </w:pPr>
            <w:r w:rsidRPr="00EC2BE7">
              <w:t>Supersedes and is equivalent to CPPSEC5004A Prepare security risk management plan. Upda</w:t>
            </w:r>
            <w:r w:rsidRPr="00EC2BE7">
              <w:t>ted to meet the Standards for Training Packages.</w:t>
            </w:r>
          </w:p>
        </w:tc>
      </w:tr>
    </w:tbl>
    <w:p w:rsidR="00000000" w:rsidRPr="00EC2BE7" w:rsidP="00EC2BE7">
      <w:pPr>
        <w:pStyle w:val="BodyText"/>
      </w:pPr>
    </w:p>
    <w:p w:rsidR="00000000" w:rsidRPr="00EC2BE7" w:rsidP="00EC2BE7">
      <w:pPr>
        <w:pStyle w:val="AllowPageBreak"/>
      </w:pPr>
    </w:p>
    <w:p w:rsidR="00000000" w:rsidRPr="00EC2BE7" w:rsidP="00EC2BE7">
      <w:pPr>
        <w:pStyle w:val="Heading1"/>
      </w:pPr>
      <w:bookmarkStart w:id="10" w:name="O_1053686"/>
      <w:bookmarkEnd w:id="10"/>
      <w:r w:rsidRPr="00EC2BE7">
        <w:t>Performance Evidence</w:t>
      </w:r>
    </w:p>
    <w:p w:rsidR="00000000" w:rsidRPr="00EC2BE7" w:rsidP="0033067C">
      <w:pPr>
        <w:pStyle w:val="BodyText"/>
      </w:pPr>
      <w:r w:rsidRPr="00EC2BE7">
        <w:t xml:space="preserve">To demonstrate competency, a candidate must meet the performance criteria of this unit by developing and documenting two security risk management plans that meet </w:t>
      </w:r>
      <w:r w:rsidRPr="00EC2BE7">
        <w:t>the requirements of clients with different risk management requirements.</w:t>
      </w:r>
    </w:p>
    <w:p w:rsidR="00000000" w:rsidRPr="00EC2BE7" w:rsidP="00EC2BE7">
      <w:pPr>
        <w:pStyle w:val="Heading1"/>
      </w:pPr>
      <w:bookmarkStart w:id="11" w:name="O_1053685"/>
      <w:bookmarkEnd w:id="11"/>
      <w:r w:rsidRPr="00EC2BE7">
        <w:t>Knowledge Evidence</w:t>
      </w:r>
    </w:p>
    <w:p w:rsidR="00000000" w:rsidRPr="00EC2BE7" w:rsidP="0033067C">
      <w:pPr>
        <w:pStyle w:val="BodyText"/>
      </w:pPr>
      <w:r w:rsidRPr="00EC2BE7">
        <w:t>To be competent in this unit, a candidate must demonstrate knowledge of:</w:t>
      </w:r>
    </w:p>
    <w:p w:rsidR="00000000" w:rsidRPr="00EC2BE7" w:rsidP="00EC2BE7">
      <w:pPr>
        <w:pStyle w:val="ListBullet"/>
      </w:pPr>
      <w:r w:rsidRPr="00EC2BE7">
        <w:t>legislative and regulatory requirements that apply when developing secu</w:t>
      </w:r>
      <w:r w:rsidRPr="00EC2BE7">
        <w:t>rity risk management plans:</w:t>
      </w:r>
    </w:p>
    <w:p w:rsidR="00000000" w:rsidRPr="00EC2BE7" w:rsidP="00EC2BE7">
      <w:pPr>
        <w:pStyle w:val="ListBullet2"/>
      </w:pPr>
      <w:r w:rsidRPr="00EC2BE7">
        <w:t>key requirements of legislation, regulations and codes of conduct for security risk management in the jurisdiction of operation</w:t>
      </w:r>
    </w:p>
    <w:p w:rsidR="00000000" w:rsidRPr="00EC2BE7" w:rsidP="00EC2BE7">
      <w:pPr>
        <w:pStyle w:val="ListBullet2"/>
      </w:pPr>
      <w:r w:rsidRPr="00EC2BE7">
        <w:t>legal rights and responsibilities of employers, supervisors and employees associated with work health and safety and duty of care</w:t>
      </w:r>
    </w:p>
    <w:p w:rsidR="00000000" w:rsidRPr="00EC2BE7" w:rsidP="00EC2BE7">
      <w:pPr>
        <w:pStyle w:val="ListBullet2"/>
      </w:pPr>
      <w:r w:rsidRPr="00EC2BE7">
        <w:t>licensing requirements in the security industry</w:t>
      </w:r>
    </w:p>
    <w:p w:rsidR="00000000" w:rsidRPr="00EC2BE7" w:rsidP="00EC2BE7">
      <w:pPr>
        <w:pStyle w:val="ListBullet2"/>
      </w:pPr>
      <w:r w:rsidRPr="00EC2BE7">
        <w:t>trespass and removal of persons</w:t>
      </w:r>
    </w:p>
    <w:p w:rsidR="00000000" w:rsidRPr="00EC2BE7" w:rsidP="00EC2BE7">
      <w:pPr>
        <w:pStyle w:val="ListBullet2"/>
      </w:pPr>
      <w:r w:rsidRPr="00EC2BE7">
        <w:t>use of force</w:t>
      </w:r>
    </w:p>
    <w:p w:rsidR="00000000" w:rsidRPr="00EC2BE7" w:rsidP="00EC2BE7">
      <w:pPr>
        <w:pStyle w:val="ListBullet"/>
      </w:pPr>
      <w:r w:rsidRPr="00EC2BE7">
        <w:t>application of integrated securi</w:t>
      </w:r>
      <w:r w:rsidRPr="00EC2BE7">
        <w:t>ty measures including physical security, manpower, security technologies and security of personnel and information</w:t>
      </w:r>
    </w:p>
    <w:p w:rsidR="00000000" w:rsidRPr="00EC2BE7" w:rsidP="00EC2BE7">
      <w:pPr>
        <w:pStyle w:val="ListBullet"/>
      </w:pPr>
      <w:r w:rsidRPr="00EC2BE7">
        <w:t>distinction between information and intelligence and methods for validating information sources</w:t>
      </w:r>
    </w:p>
    <w:p w:rsidR="00000000" w:rsidRPr="00EC2BE7" w:rsidP="00EC2BE7">
      <w:pPr>
        <w:pStyle w:val="ListBullet"/>
      </w:pPr>
      <w:r w:rsidRPr="00EC2BE7">
        <w:t>activities to be included in action plans for</w:t>
      </w:r>
      <w:r w:rsidRPr="00EC2BE7">
        <w:t xml:space="preserve"> security risk management</w:t>
      </w:r>
    </w:p>
    <w:p w:rsidR="00000000" w:rsidRPr="00EC2BE7" w:rsidP="00EC2BE7">
      <w:pPr>
        <w:pStyle w:val="ListBullet"/>
      </w:pPr>
      <w:r w:rsidRPr="00EC2BE7">
        <w:t>implications for security risk management arising from:</w:t>
      </w:r>
    </w:p>
    <w:p w:rsidR="00000000" w:rsidRPr="00EC2BE7" w:rsidP="00EC2BE7">
      <w:pPr>
        <w:pStyle w:val="ListBullet2"/>
      </w:pPr>
      <w:r w:rsidRPr="00EC2BE7">
        <w:rPr>
          <w:rStyle w:val="Emphasis"/>
        </w:rPr>
        <w:t>National Guidelines for the Protection of Places of Mass gathering from Terrorism</w:t>
      </w:r>
    </w:p>
    <w:p w:rsidR="00000000" w:rsidRPr="00EC2BE7" w:rsidP="00EC2BE7">
      <w:pPr>
        <w:pStyle w:val="ListBullet2"/>
      </w:pPr>
      <w:r w:rsidRPr="00EC2BE7">
        <w:rPr>
          <w:rStyle w:val="Emphasis"/>
        </w:rPr>
        <w:t>Active Armed Offender Guidelines for Crowded Places</w:t>
      </w:r>
    </w:p>
    <w:p w:rsidR="00000000" w:rsidRPr="00EC2BE7" w:rsidP="00EC2BE7">
      <w:pPr>
        <w:pStyle w:val="ListBullet2"/>
      </w:pPr>
      <w:r w:rsidRPr="00EC2BE7">
        <w:rPr>
          <w:rStyle w:val="Emphasis"/>
        </w:rPr>
        <w:t xml:space="preserve">Improvised Explosive Device Guidelines </w:t>
      </w:r>
      <w:r w:rsidRPr="00EC2BE7">
        <w:rPr>
          <w:rStyle w:val="Emphasis"/>
        </w:rPr>
        <w:t>for Crowded Places</w:t>
      </w:r>
    </w:p>
    <w:p w:rsidR="00000000" w:rsidRPr="00EC2BE7" w:rsidP="00EC2BE7">
      <w:pPr>
        <w:pStyle w:val="ListBullet2"/>
      </w:pPr>
      <w:r w:rsidRPr="00EC2BE7">
        <w:rPr>
          <w:rStyle w:val="Emphasis"/>
        </w:rPr>
        <w:t>Chemical Weapon Guidelines for Crowded Places</w:t>
      </w:r>
    </w:p>
    <w:p w:rsidR="00000000" w:rsidRPr="00EC2BE7" w:rsidP="00EC2BE7">
      <w:pPr>
        <w:pStyle w:val="ListBullet2"/>
      </w:pPr>
      <w:r w:rsidRPr="00EC2BE7">
        <w:rPr>
          <w:rStyle w:val="Emphasis"/>
        </w:rPr>
        <w:t>Hostile Vehicle Guidelines for Crowded Places</w:t>
      </w:r>
    </w:p>
    <w:p w:rsidR="00000000" w:rsidRPr="00EC2BE7" w:rsidP="00EC2BE7">
      <w:pPr>
        <w:pStyle w:val="ListBullet"/>
      </w:pPr>
      <w:r w:rsidRPr="00EC2BE7">
        <w:t>methods for determining the type, nature and causes of potential and actual security risks</w:t>
      </w:r>
    </w:p>
    <w:p w:rsidR="00000000" w:rsidRPr="00EC2BE7" w:rsidP="00EC2BE7">
      <w:pPr>
        <w:pStyle w:val="ListBullet"/>
      </w:pPr>
      <w:r w:rsidRPr="00EC2BE7">
        <w:t>methods for distinguishing between acceptable and unacceptable security risks</w:t>
      </w:r>
    </w:p>
    <w:p w:rsidR="00000000" w:rsidRPr="00EC2BE7" w:rsidP="00EC2BE7">
      <w:pPr>
        <w:pStyle w:val="ListBullet"/>
      </w:pPr>
      <w:r w:rsidRPr="00EC2BE7">
        <w:t>methods for prioritising security risks and treatment options based on degree of risk</w:t>
      </w:r>
    </w:p>
    <w:p w:rsidR="00000000" w:rsidRPr="00EC2BE7" w:rsidP="00EC2BE7">
      <w:pPr>
        <w:pStyle w:val="ListBullet"/>
      </w:pPr>
      <w:r w:rsidRPr="00EC2BE7">
        <w:t>methods for testing treatment options in the field</w:t>
      </w:r>
    </w:p>
    <w:p w:rsidR="00000000" w:rsidRPr="00EC2BE7" w:rsidP="00EC2BE7">
      <w:pPr>
        <w:pStyle w:val="ListBullet"/>
      </w:pPr>
      <w:r w:rsidRPr="00EC2BE7">
        <w:t>process and application of dynamic risk a</w:t>
      </w:r>
      <w:r w:rsidRPr="00EC2BE7">
        <w:t>ssessment and risk management methods</w:t>
      </w:r>
    </w:p>
    <w:p w:rsidR="00000000" w:rsidRPr="00EC2BE7" w:rsidP="00EC2BE7">
      <w:pPr>
        <w:pStyle w:val="ListBullet"/>
      </w:pPr>
      <w:r w:rsidRPr="00EC2BE7">
        <w:t xml:space="preserve">purpose of </w:t>
      </w:r>
      <w:r w:rsidRPr="00EC2BE7">
        <w:rPr>
          <w:rStyle w:val="Emphasis"/>
        </w:rPr>
        <w:t>Australia’s</w:t>
      </w:r>
      <w:r w:rsidRPr="00EC2BE7">
        <w:t xml:space="preserve"> </w:t>
      </w:r>
      <w:r w:rsidRPr="00EC2BE7">
        <w:rPr>
          <w:rStyle w:val="Emphasis"/>
        </w:rPr>
        <w:t>Strategy for Protecting Crowded Places from Terrorism</w:t>
      </w:r>
      <w:r w:rsidRPr="00EC2BE7">
        <w:t xml:space="preserve"> and understanding of:</w:t>
      </w:r>
    </w:p>
    <w:p w:rsidR="00000000" w:rsidRPr="00EC2BE7" w:rsidP="00EC2BE7">
      <w:pPr>
        <w:pStyle w:val="ListBullet2"/>
      </w:pPr>
      <w:r w:rsidRPr="00EC2BE7">
        <w:t>definition of crowded places</w:t>
      </w:r>
    </w:p>
    <w:p w:rsidR="00000000" w:rsidRPr="00EC2BE7" w:rsidP="00EC2BE7">
      <w:pPr>
        <w:pStyle w:val="ListBullet2"/>
      </w:pPr>
      <w:r w:rsidRPr="00EC2BE7">
        <w:t>key security issues for crowded places</w:t>
      </w:r>
    </w:p>
    <w:p w:rsidR="00000000" w:rsidRPr="00EC2BE7" w:rsidP="00EC2BE7">
      <w:pPr>
        <w:pStyle w:val="ListBullet2"/>
      </w:pPr>
      <w:r w:rsidRPr="00EC2BE7">
        <w:t>objectives, characteristics and identification of active armed offenders</w:t>
      </w:r>
    </w:p>
    <w:p w:rsidR="00000000" w:rsidRPr="00EC2BE7" w:rsidP="00EC2BE7">
      <w:pPr>
        <w:pStyle w:val="ListBullet2"/>
      </w:pPr>
      <w:r w:rsidRPr="00EC2BE7">
        <w:t>definition of hostile vehicles and methods of attack</w:t>
      </w:r>
    </w:p>
    <w:p w:rsidR="00000000" w:rsidRPr="00EC2BE7" w:rsidP="00EC2BE7">
      <w:pPr>
        <w:pStyle w:val="ListBullet2"/>
      </w:pPr>
      <w:r w:rsidRPr="00EC2BE7">
        <w:t>signs of chemical weapons attack and recommend response</w:t>
      </w:r>
    </w:p>
    <w:p w:rsidR="00000000" w:rsidRPr="00EC2BE7" w:rsidP="00EC2BE7">
      <w:pPr>
        <w:pStyle w:val="ListBullet2"/>
      </w:pPr>
      <w:r w:rsidRPr="00EC2BE7">
        <w:t xml:space="preserve">general features of improvised explosive devices and recommended incident </w:t>
      </w:r>
      <w:r w:rsidRPr="00EC2BE7">
        <w:t>response</w:t>
      </w:r>
    </w:p>
    <w:p w:rsidR="00000000" w:rsidRPr="00EC2BE7" w:rsidP="00EC2BE7">
      <w:pPr>
        <w:pStyle w:val="ListBullet"/>
      </w:pPr>
      <w:r w:rsidRPr="00EC2BE7">
        <w:t xml:space="preserve">recognised industry practice and application of </w:t>
      </w:r>
      <w:r w:rsidRPr="00EC2BE7">
        <w:rPr>
          <w:rStyle w:val="Emphasis"/>
        </w:rPr>
        <w:t>ISO 31000:2018 Risk management – Guidelines</w:t>
      </w:r>
      <w:r w:rsidRPr="00EC2BE7">
        <w:t xml:space="preserve"> (ISO 31000) when designing security risk management strategies and treatment options</w:t>
      </w:r>
    </w:p>
    <w:p w:rsidR="00000000" w:rsidRPr="00EC2BE7" w:rsidP="00EC2BE7">
      <w:pPr>
        <w:pStyle w:val="ListBullet"/>
      </w:pPr>
      <w:r w:rsidRPr="00EC2BE7">
        <w:t>types of treatment options appropriate to the range of security risks and threats to various client operating environments:</w:t>
      </w:r>
    </w:p>
    <w:p w:rsidR="00000000" w:rsidRPr="00EC2BE7" w:rsidP="00EC2BE7">
      <w:pPr>
        <w:pStyle w:val="ListBullet2"/>
      </w:pPr>
      <w:r w:rsidRPr="00EC2BE7">
        <w:t>assets</w:t>
      </w:r>
    </w:p>
    <w:p w:rsidR="00000000" w:rsidRPr="00EC2BE7" w:rsidP="00EC2BE7">
      <w:pPr>
        <w:pStyle w:val="ListBullet2"/>
      </w:pPr>
      <w:r w:rsidRPr="00EC2BE7">
        <w:t>buildings</w:t>
      </w:r>
    </w:p>
    <w:p w:rsidR="00000000" w:rsidRPr="00EC2BE7" w:rsidP="00EC2BE7">
      <w:pPr>
        <w:pStyle w:val="ListBullet2"/>
      </w:pPr>
      <w:r w:rsidRPr="00EC2BE7">
        <w:t>crowded places</w:t>
      </w:r>
    </w:p>
    <w:p w:rsidR="00000000" w:rsidRPr="00EC2BE7" w:rsidP="00EC2BE7">
      <w:pPr>
        <w:pStyle w:val="ListBullet2"/>
      </w:pPr>
      <w:r w:rsidRPr="00EC2BE7">
        <w:t>mass gatherings.</w:t>
      </w:r>
    </w:p>
    <w:p w:rsidR="00000000" w:rsidRPr="00EC2BE7" w:rsidP="00EC2BE7">
      <w:pPr>
        <w:pStyle w:val="AllowPageBreak"/>
      </w:pPr>
    </w:p>
    <w:p w:rsidR="00000000" w:rsidRPr="00EC2BE7" w:rsidP="00EC2BE7">
      <w:pPr>
        <w:pStyle w:val="Heading1"/>
      </w:pPr>
      <w:bookmarkStart w:id="12" w:name="O_1053684"/>
      <w:bookmarkEnd w:id="12"/>
      <w:r w:rsidRPr="00EC2BE7">
        <w:t>Assessment Conditions</w:t>
      </w:r>
    </w:p>
    <w:p w:rsidR="00000000" w:rsidRPr="00EC2BE7" w:rsidP="0033067C">
      <w:pPr>
        <w:pStyle w:val="BodyText"/>
      </w:pPr>
      <w:r w:rsidRPr="00EC2BE7">
        <w:t xml:space="preserve">Assessors must meet the requirements for </w:t>
      </w:r>
      <w:r w:rsidRPr="00EC2BE7">
        <w:t>assessors contained in the Standards for Registered Training Organisations.</w:t>
      </w:r>
    </w:p>
    <w:p w:rsidR="00000000" w:rsidRPr="00EC2BE7" w:rsidP="0033067C">
      <w:pPr>
        <w:pStyle w:val="BodyText"/>
      </w:pPr>
      <w:r w:rsidRPr="00EC2BE7">
        <w:t xml:space="preserve">All individuals engaged by a licensed RTO for security licensing purposes must hold both a security trainers licence (where such a licence exists within the relevant jurisdiction) </w:t>
      </w:r>
      <w:r w:rsidRPr="00EC2BE7">
        <w:t>and the licence for performing the security activities for which the individual is providing training or assessment.  Regulators may impose other assessor conditions to meet jurisdictional assessment requirements.</w:t>
      </w:r>
    </w:p>
    <w:p w:rsidR="00000000" w:rsidRPr="00EC2BE7" w:rsidP="0033067C">
      <w:pPr>
        <w:pStyle w:val="BodyText"/>
      </w:pPr>
      <w:r w:rsidRPr="00EC2BE7">
        <w:t>Assessment must be conducted in the workpl</w:t>
      </w:r>
      <w:r w:rsidRPr="00EC2BE7">
        <w:t>ace or in a simulated workplace environment. Candidates must have access to:</w:t>
      </w:r>
    </w:p>
    <w:p w:rsidR="00000000" w:rsidRPr="00EC2BE7" w:rsidP="00EC2BE7">
      <w:pPr>
        <w:pStyle w:val="ListBullet"/>
      </w:pPr>
      <w:r w:rsidRPr="00EC2BE7">
        <w:t>legislation, regulations and codes of practice that apply to developing security risk management plans in the jurisdiction of operation</w:t>
      </w:r>
    </w:p>
    <w:p w:rsidR="00000000" w:rsidRPr="00EC2BE7" w:rsidP="00EC2BE7">
      <w:pPr>
        <w:pStyle w:val="ListBullet"/>
      </w:pPr>
      <w:r w:rsidRPr="00EC2BE7">
        <w:t>client instructions and operating environm</w:t>
      </w:r>
      <w:r w:rsidRPr="00EC2BE7">
        <w:t>ent information, resources and information technologies required to achieve the performance evidence</w:t>
      </w:r>
    </w:p>
    <w:p w:rsidR="00000000" w:rsidRPr="00EC2BE7" w:rsidP="00EC2BE7">
      <w:pPr>
        <w:pStyle w:val="ListBullet"/>
      </w:pPr>
      <w:r w:rsidRPr="00EC2BE7">
        <w:t>ISO 31000</w:t>
      </w:r>
    </w:p>
    <w:p w:rsidR="00000000" w:rsidRPr="00EC2BE7" w:rsidP="00EC2BE7">
      <w:pPr>
        <w:pStyle w:val="ListBullet"/>
      </w:pPr>
      <w:r w:rsidRPr="00EC2BE7">
        <w:rPr>
          <w:rStyle w:val="Emphasis"/>
        </w:rPr>
        <w:t>National Guidelines for the Protection of Places of Mass gathering from Terrorism</w:t>
      </w:r>
    </w:p>
    <w:p w:rsidR="00000000" w:rsidRPr="00EC2BE7" w:rsidP="00EC2BE7">
      <w:pPr>
        <w:pStyle w:val="ListBullet"/>
      </w:pPr>
      <w:r w:rsidRPr="00EC2BE7">
        <w:rPr>
          <w:rStyle w:val="Emphasis"/>
        </w:rPr>
        <w:t>Australia’</w:t>
      </w:r>
      <w:r w:rsidRPr="00EC2BE7">
        <w:rPr>
          <w:rStyle w:val="Emphasis"/>
        </w:rPr>
        <w:t>s Strategy for Protecting Crowded Places from Terrorism</w:t>
      </w:r>
    </w:p>
    <w:p w:rsidR="00000000" w:rsidRPr="00EC2BE7" w:rsidP="00EC2BE7">
      <w:pPr>
        <w:pStyle w:val="ListBullet"/>
      </w:pPr>
      <w:r w:rsidRPr="00EC2BE7">
        <w:rPr>
          <w:rStyle w:val="Emphasis"/>
        </w:rPr>
        <w:t>National Guidelines for the Protection of Places of Mass gathering from Terrorism</w:t>
      </w:r>
    </w:p>
    <w:p w:rsidR="00000000" w:rsidRPr="00EC2BE7" w:rsidP="00EC2BE7">
      <w:pPr>
        <w:pStyle w:val="ListBullet"/>
      </w:pPr>
      <w:r w:rsidRPr="00EC2BE7">
        <w:rPr>
          <w:rStyle w:val="Emphasis"/>
        </w:rPr>
        <w:t>Active Armed Offender Guidelines for Crowded Places</w:t>
      </w:r>
    </w:p>
    <w:p w:rsidR="00000000" w:rsidRPr="00EC2BE7" w:rsidP="00EC2BE7">
      <w:pPr>
        <w:pStyle w:val="ListBullet"/>
      </w:pPr>
      <w:r w:rsidRPr="00EC2BE7">
        <w:rPr>
          <w:rStyle w:val="Emphasis"/>
        </w:rPr>
        <w:t>Improvised Explosive Device Guidelines for Crowded Places</w:t>
      </w:r>
    </w:p>
    <w:p w:rsidR="00000000" w:rsidRPr="00EC2BE7" w:rsidP="00EC2BE7">
      <w:pPr>
        <w:pStyle w:val="ListBullet"/>
      </w:pPr>
      <w:r w:rsidRPr="00EC2BE7">
        <w:rPr>
          <w:rStyle w:val="Emphasis"/>
        </w:rPr>
        <w:t>Chemical</w:t>
      </w:r>
      <w:r w:rsidRPr="00EC2BE7">
        <w:rPr>
          <w:rStyle w:val="Emphasis"/>
        </w:rPr>
        <w:t xml:space="preserve"> Weapon Guidelines for Crowded Places</w:t>
      </w:r>
    </w:p>
    <w:p w:rsidR="00000000" w:rsidRPr="00EC2BE7" w:rsidP="00EC2BE7">
      <w:pPr>
        <w:pStyle w:val="ListBullet"/>
      </w:pPr>
      <w:r w:rsidRPr="00EC2BE7">
        <w:rPr>
          <w:rStyle w:val="Emphasis"/>
        </w:rPr>
        <w:t>Hostile Vehicle Guidelines for Crowded Places.</w:t>
      </w:r>
    </w:p>
    <w:p w:rsidR="00000000" w:rsidRPr="00EC2BE7" w:rsidP="00EC2BE7">
      <w:pPr>
        <w:pStyle w:val="AllowPageBreak"/>
      </w:pPr>
    </w:p>
    <w:p w:rsidR="00000000" w:rsidRPr="00EC2BE7" w:rsidP="00EC2BE7">
      <w:pPr>
        <w:pStyle w:val="Heading1"/>
      </w:pPr>
      <w:bookmarkStart w:id="13" w:name="O_1053682"/>
      <w:bookmarkEnd w:id="13"/>
      <w:r w:rsidRPr="00EC2BE7">
        <w:t>Links</w:t>
      </w:r>
    </w:p>
    <w:p w:rsidR="00000000" w:rsidRPr="00EC2BE7" w:rsidP="0033067C">
      <w:pPr>
        <w:pStyle w:val="BodyText"/>
      </w:pPr>
      <w:r w:rsidRPr="00EC2BE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11313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C2BE7" w:rsidP="00EC2BE7"/>
    <w:sectPr w:rsidSect="00EC2BE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B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BE7" w:rsidRPr="0033067C" w:rsidP="003306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B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67C" w:rsidP="00EC2B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067C" w:rsidP="00EC2B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3067C" w:rsidP="00EC2BE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BE7" w:rsidP="00EC2B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3067C">
      <w:t>Approved</w:t>
    </w:r>
    <w:r w:rsidR="0033067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3067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3067C">
      <w:rPr>
        <w:noProof/>
      </w:rPr>
      <w:t>4</w:t>
    </w:r>
    <w:r>
      <w:rPr>
        <w:noProof/>
      </w:rPr>
      <w:fldChar w:fldCharType="end"/>
    </w:r>
  </w:p>
  <w:p w:rsidR="00EC2BE7" w:rsidP="00EC2B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3067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3067C">
      <w:t>BuildSkills Australia</w:t>
    </w:r>
    <w:r w:rsidR="0033067C">
      <w:fldChar w:fldCharType="end"/>
    </w:r>
  </w:p>
  <w:p w:rsidR="00EC2BE7" w:rsidP="00EC2B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B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6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2BE7" w:rsidRPr="0033067C" w:rsidP="003306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B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67C" w:rsidRPr="002D2AF8" w:rsidP="00EC2B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CPPSEC5004 Develop security risk management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3067C" w:rsidP="00EC2BE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BE7" w:rsidRPr="002D2AF8" w:rsidP="00EC2B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3067C">
      <w:t>CPPSEC5004 Develop security risk management plans</w:t>
    </w:r>
    <w:r w:rsidR="0033067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3067C">
      <w:rPr>
        <w:noProof/>
      </w:rPr>
      <w:t>1 March 2025</w:t>
    </w:r>
    <w:r>
      <w:fldChar w:fldCharType="end"/>
    </w:r>
  </w:p>
  <w:p w:rsidR="00EC2BE7" w:rsidP="00EC2B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5606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069D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1445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2B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2B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2B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2B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2B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2B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2B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2B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2B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2B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2B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2BE7"/>
  </w:style>
  <w:style w:type="character" w:customStyle="1" w:styleId="Heading1Char">
    <w:name w:val="Heading 1 Char"/>
    <w:basedOn w:val="DefaultParagraphFont"/>
    <w:link w:val="Heading1"/>
    <w:rsid w:val="00EC2B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2B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2B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2BE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C2BE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C2BE7"/>
    <w:rPr>
      <w:i/>
    </w:rPr>
  </w:style>
  <w:style w:type="paragraph" w:customStyle="1" w:styleId="SuperHeading">
    <w:name w:val="SuperHeading"/>
    <w:basedOn w:val="Normal"/>
    <w:rsid w:val="00EC2B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2B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2B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2B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2B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2B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2B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2B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2B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2B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2B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2B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2B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2B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2B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2B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2B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2B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2B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2B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2B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2B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C2BE7"/>
    <w:rPr>
      <w:b/>
      <w:spacing w:val="0"/>
    </w:rPr>
  </w:style>
  <w:style w:type="paragraph" w:customStyle="1" w:styleId="SuperTitle">
    <w:name w:val="SuperTitle"/>
    <w:basedOn w:val="Title"/>
    <w:rsid w:val="00EC2B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2B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2B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2B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2B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2B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2B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2B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2B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2B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2B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2B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C2B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2B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2B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2BE7"/>
  </w:style>
  <w:style w:type="paragraph" w:styleId="TableofFigures">
    <w:name w:val="table of figures"/>
    <w:basedOn w:val="Normal"/>
    <w:next w:val="Normal"/>
    <w:semiHidden/>
    <w:rsid w:val="00EC2B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2BE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C2BE7"/>
    <w:rPr>
      <w:rFonts w:ascii="Wingdings" w:hAnsi="Wingdings"/>
    </w:rPr>
  </w:style>
  <w:style w:type="paragraph" w:customStyle="1" w:styleId="TableHeading">
    <w:name w:val="Table Heading"/>
    <w:basedOn w:val="HeadingBase"/>
    <w:rsid w:val="00EC2B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2BE7"/>
    <w:rPr>
      <w:color w:val="0033CC"/>
      <w:u w:val="none"/>
    </w:rPr>
  </w:style>
  <w:style w:type="paragraph" w:customStyle="1" w:styleId="BodyTextRight">
    <w:name w:val="Body Text Right"/>
    <w:basedOn w:val="BodyText"/>
    <w:rsid w:val="00EC2B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2B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2BE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2B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2B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2B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2BE7"/>
    <w:rPr>
      <w:sz w:val="32"/>
    </w:rPr>
  </w:style>
  <w:style w:type="paragraph" w:customStyle="1" w:styleId="HeadingProcedure">
    <w:name w:val="Heading Procedure"/>
    <w:basedOn w:val="HeadingBase"/>
    <w:next w:val="Normal"/>
    <w:rsid w:val="00EC2B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2BE7"/>
    <w:pPr>
      <w:spacing w:before="60" w:after="60"/>
    </w:pPr>
  </w:style>
  <w:style w:type="paragraph" w:styleId="ListContinue">
    <w:name w:val="List Continue"/>
    <w:basedOn w:val="List"/>
    <w:rsid w:val="00EC2BE7"/>
    <w:pPr>
      <w:ind w:firstLine="0"/>
    </w:pPr>
  </w:style>
  <w:style w:type="paragraph" w:customStyle="1" w:styleId="ListNote">
    <w:name w:val="List Note"/>
    <w:basedOn w:val="List"/>
    <w:rsid w:val="00EC2B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2B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2B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2BE7"/>
    <w:rPr>
      <w:rFonts w:ascii="Courier New" w:hAnsi="Courier New"/>
    </w:rPr>
  </w:style>
  <w:style w:type="paragraph" w:customStyle="1" w:styleId="NoteBullet">
    <w:name w:val="Note Bullet"/>
    <w:basedOn w:val="Note"/>
    <w:rsid w:val="00EC2B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2B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2B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2B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2BE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2B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2B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2BE7"/>
    <w:rPr>
      <w:b/>
      <w:smallCaps/>
    </w:rPr>
  </w:style>
  <w:style w:type="paragraph" w:customStyle="1" w:styleId="TableListNumber">
    <w:name w:val="Table List Number"/>
    <w:basedOn w:val="ListNumber"/>
    <w:rsid w:val="00EC2B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2B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2BE7"/>
    <w:pPr>
      <w:numPr>
        <w:numId w:val="9"/>
      </w:numPr>
    </w:pPr>
  </w:style>
  <w:style w:type="paragraph" w:customStyle="1" w:styleId="ListAlpha2">
    <w:name w:val="List Alpha 2"/>
    <w:basedOn w:val="List2"/>
    <w:rsid w:val="00EC2BE7"/>
    <w:pPr>
      <w:numPr>
        <w:numId w:val="8"/>
      </w:numPr>
    </w:pPr>
  </w:style>
  <w:style w:type="paragraph" w:styleId="List2">
    <w:name w:val="List 2"/>
    <w:basedOn w:val="BodyText"/>
    <w:rsid w:val="00EC2B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2B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2B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2B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2BE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2BE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2BE7"/>
    <w:pPr>
      <w:numPr>
        <w:numId w:val="4"/>
      </w:numPr>
    </w:pPr>
  </w:style>
  <w:style w:type="paragraph" w:styleId="ListContinue2">
    <w:name w:val="List Continue 2"/>
    <w:basedOn w:val="List2"/>
    <w:rsid w:val="00EC2BE7"/>
    <w:pPr>
      <w:ind w:firstLine="0"/>
    </w:pPr>
  </w:style>
  <w:style w:type="paragraph" w:styleId="ListContinue3">
    <w:name w:val="List Continue 3"/>
    <w:basedOn w:val="List3"/>
    <w:rsid w:val="00EC2BE7"/>
    <w:pPr>
      <w:ind w:left="1021" w:firstLine="0"/>
    </w:pPr>
  </w:style>
  <w:style w:type="paragraph" w:styleId="ListContinue4">
    <w:name w:val="List Continue 4"/>
    <w:basedOn w:val="List4"/>
    <w:rsid w:val="00EC2BE7"/>
    <w:pPr>
      <w:ind w:firstLine="0"/>
    </w:pPr>
  </w:style>
  <w:style w:type="paragraph" w:styleId="ListContinue5">
    <w:name w:val="List Continue 5"/>
    <w:basedOn w:val="List5"/>
    <w:rsid w:val="00EC2BE7"/>
    <w:pPr>
      <w:ind w:firstLine="0"/>
    </w:pPr>
  </w:style>
  <w:style w:type="paragraph" w:styleId="ListNumber3">
    <w:name w:val="List Number 3"/>
    <w:basedOn w:val="List3"/>
    <w:rsid w:val="00EC2BE7"/>
    <w:pPr>
      <w:numPr>
        <w:numId w:val="5"/>
      </w:numPr>
    </w:pPr>
  </w:style>
  <w:style w:type="paragraph" w:styleId="ListNumber4">
    <w:name w:val="List Number 4"/>
    <w:basedOn w:val="List4"/>
    <w:rsid w:val="00EC2BE7"/>
    <w:pPr>
      <w:numPr>
        <w:numId w:val="6"/>
      </w:numPr>
    </w:pPr>
  </w:style>
  <w:style w:type="paragraph" w:styleId="ListNumber5">
    <w:name w:val="List Number 5"/>
    <w:basedOn w:val="List5"/>
    <w:rsid w:val="00EC2BE7"/>
    <w:pPr>
      <w:numPr>
        <w:numId w:val="7"/>
      </w:numPr>
    </w:pPr>
  </w:style>
  <w:style w:type="paragraph" w:styleId="BlockText">
    <w:name w:val="Block Text"/>
    <w:basedOn w:val="Normal"/>
    <w:rsid w:val="00EC2B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2B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2BE7"/>
    <w:rPr>
      <w:sz w:val="16"/>
      <w:vertAlign w:val="superscript"/>
    </w:rPr>
  </w:style>
  <w:style w:type="character" w:customStyle="1" w:styleId="Symbols">
    <w:name w:val="Symbols"/>
    <w:basedOn w:val="DefaultParagraphFont"/>
    <w:rsid w:val="00EC2BE7"/>
    <w:rPr>
      <w:rFonts w:ascii="Symbol" w:hAnsi="Symbol"/>
    </w:rPr>
  </w:style>
  <w:style w:type="character" w:customStyle="1" w:styleId="MenuOptions">
    <w:name w:val="Menu Options"/>
    <w:basedOn w:val="DefaultParagraphFont"/>
    <w:rsid w:val="00EC2B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2BE7"/>
    <w:rPr>
      <w:b/>
    </w:rPr>
  </w:style>
  <w:style w:type="character" w:customStyle="1" w:styleId="Underlined">
    <w:name w:val="Underlined"/>
    <w:basedOn w:val="DefaultParagraphFont"/>
    <w:rsid w:val="00EC2BE7"/>
    <w:rPr>
      <w:u w:val="single"/>
    </w:rPr>
  </w:style>
  <w:style w:type="paragraph" w:customStyle="1" w:styleId="TableBodyTextRight">
    <w:name w:val="Table Body Text Right"/>
    <w:basedOn w:val="TableBodyText"/>
    <w:rsid w:val="00EC2B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2BE7"/>
    <w:rPr>
      <w:sz w:val="18"/>
    </w:rPr>
  </w:style>
  <w:style w:type="paragraph" w:customStyle="1" w:styleId="BodySmallRight">
    <w:name w:val="Body Small Right"/>
    <w:basedOn w:val="BodyTextRight"/>
    <w:rsid w:val="00EC2BE7"/>
    <w:rPr>
      <w:sz w:val="18"/>
      <w:szCs w:val="18"/>
    </w:rPr>
  </w:style>
  <w:style w:type="paragraph" w:customStyle="1" w:styleId="MarginEdition">
    <w:name w:val="Margin Edition"/>
    <w:basedOn w:val="MarginNote"/>
    <w:rsid w:val="00EC2B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2BE7"/>
    <w:rPr>
      <w:sz w:val="2"/>
      <w:szCs w:val="2"/>
    </w:rPr>
  </w:style>
  <w:style w:type="character" w:customStyle="1" w:styleId="Small">
    <w:name w:val="Small"/>
    <w:basedOn w:val="DefaultParagraphFont"/>
    <w:rsid w:val="00EC2BE7"/>
    <w:rPr>
      <w:sz w:val="16"/>
    </w:rPr>
  </w:style>
  <w:style w:type="paragraph" w:customStyle="1" w:styleId="WideTable">
    <w:name w:val="Wide Table"/>
    <w:basedOn w:val="Normal"/>
    <w:rsid w:val="00EC2B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2BE7"/>
  </w:style>
  <w:style w:type="paragraph" w:styleId="Quote">
    <w:name w:val="Quote"/>
    <w:basedOn w:val="Heading1"/>
    <w:link w:val="QuoteChar"/>
    <w:qFormat/>
    <w:rsid w:val="00EC2B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2B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2BE7"/>
    <w:pPr>
      <w:pageBreakBefore/>
    </w:pPr>
  </w:style>
  <w:style w:type="paragraph" w:customStyle="1" w:styleId="Border">
    <w:name w:val="Border"/>
    <w:basedOn w:val="Normal"/>
    <w:qFormat/>
    <w:rsid w:val="00EC2B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2B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2B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2B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2B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2B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2B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2B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2B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2BE7"/>
    <w:rPr>
      <w:u w:val="single"/>
    </w:rPr>
  </w:style>
  <w:style w:type="character" w:customStyle="1" w:styleId="BoldandItalics">
    <w:name w:val="Bold and Italics"/>
    <w:qFormat/>
    <w:rsid w:val="00EC2BE7"/>
    <w:rPr>
      <w:b/>
      <w:i/>
      <w:u w:val="none"/>
    </w:rPr>
  </w:style>
  <w:style w:type="paragraph" w:styleId="BalloonText">
    <w:name w:val="Balloon Text"/>
    <w:basedOn w:val="Normal"/>
    <w:link w:val="BalloonTextChar"/>
    <w:rsid w:val="00EC2B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2B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2B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2B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2B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2B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2BE7"/>
    <w:pPr>
      <w:spacing w:before="0" w:after="0"/>
    </w:pPr>
  </w:style>
  <w:style w:type="paragraph" w:customStyle="1" w:styleId="BodyTextBold">
    <w:name w:val="Body Text Bold"/>
    <w:basedOn w:val="BodyText"/>
    <w:qFormat/>
    <w:rsid w:val="00EC2BE7"/>
    <w:rPr>
      <w:b/>
    </w:rPr>
  </w:style>
  <w:style w:type="character" w:styleId="Hyperlink">
    <w:name w:val="Hyperlink"/>
    <w:basedOn w:val="DefaultParagraphFont"/>
    <w:uiPriority w:val="99"/>
    <w:unhideWhenUsed/>
    <w:rsid w:val="003306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1310</Words>
  <Characters>8476</Characters>
  <Application>Microsoft Office Word</Application>
  <DocSecurity>0</DocSecurity>
  <Lines>282</Lines>
  <Paragraphs>160</Paragraphs>
  <ScaleCrop>false</ScaleCrop>
  <Company>Author-it Software Corporation Ltd.</Company>
  <LinksUpToDate>false</LinksUpToDate>
  <CharactersWithSpaces>9626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CPPSEC5004 Develop security risk management plans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2025-03-01T12:11:00Z</dcterms:created>
  <dcterms:modified xsi:type="dcterms:W3CDTF">2025-03-01T12:11:00Z</dcterms:modified>
</cp:coreProperties>
</file>