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550" w:rsidP="006275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CPPSEC5004 Develop security risk management plans</w:t>
      </w:r>
      <w:r>
        <w:fldChar w:fldCharType="end"/>
      </w:r>
    </w:p>
    <w:p w:rsidR="00627550" w:rsidP="00627550">
      <w:pPr>
        <w:pStyle w:val="Version"/>
        <w:sectPr w:rsidSect="00253F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FD3" w:rsidP="00253FD3">
      <w:pPr>
        <w:pStyle w:val="SuperHeading"/>
      </w:pPr>
      <w:r w:rsidRPr="00253FD3">
        <w:t>Assessment Requirements for CPPSEC5004 Develop security risk management plans</w:t>
      </w:r>
    </w:p>
    <w:p w:rsidR="00000000" w:rsidRPr="00253FD3" w:rsidP="00253FD3">
      <w:pPr>
        <w:pStyle w:val="Heading1"/>
      </w:pPr>
      <w:bookmarkStart w:id="1" w:name="O_1053683"/>
      <w:bookmarkEnd w:id="1"/>
      <w:r w:rsidRPr="00253F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53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FD3">
            <w:pPr>
              <w:pStyle w:val="BodyText"/>
              <w:rPr>
                <w:lang w:val="en-NZ"/>
              </w:rPr>
            </w:pPr>
            <w:r w:rsidRPr="00253FD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FD3" w:rsidP="00253FD3">
            <w:pPr>
              <w:pStyle w:val="BodyText"/>
            </w:pPr>
            <w:r w:rsidRPr="00253FD3">
              <w:t>This version first released with CPP Property Services Training Package Release 9.0.</w:t>
            </w:r>
          </w:p>
          <w:p w:rsidR="00000000" w:rsidRPr="00253FD3" w:rsidP="00253FD3">
            <w:pPr>
              <w:pStyle w:val="BodyText"/>
            </w:pPr>
            <w:r w:rsidRPr="00253FD3">
              <w:t>Supersedes and is equivalent to CPPSEC5004A Prepare security risk management plan. Updated to meet the Standards for Training Packages.</w:t>
            </w:r>
          </w:p>
        </w:tc>
      </w:tr>
    </w:tbl>
    <w:p w:rsidR="00000000" w:rsidRPr="00253FD3" w:rsidP="00253FD3">
      <w:pPr>
        <w:pStyle w:val="BodyText"/>
      </w:pPr>
    </w:p>
    <w:p w:rsidR="00000000" w:rsidRPr="00253FD3" w:rsidP="00253FD3">
      <w:pPr>
        <w:pStyle w:val="AllowPageBreak"/>
      </w:pPr>
    </w:p>
    <w:p w:rsidR="00000000" w:rsidRPr="00253FD3" w:rsidP="00253FD3">
      <w:pPr>
        <w:pStyle w:val="Heading1"/>
      </w:pPr>
      <w:bookmarkStart w:id="2" w:name="O_1053686"/>
      <w:bookmarkEnd w:id="2"/>
      <w:r w:rsidRPr="00253FD3">
        <w:t>Performance Evidence</w:t>
      </w:r>
    </w:p>
    <w:p w:rsidR="00000000" w:rsidRPr="00253FD3" w:rsidP="00627550">
      <w:pPr>
        <w:pStyle w:val="BodyText"/>
      </w:pPr>
      <w:r w:rsidRPr="00253FD3">
        <w:t>To demonstrate competency, a candidate must meet the performance criteria of t</w:t>
      </w:r>
      <w:r w:rsidRPr="00253FD3">
        <w:t>his unit by developing and documenting two security risk management plans that meet the requirements of clients with different risk management requirements.</w:t>
      </w:r>
    </w:p>
    <w:p w:rsidR="00000000" w:rsidRPr="00253FD3" w:rsidP="00253FD3">
      <w:pPr>
        <w:pStyle w:val="Heading1"/>
      </w:pPr>
      <w:bookmarkStart w:id="3" w:name="O_1053685"/>
      <w:bookmarkEnd w:id="3"/>
      <w:r w:rsidRPr="00253FD3">
        <w:t>Knowledge Evidence</w:t>
      </w:r>
    </w:p>
    <w:p w:rsidR="00000000" w:rsidRPr="00253FD3" w:rsidP="00627550">
      <w:pPr>
        <w:pStyle w:val="BodyText"/>
      </w:pPr>
      <w:r w:rsidRPr="00253FD3">
        <w:t>To be competent in this unit, a candidate must demonstrate kn</w:t>
      </w:r>
      <w:r w:rsidRPr="00253FD3">
        <w:t>owledge of:</w:t>
      </w:r>
    </w:p>
    <w:p w:rsidR="00000000" w:rsidRPr="00253FD3" w:rsidP="00253FD3">
      <w:pPr>
        <w:pStyle w:val="ListBullet"/>
      </w:pPr>
      <w:r w:rsidRPr="00253FD3">
        <w:t>legislative and regulatory requirements that apply when developing security risk management plans:</w:t>
      </w:r>
    </w:p>
    <w:p w:rsidR="00000000" w:rsidRPr="00253FD3" w:rsidP="00253FD3">
      <w:pPr>
        <w:pStyle w:val="ListBullet2"/>
      </w:pPr>
      <w:r w:rsidRPr="00253FD3">
        <w:t>key requirements of legislation, regulations and codes of conduct for security risk management in the jurisdiction of operation</w:t>
      </w:r>
    </w:p>
    <w:p w:rsidR="00000000" w:rsidRPr="00253FD3" w:rsidP="00253FD3">
      <w:pPr>
        <w:pStyle w:val="ListBullet2"/>
      </w:pPr>
      <w:r w:rsidRPr="00253FD3">
        <w:t>legal rights and responsibilities of employers, supervisors and employees associated with work health and safety and duty of care</w:t>
      </w:r>
    </w:p>
    <w:p w:rsidR="00000000" w:rsidRPr="00253FD3" w:rsidP="00253FD3">
      <w:pPr>
        <w:pStyle w:val="ListBullet2"/>
      </w:pPr>
      <w:r w:rsidRPr="00253FD3">
        <w:t>licensing requirements in the security industry</w:t>
      </w:r>
    </w:p>
    <w:p w:rsidR="00000000" w:rsidRPr="00253FD3" w:rsidP="00253FD3">
      <w:pPr>
        <w:pStyle w:val="ListBullet2"/>
      </w:pPr>
      <w:r w:rsidRPr="00253FD3">
        <w:t>trespass and removal of persons</w:t>
      </w:r>
    </w:p>
    <w:p w:rsidR="00000000" w:rsidRPr="00253FD3" w:rsidP="00253FD3">
      <w:pPr>
        <w:pStyle w:val="ListBullet2"/>
      </w:pPr>
      <w:r w:rsidRPr="00253FD3">
        <w:t>use of force</w:t>
      </w:r>
    </w:p>
    <w:p w:rsidR="00000000" w:rsidRPr="00253FD3" w:rsidP="00253FD3">
      <w:pPr>
        <w:pStyle w:val="ListBullet"/>
      </w:pPr>
      <w:r w:rsidRPr="00253FD3">
        <w:t>application of integrated securi</w:t>
      </w:r>
      <w:r w:rsidRPr="00253FD3">
        <w:t>ty measures including physical security, manpower, security technologies and security of personnel and information</w:t>
      </w:r>
    </w:p>
    <w:p w:rsidR="00000000" w:rsidRPr="00253FD3" w:rsidP="00253FD3">
      <w:pPr>
        <w:pStyle w:val="ListBullet"/>
      </w:pPr>
      <w:r w:rsidRPr="00253FD3">
        <w:t>distinction between information and intelligence and methods for validating information sources</w:t>
      </w:r>
    </w:p>
    <w:p w:rsidR="00000000" w:rsidRPr="00253FD3" w:rsidP="00253FD3">
      <w:pPr>
        <w:pStyle w:val="ListBullet"/>
      </w:pPr>
      <w:r w:rsidRPr="00253FD3">
        <w:t>activities to be included in action plans for</w:t>
      </w:r>
      <w:r w:rsidRPr="00253FD3">
        <w:t xml:space="preserve"> security risk management</w:t>
      </w:r>
    </w:p>
    <w:p w:rsidR="00000000" w:rsidRPr="00253FD3" w:rsidP="00253FD3">
      <w:pPr>
        <w:pStyle w:val="ListBullet"/>
      </w:pPr>
      <w:r w:rsidRPr="00253FD3">
        <w:t>implications for security risk management arising from:</w:t>
      </w:r>
    </w:p>
    <w:p w:rsidR="00000000" w:rsidRPr="00253FD3" w:rsidP="00253FD3">
      <w:pPr>
        <w:pStyle w:val="ListBullet2"/>
      </w:pPr>
      <w:r w:rsidRPr="00253FD3">
        <w:rPr>
          <w:rStyle w:val="Emphasis"/>
        </w:rPr>
        <w:t>National Guidelines for the Protection of Places of Mass gathering from Terrorism</w:t>
      </w:r>
    </w:p>
    <w:p w:rsidR="00000000" w:rsidRPr="00253FD3" w:rsidP="00253FD3">
      <w:pPr>
        <w:pStyle w:val="ListBullet2"/>
      </w:pPr>
      <w:r w:rsidRPr="00253FD3">
        <w:rPr>
          <w:rStyle w:val="Emphasis"/>
        </w:rPr>
        <w:t>Active Armed Offender Guidelines for Crowded Places</w:t>
      </w:r>
    </w:p>
    <w:p w:rsidR="00000000" w:rsidRPr="00253FD3" w:rsidP="00253FD3">
      <w:pPr>
        <w:pStyle w:val="ListBullet2"/>
      </w:pPr>
      <w:r w:rsidRPr="00253FD3">
        <w:rPr>
          <w:rStyle w:val="Emphasis"/>
        </w:rPr>
        <w:t xml:space="preserve">Improvised Explosive Device Guidelines </w:t>
      </w:r>
      <w:r w:rsidRPr="00253FD3">
        <w:rPr>
          <w:rStyle w:val="Emphasis"/>
        </w:rPr>
        <w:t>for Crowded Places</w:t>
      </w:r>
    </w:p>
    <w:p w:rsidR="00000000" w:rsidRPr="00253FD3" w:rsidP="00253FD3">
      <w:pPr>
        <w:pStyle w:val="ListBullet2"/>
      </w:pPr>
      <w:r w:rsidRPr="00253FD3">
        <w:rPr>
          <w:rStyle w:val="Emphasis"/>
        </w:rPr>
        <w:t>Chemical Weapon Guidelines for Crowded Places</w:t>
      </w:r>
    </w:p>
    <w:p w:rsidR="00000000" w:rsidRPr="00253FD3" w:rsidP="00253FD3">
      <w:pPr>
        <w:pStyle w:val="ListBullet2"/>
      </w:pPr>
      <w:r w:rsidRPr="00253FD3">
        <w:rPr>
          <w:rStyle w:val="Emphasis"/>
        </w:rPr>
        <w:t>Hostile Vehicle Guidelines for Crowded Places</w:t>
      </w:r>
    </w:p>
    <w:p w:rsidR="00000000" w:rsidRPr="00253FD3" w:rsidP="00253FD3">
      <w:pPr>
        <w:pStyle w:val="ListBullet"/>
      </w:pPr>
      <w:r w:rsidRPr="00253FD3">
        <w:t>methods for determining the type, nature and causes of potential and actual security risks</w:t>
      </w:r>
    </w:p>
    <w:p w:rsidR="00000000" w:rsidRPr="00253FD3" w:rsidP="00253FD3">
      <w:pPr>
        <w:pStyle w:val="ListBullet"/>
      </w:pPr>
      <w:r w:rsidRPr="00253FD3">
        <w:t>methods for distinguishing between acceptable and una</w:t>
      </w:r>
      <w:r w:rsidRPr="00253FD3">
        <w:t>cceptable security risks</w:t>
      </w:r>
    </w:p>
    <w:p w:rsidR="00000000" w:rsidRPr="00253FD3" w:rsidP="00253FD3">
      <w:pPr>
        <w:pStyle w:val="ListBullet"/>
      </w:pPr>
      <w:r w:rsidRPr="00253FD3">
        <w:t>methods for prioritising security risks and treatment options based on degree of risk</w:t>
      </w:r>
    </w:p>
    <w:p w:rsidR="00000000" w:rsidRPr="00253FD3" w:rsidP="00253FD3">
      <w:pPr>
        <w:pStyle w:val="ListBullet"/>
      </w:pPr>
      <w:r w:rsidRPr="00253FD3">
        <w:t>methods for testing treatment options in the field</w:t>
      </w:r>
    </w:p>
    <w:p w:rsidR="00000000" w:rsidRPr="00253FD3" w:rsidP="00253FD3">
      <w:pPr>
        <w:pStyle w:val="ListBullet"/>
      </w:pPr>
      <w:r w:rsidRPr="00253FD3">
        <w:t>process and application of dynamic risk assessment and risk management methods</w:t>
      </w:r>
    </w:p>
    <w:p w:rsidR="00000000" w:rsidRPr="00253FD3" w:rsidP="00253FD3">
      <w:pPr>
        <w:pStyle w:val="ListBullet"/>
      </w:pPr>
      <w:r w:rsidRPr="00253FD3">
        <w:t xml:space="preserve">purpose of </w:t>
      </w:r>
      <w:r w:rsidRPr="00253FD3">
        <w:rPr>
          <w:rStyle w:val="Emphasis"/>
        </w:rPr>
        <w:t>Australia’s</w:t>
      </w:r>
      <w:r w:rsidRPr="00253FD3">
        <w:t xml:space="preserve"> </w:t>
      </w:r>
      <w:r w:rsidRPr="00253FD3">
        <w:rPr>
          <w:rStyle w:val="Emphasis"/>
        </w:rPr>
        <w:t>Strategy for Protecting Crowded Places from Terrorism</w:t>
      </w:r>
      <w:r w:rsidRPr="00253FD3">
        <w:t xml:space="preserve"> and understanding of:</w:t>
      </w:r>
    </w:p>
    <w:p w:rsidR="00000000" w:rsidRPr="00253FD3" w:rsidP="00253FD3">
      <w:pPr>
        <w:pStyle w:val="ListBullet2"/>
      </w:pPr>
      <w:r w:rsidRPr="00253FD3">
        <w:t>definition of crowded places</w:t>
      </w:r>
    </w:p>
    <w:p w:rsidR="00000000" w:rsidRPr="00253FD3" w:rsidP="00253FD3">
      <w:pPr>
        <w:pStyle w:val="ListBullet2"/>
      </w:pPr>
      <w:r w:rsidRPr="00253FD3">
        <w:t>key security issues for crowded places</w:t>
      </w:r>
    </w:p>
    <w:p w:rsidR="00000000" w:rsidRPr="00253FD3" w:rsidP="00253FD3">
      <w:pPr>
        <w:pStyle w:val="ListBullet2"/>
      </w:pPr>
      <w:r w:rsidRPr="00253FD3">
        <w:t>objectives, characteristics and identification of active armed offenders</w:t>
      </w:r>
    </w:p>
    <w:p w:rsidR="00000000" w:rsidRPr="00253FD3" w:rsidP="00253FD3">
      <w:pPr>
        <w:pStyle w:val="ListBullet2"/>
      </w:pPr>
      <w:r w:rsidRPr="00253FD3">
        <w:t>definition of hostile vehi</w:t>
      </w:r>
      <w:r w:rsidRPr="00253FD3">
        <w:t>cles and methods of attack</w:t>
      </w:r>
    </w:p>
    <w:p w:rsidR="00000000" w:rsidRPr="00253FD3" w:rsidP="00253FD3">
      <w:pPr>
        <w:pStyle w:val="ListBullet2"/>
      </w:pPr>
      <w:r w:rsidRPr="00253FD3">
        <w:t>signs of chemical weapons attack and recommend response</w:t>
      </w:r>
    </w:p>
    <w:p w:rsidR="00000000" w:rsidRPr="00253FD3" w:rsidP="00253FD3">
      <w:pPr>
        <w:pStyle w:val="ListBullet2"/>
      </w:pPr>
      <w:r w:rsidRPr="00253FD3">
        <w:t>general features of improvised explosive devices and recommended incident response</w:t>
      </w:r>
    </w:p>
    <w:p w:rsidR="00000000" w:rsidRPr="00253FD3" w:rsidP="00253FD3">
      <w:pPr>
        <w:pStyle w:val="ListBullet"/>
      </w:pPr>
      <w:r w:rsidRPr="00253FD3">
        <w:t xml:space="preserve">recognised industry practice and application of </w:t>
      </w:r>
      <w:r w:rsidRPr="00253FD3">
        <w:rPr>
          <w:rStyle w:val="Emphasis"/>
        </w:rPr>
        <w:t>ISO 31000:2018 Risk management – Guidelin</w:t>
      </w:r>
      <w:r w:rsidRPr="00253FD3">
        <w:rPr>
          <w:rStyle w:val="Emphasis"/>
        </w:rPr>
        <w:t>es</w:t>
      </w:r>
      <w:r w:rsidRPr="00253FD3">
        <w:t xml:space="preserve"> (ISO 31000) when designing security risk management strategies and treatment options</w:t>
      </w:r>
    </w:p>
    <w:p w:rsidR="00000000" w:rsidRPr="00253FD3" w:rsidP="00253FD3">
      <w:pPr>
        <w:pStyle w:val="ListBullet"/>
      </w:pPr>
      <w:r w:rsidRPr="00253FD3">
        <w:t>types of treatment options appropriate to the range of security risks and threats to various client operating environments:</w:t>
      </w:r>
    </w:p>
    <w:p w:rsidR="00000000" w:rsidRPr="00253FD3" w:rsidP="00253FD3">
      <w:pPr>
        <w:pStyle w:val="ListBullet2"/>
      </w:pPr>
      <w:r w:rsidRPr="00253FD3">
        <w:t>assets</w:t>
      </w:r>
    </w:p>
    <w:p w:rsidR="00000000" w:rsidRPr="00253FD3" w:rsidP="00253FD3">
      <w:pPr>
        <w:pStyle w:val="ListBullet2"/>
      </w:pPr>
      <w:r w:rsidRPr="00253FD3">
        <w:t>buildings</w:t>
      </w:r>
    </w:p>
    <w:p w:rsidR="00000000" w:rsidRPr="00253FD3" w:rsidP="00253FD3">
      <w:pPr>
        <w:pStyle w:val="ListBullet2"/>
      </w:pPr>
      <w:r w:rsidRPr="00253FD3">
        <w:t>crowded places</w:t>
      </w:r>
    </w:p>
    <w:p w:rsidR="00000000" w:rsidRPr="00253FD3" w:rsidP="00253FD3">
      <w:pPr>
        <w:pStyle w:val="ListBullet2"/>
      </w:pPr>
      <w:r w:rsidRPr="00253FD3">
        <w:t>mass gatherings.</w:t>
      </w:r>
    </w:p>
    <w:p w:rsidR="00000000" w:rsidRPr="00253FD3" w:rsidP="00253FD3">
      <w:pPr>
        <w:pStyle w:val="AllowPageBreak"/>
      </w:pPr>
    </w:p>
    <w:p w:rsidR="00000000" w:rsidRPr="00253FD3" w:rsidP="00253FD3">
      <w:pPr>
        <w:pStyle w:val="Heading1"/>
      </w:pPr>
      <w:bookmarkStart w:id="4" w:name="O_1053684"/>
      <w:bookmarkEnd w:id="4"/>
      <w:r w:rsidRPr="00253FD3">
        <w:t>Assessment Conditions</w:t>
      </w:r>
    </w:p>
    <w:p w:rsidR="00000000" w:rsidRPr="00253FD3" w:rsidP="00627550">
      <w:pPr>
        <w:pStyle w:val="BodyText"/>
      </w:pPr>
      <w:r w:rsidRPr="00253FD3">
        <w:t>Assessors must meet the requirements for assessors contained in the Standards for Registered Training Organisations.</w:t>
      </w:r>
    </w:p>
    <w:p w:rsidR="00000000" w:rsidRPr="00253FD3" w:rsidP="00627550">
      <w:pPr>
        <w:pStyle w:val="BodyText"/>
      </w:pPr>
      <w:r w:rsidRPr="00253FD3">
        <w:t>All individuals engaged by a licensed RTO for security licensing purposes must ho</w:t>
      </w:r>
      <w:r w:rsidRPr="00253FD3">
        <w:t>ld both a security trainers licence (where such a licence exists within the relevant jurisdiction) and the licence for performing the security activities for which the individual is providing training or assessment.  Regulators may impose other assessor co</w:t>
      </w:r>
      <w:r w:rsidRPr="00253FD3">
        <w:t>nditions to meet jurisdictional assessment requirements.</w:t>
      </w:r>
    </w:p>
    <w:p w:rsidR="00000000" w:rsidRPr="00253FD3" w:rsidP="00627550">
      <w:pPr>
        <w:pStyle w:val="BodyText"/>
      </w:pPr>
      <w:r w:rsidRPr="00253FD3">
        <w:t>Assessment must be conducted in the workplace or in a simulated workplace environment. Candidates must have access to:</w:t>
      </w:r>
    </w:p>
    <w:p w:rsidR="00000000" w:rsidRPr="00253FD3" w:rsidP="00253FD3">
      <w:pPr>
        <w:pStyle w:val="ListBullet"/>
      </w:pPr>
      <w:r w:rsidRPr="00253FD3">
        <w:t>legislation, regulations and codes of practice that apply to developing securit</w:t>
      </w:r>
      <w:r w:rsidRPr="00253FD3">
        <w:t>y risk management plans in the jurisdiction of operation</w:t>
      </w:r>
    </w:p>
    <w:p w:rsidR="00000000" w:rsidRPr="00253FD3" w:rsidP="00253FD3">
      <w:pPr>
        <w:pStyle w:val="ListBullet"/>
      </w:pPr>
      <w:r w:rsidRPr="00253FD3">
        <w:t>client instructions and operating environment information, resources and information technologies required to achieve the performance evidence</w:t>
      </w:r>
    </w:p>
    <w:p w:rsidR="00000000" w:rsidRPr="00253FD3" w:rsidP="00253FD3">
      <w:pPr>
        <w:pStyle w:val="ListBullet"/>
      </w:pPr>
      <w:r w:rsidRPr="00253FD3">
        <w:t>ISO 31000</w:t>
      </w:r>
    </w:p>
    <w:p w:rsidR="00000000" w:rsidRPr="00253FD3" w:rsidP="00253FD3">
      <w:pPr>
        <w:pStyle w:val="ListBullet"/>
      </w:pPr>
      <w:r w:rsidRPr="00253FD3">
        <w:rPr>
          <w:rStyle w:val="Emphasis"/>
        </w:rPr>
        <w:t>National Guidelines for the Protection of Plac</w:t>
      </w:r>
      <w:r w:rsidRPr="00253FD3">
        <w:rPr>
          <w:rStyle w:val="Emphasis"/>
        </w:rPr>
        <w:t>es of Mass gathering from Terrorism</w:t>
      </w:r>
    </w:p>
    <w:p w:rsidR="00000000" w:rsidRPr="00253FD3" w:rsidP="00253FD3">
      <w:pPr>
        <w:pStyle w:val="ListBullet"/>
      </w:pPr>
      <w:r w:rsidRPr="00253FD3">
        <w:rPr>
          <w:rStyle w:val="Emphasis"/>
        </w:rPr>
        <w:t>Australia’s Strategy for Protecting Crowded Places from Terrorism</w:t>
      </w:r>
    </w:p>
    <w:p w:rsidR="00000000" w:rsidRPr="00253FD3" w:rsidP="00253FD3">
      <w:pPr>
        <w:pStyle w:val="ListBullet"/>
      </w:pPr>
      <w:r w:rsidRPr="00253FD3">
        <w:rPr>
          <w:rStyle w:val="Emphasis"/>
        </w:rPr>
        <w:t>National Guidelines for the Protection of Places of Mass gathering from Terrorism</w:t>
      </w:r>
    </w:p>
    <w:p w:rsidR="00000000" w:rsidRPr="00253FD3" w:rsidP="00253FD3">
      <w:pPr>
        <w:pStyle w:val="ListBullet"/>
      </w:pPr>
      <w:r w:rsidRPr="00253FD3">
        <w:rPr>
          <w:rStyle w:val="Emphasis"/>
        </w:rPr>
        <w:t>Active Armed Offender Guidelines for Crowded Places</w:t>
      </w:r>
    </w:p>
    <w:p w:rsidR="00000000" w:rsidRPr="00253FD3" w:rsidP="00253FD3">
      <w:pPr>
        <w:pStyle w:val="ListBullet"/>
      </w:pPr>
      <w:r w:rsidRPr="00253FD3">
        <w:rPr>
          <w:rStyle w:val="Emphasis"/>
        </w:rPr>
        <w:t>Improvised Explosive</w:t>
      </w:r>
      <w:r w:rsidRPr="00253FD3">
        <w:rPr>
          <w:rStyle w:val="Emphasis"/>
        </w:rPr>
        <w:t xml:space="preserve"> Device Guidelines for Crowded Places</w:t>
      </w:r>
    </w:p>
    <w:p w:rsidR="00000000" w:rsidRPr="00253FD3" w:rsidP="00253FD3">
      <w:pPr>
        <w:pStyle w:val="ListBullet"/>
      </w:pPr>
      <w:r w:rsidRPr="00253FD3">
        <w:rPr>
          <w:rStyle w:val="Emphasis"/>
        </w:rPr>
        <w:t>Chemical Weapon Guidelines for Crowded Places</w:t>
      </w:r>
    </w:p>
    <w:p w:rsidR="00000000" w:rsidRPr="00253FD3" w:rsidP="00253FD3">
      <w:pPr>
        <w:pStyle w:val="ListBullet"/>
      </w:pPr>
      <w:r w:rsidRPr="00253FD3">
        <w:rPr>
          <w:rStyle w:val="Emphasis"/>
        </w:rPr>
        <w:t>Hostile Vehicle Guidelines for Crowded Places.</w:t>
      </w:r>
    </w:p>
    <w:p w:rsidR="00000000" w:rsidRPr="00253FD3" w:rsidP="00253FD3">
      <w:pPr>
        <w:pStyle w:val="AllowPageBreak"/>
      </w:pPr>
    </w:p>
    <w:p w:rsidR="00000000" w:rsidRPr="00253FD3" w:rsidP="00253FD3">
      <w:pPr>
        <w:pStyle w:val="Heading1"/>
      </w:pPr>
      <w:bookmarkStart w:id="5" w:name="O_1053682"/>
      <w:bookmarkEnd w:id="5"/>
      <w:r w:rsidRPr="00253FD3">
        <w:t>Links</w:t>
      </w:r>
    </w:p>
    <w:p w:rsidR="00000000" w:rsidRPr="00253FD3" w:rsidP="00627550">
      <w:pPr>
        <w:pStyle w:val="BodyText"/>
      </w:pPr>
      <w:r w:rsidRPr="00253FD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F4D8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53FD3" w:rsidP="00253FD3"/>
    <w:sectPr w:rsidSect="00253F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D3" w:rsidRPr="00627550" w:rsidP="006275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50" w:rsidP="00253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550" w:rsidP="00253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27550" w:rsidP="00253F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FD3" w:rsidRPr="00627550" w:rsidP="006275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50" w:rsidRPr="002D2AF8" w:rsidP="00253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CPPSEC5004 Develop security risk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27550" w:rsidP="00253F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8650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DCF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8C27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F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F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F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F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F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F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F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F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F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F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F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FD3"/>
  </w:style>
  <w:style w:type="character" w:customStyle="1" w:styleId="Heading1Char">
    <w:name w:val="Heading 1 Char"/>
    <w:basedOn w:val="DefaultParagraphFont"/>
    <w:link w:val="Heading1"/>
    <w:rsid w:val="00253F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F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F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F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3FD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3FD3"/>
    <w:rPr>
      <w:i/>
    </w:rPr>
  </w:style>
  <w:style w:type="paragraph" w:customStyle="1" w:styleId="SuperHeading">
    <w:name w:val="SuperHeading"/>
    <w:basedOn w:val="Normal"/>
    <w:rsid w:val="00253F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F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F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F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F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F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F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F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F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F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F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F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F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F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F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F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F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F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3FD3"/>
    <w:rPr>
      <w:b/>
      <w:spacing w:val="0"/>
    </w:rPr>
  </w:style>
  <w:style w:type="paragraph" w:customStyle="1" w:styleId="SuperTitle">
    <w:name w:val="SuperTitle"/>
    <w:basedOn w:val="Title"/>
    <w:rsid w:val="00253F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F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F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3F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F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F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F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F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F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F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F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F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3F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F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F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FD3"/>
  </w:style>
  <w:style w:type="paragraph" w:styleId="TableofFigures">
    <w:name w:val="table of figures"/>
    <w:basedOn w:val="Normal"/>
    <w:next w:val="Normal"/>
    <w:semiHidden/>
    <w:rsid w:val="00253F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F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3FD3"/>
    <w:rPr>
      <w:rFonts w:ascii="Wingdings" w:hAnsi="Wingdings"/>
    </w:rPr>
  </w:style>
  <w:style w:type="paragraph" w:customStyle="1" w:styleId="TableHeading">
    <w:name w:val="Table Heading"/>
    <w:basedOn w:val="HeadingBase"/>
    <w:rsid w:val="00253F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FD3"/>
    <w:rPr>
      <w:color w:val="0033CC"/>
      <w:u w:val="none"/>
    </w:rPr>
  </w:style>
  <w:style w:type="paragraph" w:customStyle="1" w:styleId="BodyTextRight">
    <w:name w:val="Body Text Right"/>
    <w:basedOn w:val="BodyText"/>
    <w:rsid w:val="00253F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F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F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F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F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F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FD3"/>
    <w:rPr>
      <w:sz w:val="32"/>
    </w:rPr>
  </w:style>
  <w:style w:type="paragraph" w:customStyle="1" w:styleId="HeadingProcedure">
    <w:name w:val="Heading Procedure"/>
    <w:basedOn w:val="HeadingBase"/>
    <w:next w:val="Normal"/>
    <w:rsid w:val="00253F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FD3"/>
    <w:pPr>
      <w:spacing w:before="60" w:after="60"/>
    </w:pPr>
  </w:style>
  <w:style w:type="paragraph" w:styleId="ListContinue">
    <w:name w:val="List Continue"/>
    <w:basedOn w:val="List"/>
    <w:rsid w:val="00253FD3"/>
    <w:pPr>
      <w:ind w:firstLine="0"/>
    </w:pPr>
  </w:style>
  <w:style w:type="paragraph" w:customStyle="1" w:styleId="ListNote">
    <w:name w:val="List Note"/>
    <w:basedOn w:val="List"/>
    <w:rsid w:val="00253F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F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F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FD3"/>
    <w:rPr>
      <w:rFonts w:ascii="Courier New" w:hAnsi="Courier New"/>
    </w:rPr>
  </w:style>
  <w:style w:type="paragraph" w:customStyle="1" w:styleId="NoteBullet">
    <w:name w:val="Note Bullet"/>
    <w:basedOn w:val="Note"/>
    <w:rsid w:val="00253F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F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F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F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F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3F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F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FD3"/>
    <w:rPr>
      <w:b/>
      <w:smallCaps/>
    </w:rPr>
  </w:style>
  <w:style w:type="paragraph" w:customStyle="1" w:styleId="TableListNumber">
    <w:name w:val="Table List Number"/>
    <w:basedOn w:val="ListNumber"/>
    <w:rsid w:val="00253F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F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FD3"/>
    <w:pPr>
      <w:numPr>
        <w:numId w:val="9"/>
      </w:numPr>
    </w:pPr>
  </w:style>
  <w:style w:type="paragraph" w:customStyle="1" w:styleId="ListAlpha2">
    <w:name w:val="List Alpha 2"/>
    <w:basedOn w:val="List2"/>
    <w:rsid w:val="00253FD3"/>
    <w:pPr>
      <w:numPr>
        <w:numId w:val="8"/>
      </w:numPr>
    </w:pPr>
  </w:style>
  <w:style w:type="paragraph" w:styleId="List2">
    <w:name w:val="List 2"/>
    <w:basedOn w:val="BodyText"/>
    <w:rsid w:val="00253F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F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F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F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F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F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3FD3"/>
    <w:pPr>
      <w:numPr>
        <w:numId w:val="4"/>
      </w:numPr>
    </w:pPr>
  </w:style>
  <w:style w:type="paragraph" w:styleId="ListContinue2">
    <w:name w:val="List Continue 2"/>
    <w:basedOn w:val="List2"/>
    <w:rsid w:val="00253FD3"/>
    <w:pPr>
      <w:ind w:firstLine="0"/>
    </w:pPr>
  </w:style>
  <w:style w:type="paragraph" w:styleId="ListContinue3">
    <w:name w:val="List Continue 3"/>
    <w:basedOn w:val="List3"/>
    <w:rsid w:val="00253FD3"/>
    <w:pPr>
      <w:ind w:left="1021" w:firstLine="0"/>
    </w:pPr>
  </w:style>
  <w:style w:type="paragraph" w:styleId="ListContinue4">
    <w:name w:val="List Continue 4"/>
    <w:basedOn w:val="List4"/>
    <w:rsid w:val="00253FD3"/>
    <w:pPr>
      <w:ind w:firstLine="0"/>
    </w:pPr>
  </w:style>
  <w:style w:type="paragraph" w:styleId="ListContinue5">
    <w:name w:val="List Continue 5"/>
    <w:basedOn w:val="List5"/>
    <w:rsid w:val="00253FD3"/>
    <w:pPr>
      <w:ind w:firstLine="0"/>
    </w:pPr>
  </w:style>
  <w:style w:type="paragraph" w:styleId="ListNumber3">
    <w:name w:val="List Number 3"/>
    <w:basedOn w:val="List3"/>
    <w:rsid w:val="00253FD3"/>
    <w:pPr>
      <w:numPr>
        <w:numId w:val="5"/>
      </w:numPr>
    </w:pPr>
  </w:style>
  <w:style w:type="paragraph" w:styleId="ListNumber4">
    <w:name w:val="List Number 4"/>
    <w:basedOn w:val="List4"/>
    <w:rsid w:val="00253FD3"/>
    <w:pPr>
      <w:numPr>
        <w:numId w:val="6"/>
      </w:numPr>
    </w:pPr>
  </w:style>
  <w:style w:type="paragraph" w:styleId="ListNumber5">
    <w:name w:val="List Number 5"/>
    <w:basedOn w:val="List5"/>
    <w:rsid w:val="00253FD3"/>
    <w:pPr>
      <w:numPr>
        <w:numId w:val="7"/>
      </w:numPr>
    </w:pPr>
  </w:style>
  <w:style w:type="paragraph" w:styleId="BlockText">
    <w:name w:val="Block Text"/>
    <w:basedOn w:val="Normal"/>
    <w:rsid w:val="00253F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F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FD3"/>
    <w:rPr>
      <w:sz w:val="16"/>
      <w:vertAlign w:val="superscript"/>
    </w:rPr>
  </w:style>
  <w:style w:type="character" w:customStyle="1" w:styleId="Symbols">
    <w:name w:val="Symbols"/>
    <w:basedOn w:val="DefaultParagraphFont"/>
    <w:rsid w:val="00253FD3"/>
    <w:rPr>
      <w:rFonts w:ascii="Symbol" w:hAnsi="Symbol"/>
    </w:rPr>
  </w:style>
  <w:style w:type="character" w:customStyle="1" w:styleId="MenuOptions">
    <w:name w:val="Menu Options"/>
    <w:basedOn w:val="DefaultParagraphFont"/>
    <w:rsid w:val="00253F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FD3"/>
    <w:rPr>
      <w:b/>
    </w:rPr>
  </w:style>
  <w:style w:type="character" w:customStyle="1" w:styleId="Underlined">
    <w:name w:val="Underlined"/>
    <w:basedOn w:val="DefaultParagraphFont"/>
    <w:rsid w:val="00253FD3"/>
    <w:rPr>
      <w:u w:val="single"/>
    </w:rPr>
  </w:style>
  <w:style w:type="paragraph" w:customStyle="1" w:styleId="TableBodyTextRight">
    <w:name w:val="Table Body Text Right"/>
    <w:basedOn w:val="TableBodyText"/>
    <w:rsid w:val="00253F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FD3"/>
    <w:rPr>
      <w:sz w:val="18"/>
    </w:rPr>
  </w:style>
  <w:style w:type="paragraph" w:customStyle="1" w:styleId="BodySmallRight">
    <w:name w:val="Body Small Right"/>
    <w:basedOn w:val="BodyTextRight"/>
    <w:rsid w:val="00253FD3"/>
    <w:rPr>
      <w:sz w:val="18"/>
      <w:szCs w:val="18"/>
    </w:rPr>
  </w:style>
  <w:style w:type="paragraph" w:customStyle="1" w:styleId="MarginEdition">
    <w:name w:val="Margin Edition"/>
    <w:basedOn w:val="MarginNote"/>
    <w:rsid w:val="00253F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FD3"/>
    <w:rPr>
      <w:sz w:val="2"/>
      <w:szCs w:val="2"/>
    </w:rPr>
  </w:style>
  <w:style w:type="character" w:customStyle="1" w:styleId="Small">
    <w:name w:val="Small"/>
    <w:basedOn w:val="DefaultParagraphFont"/>
    <w:rsid w:val="00253FD3"/>
    <w:rPr>
      <w:sz w:val="16"/>
    </w:rPr>
  </w:style>
  <w:style w:type="paragraph" w:customStyle="1" w:styleId="WideTable">
    <w:name w:val="Wide Table"/>
    <w:basedOn w:val="Normal"/>
    <w:rsid w:val="00253F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FD3"/>
  </w:style>
  <w:style w:type="paragraph" w:styleId="Quote">
    <w:name w:val="Quote"/>
    <w:basedOn w:val="Heading1"/>
    <w:link w:val="QuoteChar"/>
    <w:qFormat/>
    <w:rsid w:val="00253F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F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FD3"/>
    <w:pPr>
      <w:pageBreakBefore/>
    </w:pPr>
  </w:style>
  <w:style w:type="paragraph" w:customStyle="1" w:styleId="Border">
    <w:name w:val="Border"/>
    <w:basedOn w:val="Normal"/>
    <w:qFormat/>
    <w:rsid w:val="00253F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F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F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F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F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F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F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F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F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FD3"/>
    <w:rPr>
      <w:u w:val="single"/>
    </w:rPr>
  </w:style>
  <w:style w:type="character" w:customStyle="1" w:styleId="BoldandItalics">
    <w:name w:val="Bold and Italics"/>
    <w:qFormat/>
    <w:rsid w:val="00253FD3"/>
    <w:rPr>
      <w:b/>
      <w:i/>
      <w:u w:val="none"/>
    </w:rPr>
  </w:style>
  <w:style w:type="paragraph" w:styleId="BalloonText">
    <w:name w:val="Balloon Text"/>
    <w:basedOn w:val="Normal"/>
    <w:link w:val="BalloonTextChar"/>
    <w:rsid w:val="00253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F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F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F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F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F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FD3"/>
    <w:pPr>
      <w:spacing w:before="0" w:after="0"/>
    </w:pPr>
  </w:style>
  <w:style w:type="paragraph" w:customStyle="1" w:styleId="BodyTextBold">
    <w:name w:val="Body Text Bold"/>
    <w:basedOn w:val="BodyText"/>
    <w:qFormat/>
    <w:rsid w:val="00253FD3"/>
    <w:rPr>
      <w:b/>
    </w:rPr>
  </w:style>
  <w:style w:type="character" w:styleId="Hyperlink">
    <w:name w:val="Hyperlink"/>
    <w:basedOn w:val="DefaultParagraphFont"/>
    <w:uiPriority w:val="99"/>
    <w:unhideWhenUsed/>
    <w:rsid w:val="006275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4133</Characters>
  <Application>Microsoft Office Word</Application>
  <DocSecurity>0</DocSecurity>
  <Lines>93</Lines>
  <Paragraphs>71</Paragraphs>
  <ScaleCrop>false</ScaleCrop>
  <Company>Author-it Software Corporation Ltd.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CPPSEC5004 Develop security risk management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