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E1E" w:rsidP="00E71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CPPSEC5003 Assess security risk management options</w:t>
      </w:r>
      <w:r>
        <w:fldChar w:fldCharType="end"/>
      </w:r>
    </w:p>
    <w:p w:rsidR="00E71E1E" w:rsidP="00E71E1E">
      <w:pPr>
        <w:pStyle w:val="Version"/>
        <w:sectPr w:rsidSect="00B04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6FB" w:rsidP="00B046FB">
      <w:pPr>
        <w:pStyle w:val="SuperHeading"/>
      </w:pPr>
      <w:r w:rsidRPr="00B046FB">
        <w:t>CPPSEC5003 Assess security risk management options</w:t>
      </w:r>
    </w:p>
    <w:p w:rsidR="00000000" w:rsidRPr="00B046FB" w:rsidP="00B046FB">
      <w:pPr>
        <w:pStyle w:val="Heading1"/>
      </w:pPr>
      <w:bookmarkStart w:id="1" w:name="O_1053670"/>
      <w:bookmarkEnd w:id="1"/>
      <w:r w:rsidRPr="00B046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B" w:rsidP="00B046FB">
            <w:pPr>
              <w:pStyle w:val="BodyText"/>
            </w:pPr>
            <w:r w:rsidRPr="00B046FB">
              <w:t>This version first released with CPP Property Services Training Package Release 9.0.</w:t>
            </w:r>
          </w:p>
          <w:p w:rsidR="00000000" w:rsidRPr="00B046FB" w:rsidP="00B046FB">
            <w:pPr>
              <w:pStyle w:val="BodyText"/>
            </w:pPr>
            <w:r w:rsidRPr="00B046FB">
              <w:t>Supersedes and is equivalent to CPPSEC5003A Assess security risk management options. Updated to meet the Standards for Training Pac</w:t>
            </w:r>
            <w:r w:rsidRPr="00B046FB">
              <w:t>kages.</w:t>
            </w:r>
          </w:p>
        </w:tc>
      </w:tr>
    </w:tbl>
    <w:p w:rsidR="00000000" w:rsidRPr="00B046FB" w:rsidP="00B046FB">
      <w:pPr>
        <w:pStyle w:val="BodyText"/>
      </w:pP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2" w:name="O_1053676"/>
      <w:bookmarkEnd w:id="2"/>
      <w:r w:rsidRPr="00B046FB">
        <w:t>Application</w:t>
      </w:r>
    </w:p>
    <w:p w:rsidR="00000000" w:rsidRPr="00B046FB" w:rsidP="00E71E1E">
      <w:pPr>
        <w:pStyle w:val="BodyText"/>
      </w:pPr>
      <w:r w:rsidRPr="00B046FB">
        <w:t xml:space="preserve">This unit specifies the skills and knowledge required to assess security risks associated with client operations and formulate suitable treatment options as part of a risk management strategy.  It includes analysing </w:t>
      </w:r>
      <w:r w:rsidRPr="00B046FB">
        <w:t xml:space="preserve">the client’s security objectives and operating environment and establishing criteria to select and prioritise risk treatment options consistent with recognised industry practice and guidelines provided by </w:t>
      </w:r>
      <w:r w:rsidRPr="00B046FB">
        <w:rPr>
          <w:rStyle w:val="Emphasis"/>
        </w:rPr>
        <w:t>ISO 31000:2018 Risk management – Guidelines</w:t>
      </w:r>
      <w:r w:rsidRPr="00B046FB">
        <w:t xml:space="preserve"> (ISO 31</w:t>
      </w:r>
      <w:r w:rsidRPr="00B046FB">
        <w:t>000).  The unit requires preparing formal reports detailing risk management options and possible consequences of not implementing recommended treatments.</w:t>
      </w:r>
    </w:p>
    <w:p w:rsidR="00000000" w:rsidRPr="00B046FB" w:rsidP="00E71E1E">
      <w:pPr>
        <w:pStyle w:val="BodyText"/>
      </w:pPr>
      <w:r w:rsidRPr="00B046FB">
        <w:t>This unit is suitable for those using a broad range of cognitive, technical and communication skills t</w:t>
      </w:r>
      <w:r w:rsidRPr="00B046FB">
        <w:t>o select and apply methods and technologies to analyse information and provide solutions to sometimes complex problems.</w:t>
      </w:r>
    </w:p>
    <w:p w:rsidR="00000000" w:rsidRPr="00B046FB" w:rsidP="00E71E1E">
      <w:pPr>
        <w:pStyle w:val="BodyText"/>
      </w:pPr>
      <w:r w:rsidRPr="00B046FB">
        <w:t>Legislative, regulatory or certification requirements apply in some states and territories to the provision of advice on security soluti</w:t>
      </w:r>
      <w:r w:rsidRPr="00B046FB">
        <w:t>ons, strategies, protocols and procedures. For further information, check with the relevant regulatory authority.</w:t>
      </w:r>
    </w:p>
    <w:p w:rsidR="00000000" w:rsidRPr="00B046FB" w:rsidP="00B046FB">
      <w:pPr>
        <w:pStyle w:val="Heading1"/>
      </w:pPr>
      <w:bookmarkStart w:id="3" w:name="O_1053675"/>
      <w:bookmarkEnd w:id="3"/>
      <w:r w:rsidRPr="00B046FB">
        <w:t>Pre-requisite Unit</w:t>
      </w:r>
    </w:p>
    <w:p w:rsidR="00000000" w:rsidRPr="00B046FB" w:rsidP="00E71E1E">
      <w:pPr>
        <w:pStyle w:val="BodyText"/>
      </w:pPr>
      <w:r w:rsidRPr="00B046FB">
        <w:t>None.</w:t>
      </w:r>
    </w:p>
    <w:p w:rsidR="00000000" w:rsidRPr="00B046FB" w:rsidP="00B046FB">
      <w:pPr>
        <w:pStyle w:val="Heading1"/>
      </w:pPr>
      <w:bookmarkStart w:id="4" w:name="O_1053674"/>
      <w:bookmarkEnd w:id="4"/>
      <w:r w:rsidRPr="00B046FB">
        <w:t>Unit Sector</w:t>
      </w:r>
    </w:p>
    <w:p w:rsidR="00000000" w:rsidRPr="00B046FB" w:rsidP="00E71E1E">
      <w:pPr>
        <w:pStyle w:val="BodyText"/>
      </w:pPr>
      <w:r w:rsidRPr="00B046FB">
        <w:t>Security/Risk management</w:t>
      </w:r>
    </w:p>
    <w:p w:rsidR="00000000" w:rsidRPr="00B046FB" w:rsidP="00B046FB">
      <w:pPr>
        <w:pStyle w:val="Heading1"/>
      </w:pPr>
      <w:bookmarkStart w:id="5" w:name="O_1053673"/>
      <w:bookmarkEnd w:id="5"/>
      <w:r w:rsidRPr="00B046FB">
        <w:t>Elements and Performanc</w:t>
      </w:r>
      <w:r w:rsidRPr="00B046FB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Performance criteria describe what needs to be done to demonstrate achievement of the element.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 xml:space="preserve">Assess client’s security requirements </w:t>
            </w:r>
            <w:r w:rsidRPr="00B046FB">
              <w:t>and risk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Ac</w:t>
            </w:r>
            <w:r w:rsidRPr="00B046FB">
              <w:t xml:space="preserve">cess and interpret key requirements of legislation, regulations and Australian standard ISO 31000 to understand and comply with requirements for assessing </w:t>
            </w:r>
            <w:r w:rsidRPr="00B046FB">
              <w:t>security risk management options.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Clarify client security objectives and risk assessment terms</w:t>
            </w:r>
            <w:r w:rsidRPr="00B046FB">
              <w:t xml:space="preserve"> of reference in consultation with relevant persons.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Source and review information to identify and assess risks associated with operating environment of client.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Analyse type, nature and cause of identified security risks and prioritise based on severity and likelihood of occurrence.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Document risk assessment outcomes and check to ensure data currency and reliability.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Formulate security risk management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Identify security risk treatment options commensurate with risk assessment and client requirements.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Research the application of identified treatment options in similar contexts to assess their effectiv</w:t>
            </w:r>
            <w:r w:rsidRPr="00B046FB">
              <w:t>eness in mitigating risks to client’s operating environment.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Establish criteria to assess effectiveness of treatment options consistent with recognised industry practice and guidelines provided by</w:t>
            </w:r>
            <w:r w:rsidRPr="00B046FB">
              <w:rPr>
                <w:rStyle w:val="Emphasis"/>
              </w:rPr>
              <w:t xml:space="preserve"> </w:t>
            </w:r>
            <w:r w:rsidRPr="00B046FB">
              <w:t>ISO 31000.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Apply criteria to select and prioritise recommended treatment options.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Finalise and present security risk management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Finalise and document security risk assessment detailing recommended risk management options and possible consequences of not implementing recommended treatments.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Check report to ensure analysis and recommendations are clear, coherent and consistent</w:t>
            </w:r>
            <w:r w:rsidRPr="00B046FB">
              <w:t xml:space="preserve"> with terms of reference, and supported by verifiable information.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Present report to relevant persons within agreed timeframes and explain identified security risks and treatment options to enhance understanding and acceptance of recommendations.</w:t>
            </w:r>
          </w:p>
        </w:tc>
      </w:tr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B" w:rsidP="00B046FB">
            <w:pPr>
              <w:pStyle w:val="BodyText"/>
            </w:pPr>
            <w:r w:rsidRPr="00B046FB">
              <w:t xml:space="preserve">Complete and secure risk assessment documentation in a manner that facilitates future retrieval and maintains client confidentiality according to workplace and </w:t>
            </w:r>
            <w:r w:rsidRPr="00B046FB">
              <w:t>regulatory requirements.</w:t>
            </w:r>
          </w:p>
        </w:tc>
      </w:tr>
    </w:tbl>
    <w:p w:rsidR="00000000" w:rsidRPr="00B046FB" w:rsidP="00B046FB">
      <w:pPr>
        <w:pStyle w:val="BodyText"/>
      </w:pP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6" w:name="O_1053672"/>
      <w:bookmarkEnd w:id="6"/>
      <w:r w:rsidRPr="00B046FB">
        <w:t>Foundation Skills</w:t>
      </w:r>
    </w:p>
    <w:p w:rsidR="00000000" w:rsidRPr="00B046FB" w:rsidP="00E71E1E">
      <w:pPr>
        <w:pStyle w:val="BodyText"/>
      </w:pPr>
      <w:r w:rsidRPr="00B046FB">
        <w:t>As well as the foundation s</w:t>
      </w:r>
      <w:r w:rsidRPr="00B046FB">
        <w:t>kills explicit in the performance criteria of this unit, candidates require:</w:t>
      </w:r>
    </w:p>
    <w:p w:rsidR="00000000" w:rsidRPr="00B046FB" w:rsidP="00B046FB">
      <w:pPr>
        <w:pStyle w:val="ListBullet"/>
      </w:pPr>
      <w:r w:rsidRPr="00B046FB">
        <w:t>oral communication skills to negotiate client agreement</w:t>
      </w:r>
    </w:p>
    <w:p w:rsidR="00000000" w:rsidRPr="00B046FB" w:rsidP="00B046FB">
      <w:pPr>
        <w:pStyle w:val="ListBullet"/>
      </w:pPr>
      <w:r w:rsidRPr="00B046FB">
        <w:t>writing skills to prepare succinct and logically structured assessment reports</w:t>
      </w:r>
    </w:p>
    <w:p w:rsidR="00000000" w:rsidRPr="00B046FB" w:rsidP="00B046FB">
      <w:pPr>
        <w:pStyle w:val="ListBullet"/>
      </w:pPr>
      <w:r w:rsidRPr="00B046FB">
        <w:t>numeracy skills to apply basic probability statistics when assessing security risks.</w:t>
      </w: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7" w:name="O_1053671"/>
      <w:bookmarkEnd w:id="7"/>
      <w:r w:rsidRPr="00B046FB">
        <w:t>Unit Mapping Information</w:t>
      </w:r>
    </w:p>
    <w:p w:rsidR="00000000" w:rsidRPr="00B046FB" w:rsidP="00E71E1E">
      <w:pPr>
        <w:pStyle w:val="BodyText"/>
      </w:pPr>
      <w:r w:rsidRPr="00B046FB">
        <w:t>Supersedes and equivalent to CPPSEC5003A Assess security risk management options.</w:t>
      </w:r>
    </w:p>
    <w:p w:rsidR="00000000" w:rsidRPr="00B046FB" w:rsidP="00B046FB">
      <w:pPr>
        <w:pStyle w:val="Heading1"/>
      </w:pPr>
      <w:bookmarkStart w:id="8" w:name="O_1053664"/>
      <w:bookmarkEnd w:id="8"/>
      <w:r w:rsidRPr="00B046FB">
        <w:t>Links</w:t>
      </w:r>
    </w:p>
    <w:p w:rsidR="00000000" w:rsidRPr="00B046FB" w:rsidP="00E71E1E">
      <w:pPr>
        <w:pStyle w:val="BodyText"/>
      </w:pPr>
      <w:r w:rsidRPr="00B046FB">
        <w:t>Companion volumes to</w:t>
      </w:r>
      <w:r w:rsidRPr="00B046FB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D6D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46FB" w:rsidP="00E71E1E">
      <w:pPr>
        <w:pStyle w:val="BodyText"/>
        <w:sectPr w:rsidSect="00B046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6FB" w:rsidP="00B046FB">
      <w:pPr>
        <w:pStyle w:val="SuperHeading"/>
      </w:pPr>
      <w:r w:rsidRPr="00B046FB">
        <w:t>Assessment Requirements for CPPSEC5003 Assess security risk man</w:t>
      </w:r>
      <w:r w:rsidRPr="00B046FB">
        <w:t>agement options</w:t>
      </w:r>
    </w:p>
    <w:p w:rsidR="00000000" w:rsidRPr="00B046FB" w:rsidP="00B046FB">
      <w:pPr>
        <w:pStyle w:val="Heading1"/>
      </w:pPr>
      <w:bookmarkStart w:id="9" w:name="O_1053666"/>
      <w:bookmarkEnd w:id="9"/>
      <w:r w:rsidRPr="00B046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4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6FB">
            <w:pPr>
              <w:pStyle w:val="BodyText"/>
              <w:rPr>
                <w:lang w:val="en-NZ"/>
              </w:rPr>
            </w:pPr>
            <w:r w:rsidRPr="00B046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6FB" w:rsidP="00B046FB">
            <w:pPr>
              <w:pStyle w:val="BodyText"/>
            </w:pPr>
            <w:r w:rsidRPr="00B046FB">
              <w:t>This version first released with CPP Property Services Training Package Release 9.0.</w:t>
            </w:r>
          </w:p>
          <w:p w:rsidR="00000000" w:rsidRPr="00B046FB" w:rsidP="00B046FB">
            <w:pPr>
              <w:pStyle w:val="BodyText"/>
            </w:pPr>
            <w:r w:rsidRPr="00B046FB">
              <w:t>Supersedes and is equivalent to CPPSEC5003A Assess security risk management options. Updated to meet the S</w:t>
            </w:r>
            <w:r w:rsidRPr="00B046FB">
              <w:t>tandards for Training Packages.</w:t>
            </w:r>
          </w:p>
        </w:tc>
      </w:tr>
    </w:tbl>
    <w:p w:rsidR="00000000" w:rsidRPr="00B046FB" w:rsidP="00B046FB">
      <w:pPr>
        <w:pStyle w:val="BodyText"/>
      </w:pP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10" w:name="O_1053669"/>
      <w:bookmarkEnd w:id="10"/>
      <w:r w:rsidRPr="00B046FB">
        <w:t>Performance Evidence</w:t>
      </w:r>
    </w:p>
    <w:p w:rsidR="00000000" w:rsidRPr="00B046FB" w:rsidP="00E71E1E">
      <w:pPr>
        <w:pStyle w:val="BodyText"/>
      </w:pPr>
      <w:r w:rsidRPr="00B046FB">
        <w:t xml:space="preserve">To demonstrate competency, a candidate must meet the performance criteria of this unit by assessing security risks and formulating risk management options associated </w:t>
      </w:r>
      <w:r w:rsidRPr="00B046FB">
        <w:t>with two of the following scenarios:</w:t>
      </w:r>
    </w:p>
    <w:p w:rsidR="00000000" w:rsidRPr="00B046FB" w:rsidP="00B046FB">
      <w:pPr>
        <w:pStyle w:val="ListBullet"/>
      </w:pPr>
      <w:r w:rsidRPr="00B046FB">
        <w:t>security of a mass gathering</w:t>
      </w:r>
    </w:p>
    <w:p w:rsidR="00000000" w:rsidRPr="00B046FB" w:rsidP="00B046FB">
      <w:pPr>
        <w:pStyle w:val="ListBullet"/>
      </w:pPr>
      <w:r w:rsidRPr="00B046FB">
        <w:t>security of a crowded place</w:t>
      </w:r>
    </w:p>
    <w:p w:rsidR="00000000" w:rsidRPr="00B046FB" w:rsidP="00B046FB">
      <w:pPr>
        <w:pStyle w:val="ListBullet"/>
      </w:pPr>
      <w:r w:rsidRPr="00B046FB">
        <w:t>asset security.</w:t>
      </w: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11" w:name="O_1053668"/>
      <w:bookmarkEnd w:id="11"/>
      <w:r w:rsidRPr="00B046FB">
        <w:t>Knowledge Evidence</w:t>
      </w:r>
    </w:p>
    <w:p w:rsidR="00000000" w:rsidRPr="00B046FB" w:rsidP="00E71E1E">
      <w:pPr>
        <w:pStyle w:val="BodyText"/>
      </w:pPr>
      <w:r w:rsidRPr="00B046FB">
        <w:t>To be competent in this unit, a candidate must demonstrate knowledge of:</w:t>
      </w:r>
    </w:p>
    <w:p w:rsidR="00000000" w:rsidRPr="00B046FB" w:rsidP="00B046FB">
      <w:pPr>
        <w:pStyle w:val="ListBullet"/>
      </w:pPr>
      <w:r w:rsidRPr="00B046FB">
        <w:t>legislative and regulatory requir</w:t>
      </w:r>
      <w:r w:rsidRPr="00B046FB">
        <w:t>ements that apply when assessing security risk management options:</w:t>
      </w:r>
    </w:p>
    <w:p w:rsidR="00000000" w:rsidRPr="00B046FB" w:rsidP="00B046FB">
      <w:pPr>
        <w:pStyle w:val="ListBullet2"/>
      </w:pPr>
      <w:r w:rsidRPr="00B046FB">
        <w:t>key requirements of legislation, regulations and codes of conduct governing security risk management in the jurisdiction of operation</w:t>
      </w:r>
    </w:p>
    <w:p w:rsidR="00000000" w:rsidRPr="00B046FB" w:rsidP="00B046FB">
      <w:pPr>
        <w:pStyle w:val="ListBullet2"/>
      </w:pPr>
      <w:r w:rsidRPr="00B046FB">
        <w:t>legal rights and responsibilities of employers, supervisors and employees associated with work health and safety and duty of care</w:t>
      </w:r>
    </w:p>
    <w:p w:rsidR="00000000" w:rsidRPr="00B046FB" w:rsidP="00B046FB">
      <w:pPr>
        <w:pStyle w:val="ListBullet2"/>
      </w:pPr>
      <w:r w:rsidRPr="00B046FB">
        <w:t>licensing requirements in the security industry</w:t>
      </w:r>
    </w:p>
    <w:p w:rsidR="00000000" w:rsidRPr="00B046FB" w:rsidP="00B046FB">
      <w:pPr>
        <w:pStyle w:val="ListBullet2"/>
      </w:pPr>
      <w:r w:rsidRPr="00B046FB">
        <w:t>trespass and removal of persons</w:t>
      </w:r>
    </w:p>
    <w:p w:rsidR="00000000" w:rsidRPr="00B046FB" w:rsidP="00B046FB">
      <w:pPr>
        <w:pStyle w:val="ListBullet2"/>
      </w:pPr>
      <w:r w:rsidRPr="00B046FB">
        <w:t>use of force</w:t>
      </w:r>
    </w:p>
    <w:p w:rsidR="00000000" w:rsidRPr="00B046FB" w:rsidP="00B046FB">
      <w:pPr>
        <w:pStyle w:val="ListBullet"/>
      </w:pPr>
      <w:r w:rsidRPr="00B046FB">
        <w:t>application of integrated securi</w:t>
      </w:r>
      <w:r w:rsidRPr="00B046FB">
        <w:t>ty measures including physical security, manpower, security technologies and security of personnel and information</w:t>
      </w:r>
    </w:p>
    <w:p w:rsidR="00000000" w:rsidRPr="00B046FB" w:rsidP="00B046FB">
      <w:pPr>
        <w:pStyle w:val="ListBullet"/>
      </w:pPr>
      <w:r w:rsidRPr="00B046FB">
        <w:t>distinction between information and intelligence and methods for validating information sources</w:t>
      </w:r>
    </w:p>
    <w:p w:rsidR="00000000" w:rsidRPr="00B046FB" w:rsidP="00B046FB">
      <w:pPr>
        <w:pStyle w:val="ListBullet"/>
      </w:pPr>
      <w:r w:rsidRPr="00B046FB">
        <w:t>implications for security risk management ari</w:t>
      </w:r>
      <w:r w:rsidRPr="00B046FB">
        <w:t>sing from:</w:t>
      </w:r>
    </w:p>
    <w:p w:rsidR="00000000" w:rsidRPr="00B046FB" w:rsidP="00B046FB">
      <w:pPr>
        <w:pStyle w:val="ListBullet2"/>
      </w:pPr>
      <w:r w:rsidRPr="00B046FB">
        <w:rPr>
          <w:rStyle w:val="Emphasis"/>
        </w:rPr>
        <w:t>National Guidelines for the Protection of Places of Mass gathering from Terrorism</w:t>
      </w:r>
    </w:p>
    <w:p w:rsidR="00000000" w:rsidRPr="00B046FB" w:rsidP="00B046FB">
      <w:pPr>
        <w:pStyle w:val="ListBullet2"/>
      </w:pPr>
      <w:r w:rsidRPr="00B046FB">
        <w:rPr>
          <w:rStyle w:val="Emphasis"/>
        </w:rPr>
        <w:t>Active Armed Offender Guidelines for Crowded Places</w:t>
      </w:r>
    </w:p>
    <w:p w:rsidR="00000000" w:rsidRPr="00B046FB" w:rsidP="00B046FB">
      <w:pPr>
        <w:pStyle w:val="ListBullet2"/>
      </w:pPr>
      <w:r w:rsidRPr="00B046FB">
        <w:rPr>
          <w:rStyle w:val="Emphasis"/>
        </w:rPr>
        <w:t>Improvised Explosive Device Guidelines for Crowded Places</w:t>
      </w:r>
    </w:p>
    <w:p w:rsidR="00000000" w:rsidRPr="00B046FB" w:rsidP="00B046FB">
      <w:pPr>
        <w:pStyle w:val="ListBullet2"/>
      </w:pPr>
      <w:r w:rsidRPr="00B046FB">
        <w:rPr>
          <w:rStyle w:val="Emphasis"/>
        </w:rPr>
        <w:t>Chemical Weapon Guidelines for Crowded Places</w:t>
      </w:r>
    </w:p>
    <w:p w:rsidR="00000000" w:rsidRPr="00B046FB" w:rsidP="00B046FB">
      <w:pPr>
        <w:pStyle w:val="ListBullet2"/>
      </w:pPr>
      <w:r w:rsidRPr="00B046FB">
        <w:rPr>
          <w:rStyle w:val="Emphasis"/>
        </w:rPr>
        <w:t>Hostil</w:t>
      </w:r>
      <w:r w:rsidRPr="00B046FB">
        <w:rPr>
          <w:rStyle w:val="Emphasis"/>
        </w:rPr>
        <w:t>e Vehicle Guidelines for Crowded Places</w:t>
      </w:r>
    </w:p>
    <w:p w:rsidR="00000000" w:rsidRPr="00B046FB" w:rsidP="00B046FB">
      <w:pPr>
        <w:pStyle w:val="ListBullet"/>
      </w:pPr>
      <w:r w:rsidRPr="00B046FB">
        <w:t>methods for determining the type, nature and causes of potential and actual security risks</w:t>
      </w:r>
    </w:p>
    <w:p w:rsidR="00000000" w:rsidRPr="00B046FB" w:rsidP="00B046FB">
      <w:pPr>
        <w:pStyle w:val="ListBullet"/>
      </w:pPr>
      <w:r w:rsidRPr="00B046FB">
        <w:t>methods for prioritising security risks and treatment options based on degree of risk</w:t>
      </w:r>
    </w:p>
    <w:p w:rsidR="00000000" w:rsidRPr="00B046FB" w:rsidP="00B046FB">
      <w:pPr>
        <w:pStyle w:val="ListBullet"/>
      </w:pPr>
      <w:r w:rsidRPr="00B046FB">
        <w:t>process and application of dynamic risk assessment and risk management methods</w:t>
      </w:r>
    </w:p>
    <w:p w:rsidR="00000000" w:rsidRPr="00B046FB" w:rsidP="00B046FB">
      <w:pPr>
        <w:pStyle w:val="ListBullet"/>
      </w:pPr>
      <w:r w:rsidRPr="00B046FB">
        <w:t xml:space="preserve">purpose of </w:t>
      </w:r>
      <w:r w:rsidRPr="00B046FB">
        <w:rPr>
          <w:rStyle w:val="Emphasis"/>
        </w:rPr>
        <w:t>Australia’s</w:t>
      </w:r>
      <w:r w:rsidRPr="00B046FB">
        <w:t xml:space="preserve"> </w:t>
      </w:r>
      <w:r w:rsidRPr="00B046FB">
        <w:rPr>
          <w:rStyle w:val="Emphasis"/>
        </w:rPr>
        <w:t>Strategy for Protecting Crowded Places from Terrorism</w:t>
      </w:r>
      <w:r w:rsidRPr="00B046FB">
        <w:t xml:space="preserve"> and understanding of:</w:t>
      </w:r>
    </w:p>
    <w:p w:rsidR="00000000" w:rsidRPr="00B046FB" w:rsidP="00B046FB">
      <w:pPr>
        <w:pStyle w:val="ListBullet2"/>
      </w:pPr>
      <w:r w:rsidRPr="00B046FB">
        <w:t>definition of crowded places</w:t>
      </w:r>
    </w:p>
    <w:p w:rsidR="00000000" w:rsidRPr="00B046FB" w:rsidP="00B046FB">
      <w:pPr>
        <w:pStyle w:val="ListBullet2"/>
      </w:pPr>
      <w:r w:rsidRPr="00B046FB">
        <w:t>key security issues for crowded places</w:t>
      </w:r>
    </w:p>
    <w:p w:rsidR="00000000" w:rsidRPr="00B046FB" w:rsidP="00B046FB">
      <w:pPr>
        <w:pStyle w:val="ListBullet2"/>
      </w:pPr>
      <w:r w:rsidRPr="00B046FB">
        <w:t>objectives, characteristics and identification of active armed offenders</w:t>
      </w:r>
    </w:p>
    <w:p w:rsidR="00000000" w:rsidRPr="00B046FB" w:rsidP="00B046FB">
      <w:pPr>
        <w:pStyle w:val="ListBullet2"/>
      </w:pPr>
      <w:r w:rsidRPr="00B046FB">
        <w:t>definition of hostile vehicles and methods of attack</w:t>
      </w:r>
    </w:p>
    <w:p w:rsidR="00000000" w:rsidRPr="00B046FB" w:rsidP="00B046FB">
      <w:pPr>
        <w:pStyle w:val="ListBullet2"/>
      </w:pPr>
      <w:r w:rsidRPr="00B046FB">
        <w:t>signs of chemical weapons attack and recommend response</w:t>
      </w:r>
    </w:p>
    <w:p w:rsidR="00000000" w:rsidRPr="00B046FB" w:rsidP="00B046FB">
      <w:pPr>
        <w:pStyle w:val="ListBullet2"/>
      </w:pPr>
      <w:r w:rsidRPr="00B046FB">
        <w:t xml:space="preserve">general features of improvised explosive devices and recommended incident </w:t>
      </w:r>
      <w:r w:rsidRPr="00B046FB">
        <w:t>response</w:t>
      </w:r>
    </w:p>
    <w:p w:rsidR="00000000" w:rsidRPr="00B046FB" w:rsidP="00B046FB">
      <w:pPr>
        <w:pStyle w:val="ListBullet"/>
      </w:pPr>
      <w:r w:rsidRPr="00B046FB">
        <w:t xml:space="preserve">recognised industry practice and application of </w:t>
      </w:r>
      <w:r w:rsidRPr="00B046FB">
        <w:rPr>
          <w:rStyle w:val="Emphasis"/>
        </w:rPr>
        <w:t>ISO 31000:2018 Risk management – Guidelines</w:t>
      </w:r>
      <w:r w:rsidRPr="00B046FB">
        <w:t xml:space="preserve"> (ISO 31000) when establishing criteria to assess risks and treatment options</w:t>
      </w:r>
    </w:p>
    <w:p w:rsidR="00000000" w:rsidRPr="00B046FB" w:rsidP="00B046FB">
      <w:pPr>
        <w:pStyle w:val="ListBullet"/>
      </w:pPr>
      <w:r w:rsidRPr="00B046FB">
        <w:t>types of treatment options appropriate to the range of security risks and thr</w:t>
      </w:r>
      <w:r w:rsidRPr="00B046FB">
        <w:t>eats to various client operating environments:</w:t>
      </w:r>
    </w:p>
    <w:p w:rsidR="00000000" w:rsidRPr="00B046FB" w:rsidP="00B046FB">
      <w:pPr>
        <w:pStyle w:val="ListBullet2"/>
      </w:pPr>
      <w:r w:rsidRPr="00B046FB">
        <w:t>assets</w:t>
      </w:r>
    </w:p>
    <w:p w:rsidR="00000000" w:rsidRPr="00B046FB" w:rsidP="00B046FB">
      <w:pPr>
        <w:pStyle w:val="ListBullet2"/>
      </w:pPr>
      <w:r w:rsidRPr="00B046FB">
        <w:t>buildings</w:t>
      </w:r>
    </w:p>
    <w:p w:rsidR="00000000" w:rsidRPr="00B046FB" w:rsidP="00B046FB">
      <w:pPr>
        <w:pStyle w:val="ListBullet2"/>
      </w:pPr>
      <w:r w:rsidRPr="00B046FB">
        <w:t>crowded places</w:t>
      </w:r>
    </w:p>
    <w:p w:rsidR="00000000" w:rsidRPr="00B046FB" w:rsidP="00B046FB">
      <w:pPr>
        <w:pStyle w:val="ListBullet2"/>
      </w:pPr>
      <w:r w:rsidRPr="00B046FB">
        <w:t>mass gatherings.</w:t>
      </w: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12" w:name="O_1053667"/>
      <w:bookmarkEnd w:id="12"/>
      <w:r w:rsidRPr="00B046FB">
        <w:t>Assessment Conditions</w:t>
      </w:r>
    </w:p>
    <w:p w:rsidR="00000000" w:rsidRPr="00B046FB" w:rsidP="00E71E1E">
      <w:pPr>
        <w:pStyle w:val="BodyText"/>
      </w:pPr>
      <w:r w:rsidRPr="00B046FB">
        <w:t>Assessors must meet the requirements for assessors contained in the Standards for Registered Training Organisations.</w:t>
      </w:r>
    </w:p>
    <w:p w:rsidR="00000000" w:rsidRPr="00B046FB" w:rsidP="00E71E1E">
      <w:pPr>
        <w:pStyle w:val="BodyText"/>
      </w:pPr>
      <w:r w:rsidRPr="00B046FB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B046FB">
        <w:t>ual is providing training or assessment.  Regulators may impose other assessor conditions to meet jurisdictional assessment requirements.</w:t>
      </w:r>
    </w:p>
    <w:p w:rsidR="00000000" w:rsidRPr="00B046FB" w:rsidP="00E71E1E">
      <w:pPr>
        <w:pStyle w:val="BodyText"/>
      </w:pPr>
      <w:r w:rsidRPr="00B046FB">
        <w:t>Assessment must be conducted in the workplace or in a simulated workplace environment. Candidates must have access to:</w:t>
      </w:r>
    </w:p>
    <w:p w:rsidR="00000000" w:rsidRPr="00B046FB" w:rsidP="00B046FB">
      <w:pPr>
        <w:pStyle w:val="ListBullet"/>
      </w:pPr>
      <w:r w:rsidRPr="00B046FB">
        <w:t>legislation, regulations and codes of practice that apply to assessing security risk management options in the jurisdiction of operation</w:t>
      </w:r>
    </w:p>
    <w:p w:rsidR="00000000" w:rsidRPr="00B046FB" w:rsidP="00B046FB">
      <w:pPr>
        <w:pStyle w:val="ListBullet"/>
      </w:pPr>
      <w:r w:rsidRPr="00B046FB">
        <w:t>client instructions and operating environment information, resources and information technologies required to achieve</w:t>
      </w:r>
      <w:r w:rsidRPr="00B046FB">
        <w:t xml:space="preserve"> the performance evidence</w:t>
      </w:r>
    </w:p>
    <w:p w:rsidR="00000000" w:rsidRPr="00B046FB" w:rsidP="00B046FB">
      <w:pPr>
        <w:pStyle w:val="ListBullet"/>
      </w:pPr>
      <w:r w:rsidRPr="00B046FB">
        <w:t>ISO 31000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National Guidelines for the Protection of Places of Mass gathering from Terrorism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Australia’s Strategy for Protecting Crowded Places from Terrorism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National Guidelines for the Protection of Places of Mass gathering from Terrorism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Active Armed Offender Guidelines for Crowded Places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Improvised Explosive Device Guidelines for Crowded Places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Chemical Weapon Guidelines for Crowded Places</w:t>
      </w:r>
    </w:p>
    <w:p w:rsidR="00000000" w:rsidRPr="00B046FB" w:rsidP="00B046FB">
      <w:pPr>
        <w:pStyle w:val="ListBullet"/>
      </w:pPr>
      <w:r w:rsidRPr="00B046FB">
        <w:rPr>
          <w:rStyle w:val="Emphasis"/>
        </w:rPr>
        <w:t>Hostile Vehicle Gu</w:t>
      </w:r>
      <w:r w:rsidRPr="00B046FB">
        <w:rPr>
          <w:rStyle w:val="Emphasis"/>
        </w:rPr>
        <w:t>idelines for Crowded Places.</w:t>
      </w:r>
    </w:p>
    <w:p w:rsidR="00000000" w:rsidRPr="00B046FB" w:rsidP="00B046FB">
      <w:pPr>
        <w:pStyle w:val="AllowPageBreak"/>
      </w:pPr>
    </w:p>
    <w:p w:rsidR="00000000" w:rsidRPr="00B046FB" w:rsidP="00B046FB">
      <w:pPr>
        <w:pStyle w:val="Heading1"/>
      </w:pPr>
      <w:bookmarkStart w:id="13" w:name="O_1053665"/>
      <w:bookmarkEnd w:id="13"/>
      <w:r w:rsidRPr="00B046FB">
        <w:t>Links</w:t>
      </w:r>
    </w:p>
    <w:p w:rsidR="00000000" w:rsidRPr="00B046FB" w:rsidP="00E71E1E">
      <w:pPr>
        <w:pStyle w:val="BodyText"/>
      </w:pPr>
      <w:r w:rsidRPr="00B046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D6D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46FB" w:rsidP="00B046FB"/>
    <w:sectPr w:rsidSect="00B046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 w:rsidRPr="00E71E1E" w:rsidP="00E71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1E" w:rsidP="00B04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E1E" w:rsidP="00B04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71E1E" w:rsidP="00B046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 w:rsidP="00B04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1E1E">
      <w:t>Approved</w:t>
    </w:r>
    <w:r w:rsidR="00E71E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1E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1E1E">
      <w:rPr>
        <w:noProof/>
      </w:rPr>
      <w:t>4</w:t>
    </w:r>
    <w:r>
      <w:rPr>
        <w:noProof/>
      </w:rPr>
      <w:fldChar w:fldCharType="end"/>
    </w:r>
  </w:p>
  <w:p w:rsidR="00B046FB" w:rsidP="00B04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1E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1E1E">
      <w:t>BuildSkills Australia</w:t>
    </w:r>
    <w:r w:rsidR="00E71E1E">
      <w:fldChar w:fldCharType="end"/>
    </w:r>
  </w:p>
  <w:p w:rsidR="00B046FB" w:rsidP="00B04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6FB" w:rsidRPr="00E71E1E" w:rsidP="00E71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1E" w:rsidRPr="002D2AF8" w:rsidP="00B04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CPPSEC5003 Assess security risk management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1E1E" w:rsidP="00B046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FB" w:rsidRPr="002D2AF8" w:rsidP="00B04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1E1E">
      <w:t>CPPSEC5003 Assess security risk management options</w:t>
    </w:r>
    <w:r w:rsidR="00E71E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1E1E">
      <w:rPr>
        <w:noProof/>
      </w:rPr>
      <w:t>2 March 2025</w:t>
    </w:r>
    <w:r>
      <w:fldChar w:fldCharType="end"/>
    </w:r>
  </w:p>
  <w:p w:rsidR="00B046FB" w:rsidP="00B04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EE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28C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C2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6FB"/>
  </w:style>
  <w:style w:type="character" w:customStyle="1" w:styleId="Heading1Char">
    <w:name w:val="Heading 1 Char"/>
    <w:basedOn w:val="DefaultParagraphFont"/>
    <w:link w:val="Heading1"/>
    <w:rsid w:val="00B04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6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46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46FB"/>
    <w:rPr>
      <w:i/>
    </w:rPr>
  </w:style>
  <w:style w:type="paragraph" w:customStyle="1" w:styleId="SuperHeading">
    <w:name w:val="SuperHeading"/>
    <w:basedOn w:val="Normal"/>
    <w:rsid w:val="00B04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6FB"/>
    <w:rPr>
      <w:b/>
      <w:spacing w:val="0"/>
    </w:rPr>
  </w:style>
  <w:style w:type="paragraph" w:customStyle="1" w:styleId="SuperTitle">
    <w:name w:val="SuperTitle"/>
    <w:basedOn w:val="Title"/>
    <w:rsid w:val="00B04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6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6FB"/>
  </w:style>
  <w:style w:type="paragraph" w:styleId="TableofFigures">
    <w:name w:val="table of figures"/>
    <w:basedOn w:val="Normal"/>
    <w:next w:val="Normal"/>
    <w:semiHidden/>
    <w:rsid w:val="00B04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6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6FB"/>
    <w:rPr>
      <w:rFonts w:ascii="Wingdings" w:hAnsi="Wingdings"/>
    </w:rPr>
  </w:style>
  <w:style w:type="paragraph" w:customStyle="1" w:styleId="TableHeading">
    <w:name w:val="Table Heading"/>
    <w:basedOn w:val="HeadingBase"/>
    <w:rsid w:val="00B04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6FB"/>
    <w:rPr>
      <w:color w:val="0033CC"/>
      <w:u w:val="none"/>
    </w:rPr>
  </w:style>
  <w:style w:type="paragraph" w:customStyle="1" w:styleId="BodyTextRight">
    <w:name w:val="Body Text Right"/>
    <w:basedOn w:val="BodyText"/>
    <w:rsid w:val="00B04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6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6FB"/>
    <w:rPr>
      <w:sz w:val="32"/>
    </w:rPr>
  </w:style>
  <w:style w:type="paragraph" w:customStyle="1" w:styleId="HeadingProcedure">
    <w:name w:val="Heading Procedure"/>
    <w:basedOn w:val="HeadingBase"/>
    <w:next w:val="Normal"/>
    <w:rsid w:val="00B04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6FB"/>
    <w:pPr>
      <w:spacing w:before="60" w:after="60"/>
    </w:pPr>
  </w:style>
  <w:style w:type="paragraph" w:styleId="ListContinue">
    <w:name w:val="List Continue"/>
    <w:basedOn w:val="List"/>
    <w:rsid w:val="00B046FB"/>
    <w:pPr>
      <w:ind w:firstLine="0"/>
    </w:pPr>
  </w:style>
  <w:style w:type="paragraph" w:customStyle="1" w:styleId="ListNote">
    <w:name w:val="List Note"/>
    <w:basedOn w:val="List"/>
    <w:rsid w:val="00B04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6FB"/>
    <w:rPr>
      <w:rFonts w:ascii="Courier New" w:hAnsi="Courier New"/>
    </w:rPr>
  </w:style>
  <w:style w:type="paragraph" w:customStyle="1" w:styleId="NoteBullet">
    <w:name w:val="Note Bullet"/>
    <w:basedOn w:val="Note"/>
    <w:rsid w:val="00B04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6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6FB"/>
    <w:rPr>
      <w:b/>
      <w:smallCaps/>
    </w:rPr>
  </w:style>
  <w:style w:type="paragraph" w:customStyle="1" w:styleId="TableListNumber">
    <w:name w:val="Table List Number"/>
    <w:basedOn w:val="ListNumber"/>
    <w:rsid w:val="00B04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6FB"/>
    <w:pPr>
      <w:numPr>
        <w:numId w:val="9"/>
      </w:numPr>
    </w:pPr>
  </w:style>
  <w:style w:type="paragraph" w:customStyle="1" w:styleId="ListAlpha2">
    <w:name w:val="List Alpha 2"/>
    <w:basedOn w:val="List2"/>
    <w:rsid w:val="00B046FB"/>
    <w:pPr>
      <w:numPr>
        <w:numId w:val="8"/>
      </w:numPr>
    </w:pPr>
  </w:style>
  <w:style w:type="paragraph" w:styleId="List2">
    <w:name w:val="List 2"/>
    <w:basedOn w:val="BodyText"/>
    <w:rsid w:val="00B04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6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6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6FB"/>
    <w:pPr>
      <w:numPr>
        <w:numId w:val="4"/>
      </w:numPr>
    </w:pPr>
  </w:style>
  <w:style w:type="paragraph" w:styleId="ListContinue2">
    <w:name w:val="List Continue 2"/>
    <w:basedOn w:val="List2"/>
    <w:rsid w:val="00B046FB"/>
    <w:pPr>
      <w:ind w:firstLine="0"/>
    </w:pPr>
  </w:style>
  <w:style w:type="paragraph" w:styleId="ListContinue3">
    <w:name w:val="List Continue 3"/>
    <w:basedOn w:val="List3"/>
    <w:rsid w:val="00B046FB"/>
    <w:pPr>
      <w:ind w:left="1021" w:firstLine="0"/>
    </w:pPr>
  </w:style>
  <w:style w:type="paragraph" w:styleId="ListContinue4">
    <w:name w:val="List Continue 4"/>
    <w:basedOn w:val="List4"/>
    <w:rsid w:val="00B046FB"/>
    <w:pPr>
      <w:ind w:firstLine="0"/>
    </w:pPr>
  </w:style>
  <w:style w:type="paragraph" w:styleId="ListContinue5">
    <w:name w:val="List Continue 5"/>
    <w:basedOn w:val="List5"/>
    <w:rsid w:val="00B046FB"/>
    <w:pPr>
      <w:ind w:firstLine="0"/>
    </w:pPr>
  </w:style>
  <w:style w:type="paragraph" w:styleId="ListNumber3">
    <w:name w:val="List Number 3"/>
    <w:basedOn w:val="List3"/>
    <w:rsid w:val="00B046FB"/>
    <w:pPr>
      <w:numPr>
        <w:numId w:val="5"/>
      </w:numPr>
    </w:pPr>
  </w:style>
  <w:style w:type="paragraph" w:styleId="ListNumber4">
    <w:name w:val="List Number 4"/>
    <w:basedOn w:val="List4"/>
    <w:rsid w:val="00B046FB"/>
    <w:pPr>
      <w:numPr>
        <w:numId w:val="6"/>
      </w:numPr>
    </w:pPr>
  </w:style>
  <w:style w:type="paragraph" w:styleId="ListNumber5">
    <w:name w:val="List Number 5"/>
    <w:basedOn w:val="List5"/>
    <w:rsid w:val="00B046FB"/>
    <w:pPr>
      <w:numPr>
        <w:numId w:val="7"/>
      </w:numPr>
    </w:pPr>
  </w:style>
  <w:style w:type="paragraph" w:styleId="BlockText">
    <w:name w:val="Block Text"/>
    <w:basedOn w:val="Normal"/>
    <w:rsid w:val="00B04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6FB"/>
    <w:rPr>
      <w:sz w:val="16"/>
      <w:vertAlign w:val="superscript"/>
    </w:rPr>
  </w:style>
  <w:style w:type="character" w:customStyle="1" w:styleId="Symbols">
    <w:name w:val="Symbols"/>
    <w:basedOn w:val="DefaultParagraphFont"/>
    <w:rsid w:val="00B046FB"/>
    <w:rPr>
      <w:rFonts w:ascii="Symbol" w:hAnsi="Symbol"/>
    </w:rPr>
  </w:style>
  <w:style w:type="character" w:customStyle="1" w:styleId="MenuOptions">
    <w:name w:val="Menu Options"/>
    <w:basedOn w:val="DefaultParagraphFont"/>
    <w:rsid w:val="00B04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6FB"/>
    <w:rPr>
      <w:b/>
    </w:rPr>
  </w:style>
  <w:style w:type="character" w:customStyle="1" w:styleId="Underlined">
    <w:name w:val="Underlined"/>
    <w:basedOn w:val="DefaultParagraphFont"/>
    <w:rsid w:val="00B046FB"/>
    <w:rPr>
      <w:u w:val="single"/>
    </w:rPr>
  </w:style>
  <w:style w:type="paragraph" w:customStyle="1" w:styleId="TableBodyTextRight">
    <w:name w:val="Table Body Text Right"/>
    <w:basedOn w:val="TableBodyText"/>
    <w:rsid w:val="00B04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6FB"/>
    <w:rPr>
      <w:sz w:val="18"/>
    </w:rPr>
  </w:style>
  <w:style w:type="paragraph" w:customStyle="1" w:styleId="BodySmallRight">
    <w:name w:val="Body Small Right"/>
    <w:basedOn w:val="BodyTextRight"/>
    <w:rsid w:val="00B046FB"/>
    <w:rPr>
      <w:sz w:val="18"/>
      <w:szCs w:val="18"/>
    </w:rPr>
  </w:style>
  <w:style w:type="paragraph" w:customStyle="1" w:styleId="MarginEdition">
    <w:name w:val="Margin Edition"/>
    <w:basedOn w:val="MarginNote"/>
    <w:rsid w:val="00B04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6FB"/>
    <w:rPr>
      <w:sz w:val="2"/>
      <w:szCs w:val="2"/>
    </w:rPr>
  </w:style>
  <w:style w:type="character" w:customStyle="1" w:styleId="Small">
    <w:name w:val="Small"/>
    <w:basedOn w:val="DefaultParagraphFont"/>
    <w:rsid w:val="00B046FB"/>
    <w:rPr>
      <w:sz w:val="16"/>
    </w:rPr>
  </w:style>
  <w:style w:type="paragraph" w:customStyle="1" w:styleId="WideTable">
    <w:name w:val="Wide Table"/>
    <w:basedOn w:val="Normal"/>
    <w:rsid w:val="00B04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6FB"/>
  </w:style>
  <w:style w:type="paragraph" w:styleId="Quote">
    <w:name w:val="Quote"/>
    <w:basedOn w:val="Heading1"/>
    <w:link w:val="QuoteChar"/>
    <w:qFormat/>
    <w:rsid w:val="00B04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6FB"/>
    <w:pPr>
      <w:pageBreakBefore/>
    </w:pPr>
  </w:style>
  <w:style w:type="paragraph" w:customStyle="1" w:styleId="Border">
    <w:name w:val="Border"/>
    <w:basedOn w:val="Normal"/>
    <w:qFormat/>
    <w:rsid w:val="00B04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6FB"/>
    <w:rPr>
      <w:u w:val="single"/>
    </w:rPr>
  </w:style>
  <w:style w:type="character" w:customStyle="1" w:styleId="BoldandItalics">
    <w:name w:val="Bold and Italics"/>
    <w:qFormat/>
    <w:rsid w:val="00B046FB"/>
    <w:rPr>
      <w:b/>
      <w:i/>
      <w:u w:val="none"/>
    </w:rPr>
  </w:style>
  <w:style w:type="paragraph" w:styleId="BalloonText">
    <w:name w:val="Balloon Text"/>
    <w:basedOn w:val="Normal"/>
    <w:link w:val="BalloonTextChar"/>
    <w:rsid w:val="00B04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6FB"/>
    <w:pPr>
      <w:spacing w:before="0" w:after="0"/>
    </w:pPr>
  </w:style>
  <w:style w:type="paragraph" w:customStyle="1" w:styleId="BodyTextBold">
    <w:name w:val="Body Text Bold"/>
    <w:basedOn w:val="BodyText"/>
    <w:qFormat/>
    <w:rsid w:val="00B046FB"/>
    <w:rPr>
      <w:b/>
    </w:rPr>
  </w:style>
  <w:style w:type="character" w:styleId="Hyperlink">
    <w:name w:val="Hyperlink"/>
    <w:basedOn w:val="DefaultParagraphFont"/>
    <w:uiPriority w:val="99"/>
    <w:unhideWhenUsed/>
    <w:rsid w:val="00E71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7807</Characters>
  <Application>Microsoft Office Word</Application>
  <DocSecurity>0</DocSecurity>
  <Lines>236</Lines>
  <Paragraphs>138</Paragraphs>
  <ScaleCrop>false</ScaleCrop>
  <Company>Author-it Software Corporation Ltd.</Company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CPPSEC5003 Assess security risk management options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