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9F3" w:rsidP="00D16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CPPSEC4023 Implement contracting arrangements for security businesses</w:t>
      </w:r>
      <w:r>
        <w:fldChar w:fldCharType="end"/>
      </w:r>
    </w:p>
    <w:p w:rsidR="00D169F3" w:rsidP="00D169F3">
      <w:pPr>
        <w:pStyle w:val="Version"/>
        <w:sectPr w:rsidSect="002F6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4BA" w:rsidP="002F64BA">
      <w:pPr>
        <w:pStyle w:val="SuperHeading"/>
      </w:pPr>
      <w:r w:rsidRPr="002F64BA">
        <w:t>Assessment Requirements for CPPSEC4023 Implement contracting arrangements for security businesses</w:t>
      </w:r>
    </w:p>
    <w:p w:rsidR="00000000" w:rsidRPr="002F64BA" w:rsidP="002F64BA">
      <w:pPr>
        <w:pStyle w:val="Heading1"/>
      </w:pPr>
      <w:bookmarkStart w:id="1" w:name="O_1053598"/>
      <w:bookmarkEnd w:id="1"/>
      <w:r w:rsidRPr="002F64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F6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4BA">
            <w:pPr>
              <w:pStyle w:val="BodyText"/>
              <w:rPr>
                <w:lang w:val="en-NZ"/>
              </w:rPr>
            </w:pPr>
            <w:r w:rsidRPr="002F64B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4BA" w:rsidP="002F64BA">
            <w:pPr>
              <w:pStyle w:val="BodyText"/>
            </w:pPr>
            <w:r w:rsidRPr="002F64BA">
              <w:t>This version first released with CPP Property Services Training Package Release 9.0.</w:t>
            </w:r>
          </w:p>
          <w:p w:rsidR="00000000" w:rsidRPr="002F64BA" w:rsidP="002F64BA">
            <w:pPr>
              <w:pStyle w:val="BodyText"/>
            </w:pPr>
            <w:r w:rsidRPr="002F64BA">
              <w:t>New unit.</w:t>
            </w:r>
          </w:p>
        </w:tc>
      </w:tr>
    </w:tbl>
    <w:p w:rsidR="00000000" w:rsidRPr="002F64BA" w:rsidP="002F64BA">
      <w:pPr>
        <w:pStyle w:val="BodyText"/>
      </w:pPr>
    </w:p>
    <w:p w:rsidR="00000000" w:rsidRPr="002F64BA" w:rsidP="002F64BA">
      <w:pPr>
        <w:pStyle w:val="AllowPageBreak"/>
      </w:pPr>
    </w:p>
    <w:p w:rsidR="00000000" w:rsidRPr="002F64BA" w:rsidP="002F64BA">
      <w:pPr>
        <w:pStyle w:val="Heading1"/>
      </w:pPr>
      <w:bookmarkStart w:id="2" w:name="O_1053601"/>
      <w:bookmarkEnd w:id="2"/>
      <w:r w:rsidRPr="002F64BA">
        <w:t>Performance Evidence</w:t>
      </w:r>
    </w:p>
    <w:p w:rsidR="00000000" w:rsidRPr="002F64BA" w:rsidP="00D169F3">
      <w:pPr>
        <w:pStyle w:val="BodyText"/>
      </w:pPr>
      <w:r w:rsidRPr="002F64BA">
        <w:t>To demonstrate competency, a candidate must meet the performance criteria of this unit by implementing contracting arrangements for a security business, involving:</w:t>
      </w:r>
    </w:p>
    <w:p w:rsidR="00000000" w:rsidRPr="002F64BA" w:rsidP="002F64BA">
      <w:pPr>
        <w:pStyle w:val="ListBullet"/>
      </w:pPr>
      <w:r w:rsidRPr="002F64BA">
        <w:t>develop and present a labour hire agreement to contract secur</w:t>
      </w:r>
      <w:r w:rsidRPr="002F64BA">
        <w:t>ity services to a client</w:t>
      </w:r>
    </w:p>
    <w:p w:rsidR="00000000" w:rsidRPr="002F64BA" w:rsidP="002F64BA">
      <w:pPr>
        <w:pStyle w:val="ListBullet"/>
      </w:pPr>
      <w:r w:rsidRPr="002F64BA">
        <w:t>develop and present an agreement to employ a minimum of two independent contractors, one of which will perform a multishift roster involving seven days and weekend and night work.</w:t>
      </w:r>
    </w:p>
    <w:p w:rsidR="00000000" w:rsidRPr="002F64BA" w:rsidP="002F64BA">
      <w:pPr>
        <w:pStyle w:val="AllowPageBreak"/>
      </w:pPr>
    </w:p>
    <w:p w:rsidR="00000000" w:rsidRPr="002F64BA" w:rsidP="002F64BA">
      <w:pPr>
        <w:pStyle w:val="Heading1"/>
      </w:pPr>
      <w:bookmarkStart w:id="3" w:name="O_1053600"/>
      <w:bookmarkEnd w:id="3"/>
      <w:r w:rsidRPr="002F64BA">
        <w:t>Knowledge Evidence</w:t>
      </w:r>
    </w:p>
    <w:p w:rsidR="00000000" w:rsidRPr="002F64BA" w:rsidP="00D169F3">
      <w:pPr>
        <w:pStyle w:val="BodyText"/>
      </w:pPr>
      <w:r w:rsidRPr="002F64BA">
        <w:t>To be compete</w:t>
      </w:r>
      <w:r w:rsidRPr="002F64BA">
        <w:t>nt in this unit, a candidate must demonstrate knowledge of:</w:t>
      </w:r>
    </w:p>
    <w:p w:rsidR="00000000" w:rsidRPr="002F64BA" w:rsidP="002F64BA">
      <w:pPr>
        <w:pStyle w:val="ListBullet"/>
      </w:pPr>
      <w:r w:rsidRPr="002F64BA">
        <w:t>legislative and regulatory requirements associated with operating security businesses:</w:t>
      </w:r>
    </w:p>
    <w:p w:rsidR="00000000" w:rsidRPr="002F64BA" w:rsidP="002F64BA">
      <w:pPr>
        <w:pStyle w:val="ListBullet2"/>
      </w:pPr>
      <w:r w:rsidRPr="002F64BA">
        <w:t>client service standards</w:t>
      </w:r>
    </w:p>
    <w:p w:rsidR="00000000" w:rsidRPr="002F64BA" w:rsidP="002F64BA">
      <w:pPr>
        <w:pStyle w:val="ListBullet2"/>
      </w:pPr>
      <w:r w:rsidRPr="002F64BA">
        <w:t>Fair Work Act 2009 (FW Act) and Fair Work Regulations 2009</w:t>
      </w:r>
    </w:p>
    <w:p w:rsidR="00000000" w:rsidRPr="002F64BA" w:rsidP="002F64BA">
      <w:pPr>
        <w:pStyle w:val="ListBullet2"/>
      </w:pPr>
      <w:r w:rsidRPr="002F64BA">
        <w:t>licensing in the security industry</w:t>
      </w:r>
    </w:p>
    <w:p w:rsidR="00000000" w:rsidRPr="002F64BA" w:rsidP="002F64BA">
      <w:pPr>
        <w:pStyle w:val="ListBullet2"/>
      </w:pPr>
      <w:r w:rsidRPr="002F64BA">
        <w:t>privacy</w:t>
      </w:r>
    </w:p>
    <w:p w:rsidR="00000000" w:rsidRPr="002F64BA" w:rsidP="002F64BA">
      <w:pPr>
        <w:pStyle w:val="ListBullet2"/>
      </w:pPr>
      <w:r w:rsidRPr="002F64BA">
        <w:t>superannuation guarantee</w:t>
      </w:r>
    </w:p>
    <w:p w:rsidR="00000000" w:rsidRPr="002F64BA" w:rsidP="002F64BA">
      <w:pPr>
        <w:pStyle w:val="ListBullet2"/>
      </w:pPr>
      <w:r w:rsidRPr="002F64BA">
        <w:t>taxation</w:t>
      </w:r>
    </w:p>
    <w:p w:rsidR="00000000" w:rsidRPr="002F64BA" w:rsidP="002F64BA">
      <w:pPr>
        <w:pStyle w:val="ListBullet"/>
      </w:pPr>
      <w:r w:rsidRPr="002F64BA">
        <w:t>compliance audit requirements for the jurisdiction of operation</w:t>
      </w:r>
    </w:p>
    <w:p w:rsidR="00000000" w:rsidRPr="002F64BA" w:rsidP="002F64BA">
      <w:pPr>
        <w:pStyle w:val="ListBullet"/>
      </w:pPr>
      <w:r w:rsidRPr="002F64BA">
        <w:t>current security services industry award pay rates, classifications and allowances</w:t>
      </w:r>
    </w:p>
    <w:p w:rsidR="00000000" w:rsidRPr="002F64BA" w:rsidP="002F64BA">
      <w:pPr>
        <w:pStyle w:val="ListBullet"/>
      </w:pPr>
      <w:r w:rsidRPr="002F64BA">
        <w:t>definition of ‘sham contracting</w:t>
      </w:r>
      <w:r w:rsidRPr="002F64BA">
        <w:t>’ and legal ramifications of participating knowingly or unknowingly in illegal contracting arrangements when engaging independent contractors for security services</w:t>
      </w:r>
    </w:p>
    <w:p w:rsidR="00000000" w:rsidRPr="002F64BA" w:rsidP="002F64BA">
      <w:pPr>
        <w:pStyle w:val="ListBullet"/>
      </w:pPr>
      <w:r w:rsidRPr="002F64BA">
        <w:t>elements of a contract:</w:t>
      </w:r>
    </w:p>
    <w:p w:rsidR="00000000" w:rsidRPr="002F64BA" w:rsidP="002F64BA">
      <w:pPr>
        <w:pStyle w:val="ListBullet2"/>
      </w:pPr>
      <w:r w:rsidRPr="002F64BA">
        <w:t>offer and acceptance</w:t>
      </w:r>
    </w:p>
    <w:p w:rsidR="00000000" w:rsidRPr="002F64BA" w:rsidP="002F64BA">
      <w:pPr>
        <w:pStyle w:val="ListBullet2"/>
      </w:pPr>
      <w:r w:rsidRPr="002F64BA">
        <w:t>intention to create legal relations</w:t>
      </w:r>
    </w:p>
    <w:p w:rsidR="00000000" w:rsidRPr="002F64BA" w:rsidP="002F64BA">
      <w:pPr>
        <w:pStyle w:val="ListBullet2"/>
      </w:pPr>
      <w:r w:rsidRPr="002F64BA">
        <w:t>considerat</w:t>
      </w:r>
      <w:r w:rsidRPr="002F64BA">
        <w:t>ion</w:t>
      </w:r>
    </w:p>
    <w:p w:rsidR="00000000" w:rsidRPr="002F64BA" w:rsidP="002F64BA">
      <w:pPr>
        <w:pStyle w:val="ListBullet2"/>
      </w:pPr>
      <w:r w:rsidRPr="002F64BA">
        <w:t>legal capacity</w:t>
      </w:r>
    </w:p>
    <w:p w:rsidR="00000000" w:rsidRPr="002F64BA" w:rsidP="002F64BA">
      <w:pPr>
        <w:pStyle w:val="ListBullet"/>
      </w:pPr>
      <w:r w:rsidRPr="002F64BA">
        <w:t>general taxation and superannuation obligations of Australian Business Number (ABN) holders who are contracted to provide security services</w:t>
      </w:r>
    </w:p>
    <w:p w:rsidR="00000000" w:rsidRPr="002F64BA" w:rsidP="002F64BA">
      <w:pPr>
        <w:pStyle w:val="ListBullet"/>
      </w:pPr>
      <w:r w:rsidRPr="002F64BA">
        <w:t>methods for determining whether an employed person is an employee or a contractor</w:t>
      </w:r>
    </w:p>
    <w:p w:rsidR="00000000" w:rsidRPr="002F64BA" w:rsidP="002F64BA">
      <w:pPr>
        <w:pStyle w:val="ListBullet"/>
      </w:pPr>
      <w:r w:rsidRPr="002F64BA">
        <w:t>negotiation techniques</w:t>
      </w:r>
    </w:p>
    <w:p w:rsidR="00000000" w:rsidRPr="002F64BA" w:rsidP="002F64BA">
      <w:pPr>
        <w:pStyle w:val="ListBullet"/>
      </w:pPr>
      <w:r w:rsidRPr="002F64BA">
        <w:t>potential risks to security businesses who engage in contracting arrangements for security services</w:t>
      </w:r>
    </w:p>
    <w:p w:rsidR="00000000" w:rsidRPr="002F64BA" w:rsidP="002F64BA">
      <w:pPr>
        <w:pStyle w:val="ListBullet"/>
      </w:pPr>
      <w:r w:rsidRPr="002F64BA">
        <w:t>purpose and techniques for conducting due diligence and background checks of contractors providing security services</w:t>
      </w:r>
    </w:p>
    <w:p w:rsidR="00000000" w:rsidRPr="002F64BA" w:rsidP="002F64BA">
      <w:pPr>
        <w:pStyle w:val="ListBullet"/>
      </w:pPr>
      <w:r w:rsidRPr="002F64BA">
        <w:t xml:space="preserve">requirements of </w:t>
      </w:r>
      <w:r w:rsidRPr="002F64BA">
        <w:t>the FW Act associated with contracting arrangements for security services:</w:t>
      </w:r>
    </w:p>
    <w:p w:rsidR="00000000" w:rsidRPr="002F64BA" w:rsidP="002F64BA">
      <w:pPr>
        <w:pStyle w:val="ListBullet2"/>
      </w:pPr>
      <w:r w:rsidRPr="002F64BA">
        <w:t>section 550 and accessorial liability for underpayments</w:t>
      </w:r>
    </w:p>
    <w:p w:rsidR="00000000" w:rsidRPr="002F64BA" w:rsidP="002F64BA">
      <w:pPr>
        <w:pStyle w:val="ListBullet2"/>
      </w:pPr>
      <w:r w:rsidRPr="002F64BA">
        <w:t>employment records required to be kept</w:t>
      </w:r>
    </w:p>
    <w:p w:rsidR="00000000" w:rsidRPr="002F64BA" w:rsidP="002F64BA">
      <w:pPr>
        <w:pStyle w:val="ListBullet2"/>
      </w:pPr>
      <w:r w:rsidRPr="002F64BA">
        <w:t>employment conditions for direct employees and independent contractors or ABN holders</w:t>
      </w:r>
    </w:p>
    <w:p w:rsidR="00000000" w:rsidRPr="002F64BA" w:rsidP="002F64BA">
      <w:pPr>
        <w:pStyle w:val="ListBullet2"/>
      </w:pPr>
      <w:r w:rsidRPr="002F64BA">
        <w:t>factors that are indicative of an employee</w:t>
      </w:r>
    </w:p>
    <w:p w:rsidR="00000000" w:rsidRPr="002F64BA" w:rsidP="002F64BA">
      <w:pPr>
        <w:pStyle w:val="ListBullet2"/>
      </w:pPr>
      <w:r w:rsidRPr="002F64BA">
        <w:t>factors that are indicative of an independent contractor</w:t>
      </w:r>
    </w:p>
    <w:p w:rsidR="00000000" w:rsidRPr="002F64BA" w:rsidP="002F64BA">
      <w:pPr>
        <w:pStyle w:val="ListBullet"/>
      </w:pPr>
      <w:r w:rsidRPr="002F64BA">
        <w:t>sub-contractor approval requirements for multi-level contracting of security services</w:t>
      </w:r>
    </w:p>
    <w:p w:rsidR="00000000" w:rsidRPr="002F64BA" w:rsidP="002F64BA">
      <w:pPr>
        <w:pStyle w:val="ListBullet"/>
      </w:pPr>
      <w:r w:rsidRPr="002F64BA">
        <w:t>types of behaviours considered unethical when engaging in contractin</w:t>
      </w:r>
      <w:r w:rsidRPr="002F64BA">
        <w:t>g arrangements for security work.</w:t>
      </w:r>
    </w:p>
    <w:p w:rsidR="00000000" w:rsidRPr="002F64BA" w:rsidP="002F64BA">
      <w:pPr>
        <w:pStyle w:val="AllowPageBreak"/>
      </w:pPr>
    </w:p>
    <w:p w:rsidR="00000000" w:rsidRPr="002F64BA" w:rsidP="002F64BA">
      <w:pPr>
        <w:pStyle w:val="Heading1"/>
      </w:pPr>
      <w:bookmarkStart w:id="4" w:name="O_1053599"/>
      <w:bookmarkEnd w:id="4"/>
      <w:r w:rsidRPr="002F64BA">
        <w:t>Assessment Conditions</w:t>
      </w:r>
    </w:p>
    <w:p w:rsidR="00000000" w:rsidRPr="002F64BA" w:rsidP="00D169F3">
      <w:pPr>
        <w:pStyle w:val="BodyText"/>
      </w:pPr>
      <w:r w:rsidRPr="002F64BA">
        <w:t>Assessors must meet the requirements for assessors contained in the Standards for Registered Training Organisations.</w:t>
      </w:r>
    </w:p>
    <w:p w:rsidR="00000000" w:rsidRPr="002F64BA" w:rsidP="00D169F3">
      <w:pPr>
        <w:pStyle w:val="BodyText"/>
      </w:pPr>
      <w:r w:rsidRPr="002F64BA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2F64BA">
        <w:t>ual is providing training or assessment.  Regulators may impose other assessor conditions to meet jurisdictional assessment requirements.</w:t>
      </w:r>
    </w:p>
    <w:p w:rsidR="00000000" w:rsidRPr="002F64BA" w:rsidP="00D169F3">
      <w:pPr>
        <w:pStyle w:val="BodyText"/>
      </w:pPr>
      <w:r w:rsidRPr="002F64BA">
        <w:t>Assessment must be conducted in the workplace or in a simulated workplace environment. Candidates must have access to:</w:t>
      </w:r>
    </w:p>
    <w:p w:rsidR="00000000" w:rsidRPr="002F64BA" w:rsidP="002F64BA">
      <w:pPr>
        <w:pStyle w:val="ListBullet"/>
      </w:pPr>
      <w:r w:rsidRPr="002F64BA">
        <w:t>security industry and fair work legislation and regulations that apply to contracting arrangements for security businesses in the jurisdiction of operation</w:t>
      </w:r>
    </w:p>
    <w:p w:rsidR="00000000" w:rsidRPr="002F64BA" w:rsidP="002F64BA">
      <w:pPr>
        <w:pStyle w:val="ListBullet"/>
      </w:pPr>
      <w:r w:rsidRPr="002F64BA">
        <w:t>documentation, information technologies and resources required to achieve the performance evidence</w:t>
      </w:r>
      <w:r w:rsidRPr="002F64BA">
        <w:t>.</w:t>
      </w:r>
    </w:p>
    <w:p w:rsidR="00000000" w:rsidRPr="002F64BA" w:rsidP="002F64BA">
      <w:pPr>
        <w:pStyle w:val="AllowPageBreak"/>
      </w:pPr>
    </w:p>
    <w:p w:rsidR="00000000" w:rsidRPr="002F64BA" w:rsidP="002F64BA">
      <w:pPr>
        <w:pStyle w:val="Heading1"/>
      </w:pPr>
      <w:bookmarkStart w:id="5" w:name="O_1053597"/>
      <w:bookmarkEnd w:id="5"/>
      <w:r w:rsidRPr="002F64BA">
        <w:t>Links</w:t>
      </w:r>
    </w:p>
    <w:p w:rsidR="00000000" w:rsidRPr="002F64BA" w:rsidP="00D169F3">
      <w:pPr>
        <w:pStyle w:val="BodyText"/>
      </w:pPr>
      <w:r w:rsidRPr="002F64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7635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F64BA" w:rsidP="002F64BA"/>
    <w:sectPr w:rsidSect="002F64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BA" w:rsidRPr="00D169F3" w:rsidP="00D16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F3" w:rsidP="002F6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69F3" w:rsidP="002F6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169F3" w:rsidP="002F6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4BA" w:rsidRPr="00D169F3" w:rsidP="00D16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F3" w:rsidRPr="002D2AF8" w:rsidP="002F6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CPPSEC4023 Implement contracting arrangements for security businesses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169F3" w:rsidP="002F6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02E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B42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F6F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4BA"/>
  </w:style>
  <w:style w:type="character" w:customStyle="1" w:styleId="Heading1Char">
    <w:name w:val="Heading 1 Char"/>
    <w:basedOn w:val="DefaultParagraphFont"/>
    <w:link w:val="Heading1"/>
    <w:rsid w:val="002F6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4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64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4BA"/>
    <w:rPr>
      <w:b/>
      <w:spacing w:val="0"/>
    </w:rPr>
  </w:style>
  <w:style w:type="paragraph" w:customStyle="1" w:styleId="SuperTitle">
    <w:name w:val="SuperTitle"/>
    <w:basedOn w:val="Title"/>
    <w:rsid w:val="002F6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4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4BA"/>
    <w:rPr>
      <w:i/>
    </w:rPr>
  </w:style>
  <w:style w:type="paragraph" w:styleId="Caption">
    <w:name w:val="caption"/>
    <w:basedOn w:val="BodyText"/>
    <w:next w:val="Normal"/>
    <w:qFormat/>
    <w:rsid w:val="002F6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4BA"/>
  </w:style>
  <w:style w:type="paragraph" w:styleId="TableofFigures">
    <w:name w:val="table of figures"/>
    <w:basedOn w:val="Normal"/>
    <w:next w:val="Normal"/>
    <w:semiHidden/>
    <w:rsid w:val="002F6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4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4BA"/>
    <w:rPr>
      <w:rFonts w:ascii="Wingdings" w:hAnsi="Wingdings"/>
    </w:rPr>
  </w:style>
  <w:style w:type="paragraph" w:customStyle="1" w:styleId="TableHeading">
    <w:name w:val="Table Heading"/>
    <w:basedOn w:val="HeadingBase"/>
    <w:rsid w:val="002F6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4BA"/>
    <w:rPr>
      <w:color w:val="0033CC"/>
      <w:u w:val="none"/>
    </w:rPr>
  </w:style>
  <w:style w:type="paragraph" w:customStyle="1" w:styleId="BodyTextRight">
    <w:name w:val="Body Text Right"/>
    <w:basedOn w:val="BodyText"/>
    <w:rsid w:val="002F6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4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4BA"/>
    <w:rPr>
      <w:sz w:val="32"/>
    </w:rPr>
  </w:style>
  <w:style w:type="paragraph" w:customStyle="1" w:styleId="HeadingProcedure">
    <w:name w:val="Heading Procedure"/>
    <w:basedOn w:val="HeadingBase"/>
    <w:next w:val="Normal"/>
    <w:rsid w:val="002F6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4BA"/>
    <w:pPr>
      <w:spacing w:before="60" w:after="60"/>
    </w:pPr>
  </w:style>
  <w:style w:type="paragraph" w:styleId="ListContinue">
    <w:name w:val="List Continue"/>
    <w:basedOn w:val="List"/>
    <w:rsid w:val="002F64BA"/>
    <w:pPr>
      <w:ind w:firstLine="0"/>
    </w:pPr>
  </w:style>
  <w:style w:type="paragraph" w:customStyle="1" w:styleId="ListNote">
    <w:name w:val="List Note"/>
    <w:basedOn w:val="List"/>
    <w:rsid w:val="002F6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4BA"/>
    <w:rPr>
      <w:rFonts w:ascii="Courier New" w:hAnsi="Courier New"/>
    </w:rPr>
  </w:style>
  <w:style w:type="paragraph" w:customStyle="1" w:styleId="NoteBullet">
    <w:name w:val="Note Bullet"/>
    <w:basedOn w:val="Note"/>
    <w:rsid w:val="002F6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4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4BA"/>
    <w:rPr>
      <w:b/>
      <w:smallCaps/>
    </w:rPr>
  </w:style>
  <w:style w:type="paragraph" w:customStyle="1" w:styleId="TableListNumber">
    <w:name w:val="Table List Number"/>
    <w:basedOn w:val="ListNumber"/>
    <w:rsid w:val="002F6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4BA"/>
    <w:pPr>
      <w:numPr>
        <w:numId w:val="9"/>
      </w:numPr>
    </w:pPr>
  </w:style>
  <w:style w:type="paragraph" w:customStyle="1" w:styleId="ListAlpha2">
    <w:name w:val="List Alpha 2"/>
    <w:basedOn w:val="List2"/>
    <w:rsid w:val="002F64BA"/>
    <w:pPr>
      <w:numPr>
        <w:numId w:val="8"/>
      </w:numPr>
    </w:pPr>
  </w:style>
  <w:style w:type="paragraph" w:styleId="List2">
    <w:name w:val="List 2"/>
    <w:basedOn w:val="BodyText"/>
    <w:rsid w:val="002F6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4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4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4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4BA"/>
    <w:pPr>
      <w:numPr>
        <w:numId w:val="4"/>
      </w:numPr>
    </w:pPr>
  </w:style>
  <w:style w:type="paragraph" w:styleId="ListContinue2">
    <w:name w:val="List Continue 2"/>
    <w:basedOn w:val="List2"/>
    <w:rsid w:val="002F64BA"/>
    <w:pPr>
      <w:ind w:firstLine="0"/>
    </w:pPr>
  </w:style>
  <w:style w:type="paragraph" w:styleId="ListContinue3">
    <w:name w:val="List Continue 3"/>
    <w:basedOn w:val="List3"/>
    <w:rsid w:val="002F64BA"/>
    <w:pPr>
      <w:ind w:left="1021" w:firstLine="0"/>
    </w:pPr>
  </w:style>
  <w:style w:type="paragraph" w:styleId="ListContinue4">
    <w:name w:val="List Continue 4"/>
    <w:basedOn w:val="List4"/>
    <w:rsid w:val="002F64BA"/>
    <w:pPr>
      <w:ind w:firstLine="0"/>
    </w:pPr>
  </w:style>
  <w:style w:type="paragraph" w:styleId="ListContinue5">
    <w:name w:val="List Continue 5"/>
    <w:basedOn w:val="List5"/>
    <w:rsid w:val="002F64BA"/>
    <w:pPr>
      <w:ind w:firstLine="0"/>
    </w:pPr>
  </w:style>
  <w:style w:type="paragraph" w:styleId="ListNumber3">
    <w:name w:val="List Number 3"/>
    <w:basedOn w:val="List3"/>
    <w:rsid w:val="002F64BA"/>
    <w:pPr>
      <w:numPr>
        <w:numId w:val="5"/>
      </w:numPr>
    </w:pPr>
  </w:style>
  <w:style w:type="paragraph" w:styleId="ListNumber4">
    <w:name w:val="List Number 4"/>
    <w:basedOn w:val="List4"/>
    <w:rsid w:val="002F64BA"/>
    <w:pPr>
      <w:numPr>
        <w:numId w:val="6"/>
      </w:numPr>
    </w:pPr>
  </w:style>
  <w:style w:type="paragraph" w:styleId="ListNumber5">
    <w:name w:val="List Number 5"/>
    <w:basedOn w:val="List5"/>
    <w:rsid w:val="002F64BA"/>
    <w:pPr>
      <w:numPr>
        <w:numId w:val="7"/>
      </w:numPr>
    </w:pPr>
  </w:style>
  <w:style w:type="paragraph" w:styleId="BlockText">
    <w:name w:val="Block Text"/>
    <w:basedOn w:val="Normal"/>
    <w:rsid w:val="002F6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4BA"/>
    <w:rPr>
      <w:sz w:val="16"/>
      <w:vertAlign w:val="superscript"/>
    </w:rPr>
  </w:style>
  <w:style w:type="character" w:customStyle="1" w:styleId="Symbols">
    <w:name w:val="Symbols"/>
    <w:basedOn w:val="DefaultParagraphFont"/>
    <w:rsid w:val="002F64BA"/>
    <w:rPr>
      <w:rFonts w:ascii="Symbol" w:hAnsi="Symbol"/>
    </w:rPr>
  </w:style>
  <w:style w:type="character" w:customStyle="1" w:styleId="MenuOptions">
    <w:name w:val="Menu Options"/>
    <w:basedOn w:val="DefaultParagraphFont"/>
    <w:rsid w:val="002F6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4BA"/>
    <w:rPr>
      <w:b/>
    </w:rPr>
  </w:style>
  <w:style w:type="character" w:customStyle="1" w:styleId="Underlined">
    <w:name w:val="Underlined"/>
    <w:basedOn w:val="DefaultParagraphFont"/>
    <w:rsid w:val="002F64BA"/>
    <w:rPr>
      <w:u w:val="single"/>
    </w:rPr>
  </w:style>
  <w:style w:type="paragraph" w:customStyle="1" w:styleId="TableBodyTextRight">
    <w:name w:val="Table Body Text Right"/>
    <w:basedOn w:val="TableBodyText"/>
    <w:rsid w:val="002F6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4BA"/>
    <w:rPr>
      <w:sz w:val="18"/>
    </w:rPr>
  </w:style>
  <w:style w:type="paragraph" w:customStyle="1" w:styleId="BodySmallRight">
    <w:name w:val="Body Small Right"/>
    <w:basedOn w:val="BodyTextRight"/>
    <w:rsid w:val="002F64BA"/>
    <w:rPr>
      <w:sz w:val="18"/>
      <w:szCs w:val="18"/>
    </w:rPr>
  </w:style>
  <w:style w:type="paragraph" w:customStyle="1" w:styleId="MarginEdition">
    <w:name w:val="Margin Edition"/>
    <w:basedOn w:val="MarginNote"/>
    <w:rsid w:val="002F6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4BA"/>
    <w:rPr>
      <w:sz w:val="2"/>
      <w:szCs w:val="2"/>
    </w:rPr>
  </w:style>
  <w:style w:type="character" w:customStyle="1" w:styleId="Small">
    <w:name w:val="Small"/>
    <w:basedOn w:val="DefaultParagraphFont"/>
    <w:rsid w:val="002F64BA"/>
    <w:rPr>
      <w:sz w:val="16"/>
    </w:rPr>
  </w:style>
  <w:style w:type="paragraph" w:customStyle="1" w:styleId="WideTable">
    <w:name w:val="Wide Table"/>
    <w:basedOn w:val="Normal"/>
    <w:rsid w:val="002F6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4BA"/>
  </w:style>
  <w:style w:type="paragraph" w:styleId="Quote">
    <w:name w:val="Quote"/>
    <w:basedOn w:val="Heading1"/>
    <w:link w:val="QuoteChar"/>
    <w:qFormat/>
    <w:rsid w:val="002F6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4BA"/>
    <w:pPr>
      <w:pageBreakBefore/>
    </w:pPr>
  </w:style>
  <w:style w:type="paragraph" w:customStyle="1" w:styleId="Border">
    <w:name w:val="Border"/>
    <w:basedOn w:val="Normal"/>
    <w:qFormat/>
    <w:rsid w:val="002F6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4BA"/>
    <w:rPr>
      <w:u w:val="single"/>
    </w:rPr>
  </w:style>
  <w:style w:type="character" w:customStyle="1" w:styleId="BoldandItalics">
    <w:name w:val="Bold and Italics"/>
    <w:qFormat/>
    <w:rsid w:val="002F64BA"/>
    <w:rPr>
      <w:b/>
      <w:i/>
      <w:u w:val="none"/>
    </w:rPr>
  </w:style>
  <w:style w:type="paragraph" w:styleId="BalloonText">
    <w:name w:val="Balloon Text"/>
    <w:basedOn w:val="Normal"/>
    <w:link w:val="BalloonTextChar"/>
    <w:rsid w:val="002F6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4BA"/>
    <w:pPr>
      <w:spacing w:before="0" w:after="0"/>
    </w:pPr>
  </w:style>
  <w:style w:type="paragraph" w:customStyle="1" w:styleId="BodyTextBold">
    <w:name w:val="Body Text Bold"/>
    <w:basedOn w:val="BodyText"/>
    <w:qFormat/>
    <w:rsid w:val="002F64BA"/>
    <w:rPr>
      <w:b/>
    </w:rPr>
  </w:style>
  <w:style w:type="character" w:styleId="Hyperlink">
    <w:name w:val="Hyperlink"/>
    <w:basedOn w:val="DefaultParagraphFont"/>
    <w:uiPriority w:val="99"/>
    <w:unhideWhenUsed/>
    <w:rsid w:val="00D16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3356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CPPSEC4023 Implement contracting arrangements for security businesses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2022-12-19T06:02:00Z</dcterms:created>
  <dcterms:modified xsi:type="dcterms:W3CDTF">2022-12-19T06:02:00Z</dcterms:modified>
</cp:coreProperties>
</file>