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0F0" w:rsidP="003C6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CPPSEC4011 Manage field staff activity and incident response from control room</w:t>
      </w:r>
      <w:r>
        <w:fldChar w:fldCharType="end"/>
      </w:r>
    </w:p>
    <w:p w:rsidR="003C60F0" w:rsidP="003C60F0">
      <w:pPr>
        <w:pStyle w:val="Version"/>
        <w:sectPr w:rsidSect="00990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841" w:rsidP="00990841">
      <w:pPr>
        <w:pStyle w:val="SuperHeading"/>
      </w:pPr>
      <w:r w:rsidRPr="00990841">
        <w:t>Assessment Requirements for CPPSEC4011 Manage field staff activity and incident response from control room</w:t>
      </w:r>
    </w:p>
    <w:p w:rsidR="00000000" w:rsidRPr="00990841" w:rsidP="00990841">
      <w:pPr>
        <w:pStyle w:val="Heading1"/>
      </w:pPr>
      <w:bookmarkStart w:id="1" w:name="O_1053428"/>
      <w:bookmarkEnd w:id="1"/>
      <w:r w:rsidRPr="009908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90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841">
            <w:pPr>
              <w:pStyle w:val="BodyText"/>
              <w:rPr>
                <w:lang w:val="en-NZ"/>
              </w:rPr>
            </w:pPr>
            <w:r w:rsidRPr="0099084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841" w:rsidP="00990841">
            <w:pPr>
              <w:pStyle w:val="BodyText"/>
            </w:pPr>
            <w:r w:rsidRPr="00990841">
              <w:t>This version first released with CPP Property Services Training Package Release 9.0.</w:t>
            </w:r>
          </w:p>
          <w:p w:rsidR="00000000" w:rsidRPr="00990841" w:rsidP="00990841">
            <w:pPr>
              <w:pStyle w:val="BodyText"/>
            </w:pPr>
            <w:r w:rsidRPr="00990841">
              <w:t>Supersedes and is equivalent to CPPSEC4011A Coordinate field staff activity from control room. Updated to meet the Standards for Training Packages.</w:t>
            </w:r>
          </w:p>
        </w:tc>
      </w:tr>
    </w:tbl>
    <w:p w:rsidR="00000000" w:rsidRPr="00990841" w:rsidP="00990841">
      <w:pPr>
        <w:pStyle w:val="BodyText"/>
      </w:pPr>
    </w:p>
    <w:p w:rsidR="00000000" w:rsidRPr="00990841" w:rsidP="00990841">
      <w:pPr>
        <w:pStyle w:val="AllowPageBreak"/>
      </w:pPr>
    </w:p>
    <w:p w:rsidR="00000000" w:rsidRPr="00990841" w:rsidP="00990841">
      <w:pPr>
        <w:pStyle w:val="Heading1"/>
      </w:pPr>
      <w:bookmarkStart w:id="2" w:name="O_1053431"/>
      <w:bookmarkEnd w:id="2"/>
      <w:r w:rsidRPr="00990841">
        <w:t>Performance Evidence</w:t>
      </w:r>
    </w:p>
    <w:p w:rsidR="00000000" w:rsidRPr="00990841" w:rsidP="003C60F0">
      <w:pPr>
        <w:pStyle w:val="BodyText"/>
      </w:pPr>
      <w:r w:rsidRPr="00990841">
        <w:t>To demonstrate competency, a candidate must meet the performance c</w:t>
      </w:r>
      <w:r w:rsidRPr="00990841">
        <w:t>riteria of this unit by managing field staff activity and incident response from a control room to respond to six different incidents:</w:t>
      </w:r>
    </w:p>
    <w:p w:rsidR="00000000" w:rsidRPr="00990841" w:rsidP="00990841">
      <w:pPr>
        <w:pStyle w:val="ListBullet"/>
      </w:pPr>
      <w:r w:rsidRPr="00990841">
        <w:t>different security risk scenarios must be covered in each incident</w:t>
      </w:r>
    </w:p>
    <w:p w:rsidR="00000000" w:rsidRPr="00990841" w:rsidP="00990841">
      <w:pPr>
        <w:pStyle w:val="ListBullet"/>
      </w:pPr>
      <w:r w:rsidRPr="00990841">
        <w:t>at least three incident responses must require assist</w:t>
      </w:r>
      <w:r w:rsidRPr="00990841">
        <w:t>ance from emergency services personnel</w:t>
      </w:r>
    </w:p>
    <w:p w:rsidR="00000000" w:rsidRPr="00990841" w:rsidP="00990841">
      <w:pPr>
        <w:pStyle w:val="ListBullet"/>
      </w:pPr>
      <w:r w:rsidRPr="00990841">
        <w:t>at least one procedural improvement must be identified with each security response.</w:t>
      </w:r>
    </w:p>
    <w:p w:rsidR="00000000" w:rsidRPr="00990841" w:rsidP="00990841">
      <w:pPr>
        <w:pStyle w:val="AllowPageBreak"/>
      </w:pPr>
    </w:p>
    <w:p w:rsidR="00000000" w:rsidRPr="00990841" w:rsidP="00990841">
      <w:pPr>
        <w:pStyle w:val="Heading1"/>
      </w:pPr>
      <w:bookmarkStart w:id="3" w:name="O_1053430"/>
      <w:bookmarkEnd w:id="3"/>
      <w:r w:rsidRPr="00990841">
        <w:t>Knowledge Evidence</w:t>
      </w:r>
    </w:p>
    <w:p w:rsidR="00000000" w:rsidRPr="00990841" w:rsidP="003C60F0">
      <w:pPr>
        <w:pStyle w:val="BodyText"/>
      </w:pPr>
      <w:r w:rsidRPr="00990841">
        <w:t>To be competent in this unit, a candidate must demonstrate knowledge of:</w:t>
      </w:r>
    </w:p>
    <w:p w:rsidR="00000000" w:rsidRPr="00990841" w:rsidP="00990841">
      <w:pPr>
        <w:pStyle w:val="ListBullet"/>
      </w:pPr>
      <w:r w:rsidRPr="00990841">
        <w:t>workplace policies and procedures that ensure compliance with legislative and regulatory requirements when managing field staff activity and incident response from a control room:</w:t>
      </w:r>
    </w:p>
    <w:p w:rsidR="00000000" w:rsidRPr="00990841" w:rsidP="00990841">
      <w:pPr>
        <w:pStyle w:val="ListBullet2"/>
      </w:pPr>
      <w:r w:rsidRPr="00990841">
        <w:t>casinos and gaming</w:t>
      </w:r>
    </w:p>
    <w:p w:rsidR="00000000" w:rsidRPr="00990841" w:rsidP="00990841">
      <w:pPr>
        <w:pStyle w:val="ListBullet2"/>
      </w:pPr>
      <w:r w:rsidRPr="00990841">
        <w:t>counter terrorism</w:t>
      </w:r>
    </w:p>
    <w:p w:rsidR="00000000" w:rsidRPr="00990841" w:rsidP="00990841">
      <w:pPr>
        <w:pStyle w:val="ListBullet2"/>
      </w:pPr>
      <w:r w:rsidRPr="00990841">
        <w:t>duty of care</w:t>
      </w:r>
    </w:p>
    <w:p w:rsidR="00000000" w:rsidRPr="00990841" w:rsidP="00990841">
      <w:pPr>
        <w:pStyle w:val="ListBullet2"/>
      </w:pPr>
      <w:r w:rsidRPr="00990841">
        <w:t>information privacy and c</w:t>
      </w:r>
      <w:r w:rsidRPr="00990841">
        <w:t>onfidentiality</w:t>
      </w:r>
    </w:p>
    <w:p w:rsidR="00000000" w:rsidRPr="00990841" w:rsidP="00990841">
      <w:pPr>
        <w:pStyle w:val="ListBullet2"/>
      </w:pPr>
      <w:r w:rsidRPr="00990841">
        <w:t>licensing requirements in the security industry</w:t>
      </w:r>
    </w:p>
    <w:p w:rsidR="00000000" w:rsidRPr="00990841" w:rsidP="00990841">
      <w:pPr>
        <w:pStyle w:val="ListBullet2"/>
      </w:pPr>
      <w:r w:rsidRPr="00990841">
        <w:t>regulatory requirements in the jurisdiction of operation</w:t>
      </w:r>
    </w:p>
    <w:p w:rsidR="00000000" w:rsidRPr="00990841" w:rsidP="00990841">
      <w:pPr>
        <w:pStyle w:val="ListBullet2"/>
      </w:pPr>
      <w:r w:rsidRPr="00990841">
        <w:t>surveillance</w:t>
      </w:r>
    </w:p>
    <w:p w:rsidR="00000000" w:rsidRPr="00990841" w:rsidP="00990841">
      <w:pPr>
        <w:pStyle w:val="ListBullet2"/>
      </w:pPr>
      <w:r w:rsidRPr="00990841">
        <w:t>workplace health and safety</w:t>
      </w:r>
    </w:p>
    <w:p w:rsidR="00000000" w:rsidRPr="00990841" w:rsidP="00990841">
      <w:pPr>
        <w:pStyle w:val="ListBullet"/>
      </w:pPr>
      <w:r w:rsidRPr="00990841">
        <w:t>approved communication terminology, call signs and radio channels used in the security industr</w:t>
      </w:r>
      <w:r w:rsidRPr="00990841">
        <w:t>y</w:t>
      </w:r>
    </w:p>
    <w:p w:rsidR="00000000" w:rsidRPr="00990841" w:rsidP="00990841">
      <w:pPr>
        <w:pStyle w:val="ListBullet"/>
      </w:pPr>
      <w:r w:rsidRPr="00990841">
        <w:t>chain of command associated with control room operation</w:t>
      </w:r>
    </w:p>
    <w:p w:rsidR="00000000" w:rsidRPr="00990841" w:rsidP="00990841">
      <w:pPr>
        <w:pStyle w:val="ListBullet"/>
      </w:pPr>
      <w:r w:rsidRPr="00990841">
        <w:t>communication formats relating to security systems including high speed and contact ID</w:t>
      </w:r>
    </w:p>
    <w:p w:rsidR="00000000" w:rsidRPr="00990841" w:rsidP="00990841">
      <w:pPr>
        <w:pStyle w:val="ListBullet"/>
      </w:pPr>
      <w:r w:rsidRPr="00990841">
        <w:t>crowd behaviour, dynamics and movement patterns that can threaten security</w:t>
      </w:r>
    </w:p>
    <w:p w:rsidR="00000000" w:rsidRPr="00990841" w:rsidP="00990841">
      <w:pPr>
        <w:pStyle w:val="ListBullet"/>
      </w:pPr>
      <w:r w:rsidRPr="00990841">
        <w:t>current national terrorism threat le</w:t>
      </w:r>
      <w:r w:rsidRPr="00990841">
        <w:t>vel and context</w:t>
      </w:r>
    </w:p>
    <w:p w:rsidR="00000000" w:rsidRPr="00990841" w:rsidP="00990841">
      <w:pPr>
        <w:pStyle w:val="ListBullet"/>
      </w:pPr>
      <w:r w:rsidRPr="00990841">
        <w:t>difference between local and monitored alarms</w:t>
      </w:r>
    </w:p>
    <w:p w:rsidR="00000000" w:rsidRPr="00990841" w:rsidP="00990841">
      <w:pPr>
        <w:pStyle w:val="ListBullet"/>
      </w:pPr>
      <w:r w:rsidRPr="00990841">
        <w:t>factors that may indicate escalation of conflict or risk and situations requiring specialist assistance</w:t>
      </w:r>
    </w:p>
    <w:p w:rsidR="00000000" w:rsidRPr="00990841" w:rsidP="00990841">
      <w:pPr>
        <w:pStyle w:val="ListBullet"/>
      </w:pPr>
      <w:r w:rsidRPr="00990841">
        <w:t>key principles of team dynamics, team leadership and management</w:t>
      </w:r>
    </w:p>
    <w:p w:rsidR="00000000" w:rsidRPr="00990841" w:rsidP="00990841">
      <w:pPr>
        <w:pStyle w:val="ListBullet"/>
      </w:pPr>
      <w:r w:rsidRPr="00990841">
        <w:t>operational principles of a range of security systems, equipment and software used in control rooms</w:t>
      </w:r>
    </w:p>
    <w:p w:rsidR="00000000" w:rsidRPr="00990841" w:rsidP="00990841">
      <w:pPr>
        <w:pStyle w:val="ListBullet"/>
      </w:pPr>
      <w:r w:rsidRPr="00990841">
        <w:t>procedures for change of shift</w:t>
      </w:r>
    </w:p>
    <w:p w:rsidR="00000000" w:rsidRPr="00990841" w:rsidP="00990841">
      <w:pPr>
        <w:pStyle w:val="ListBullet"/>
      </w:pPr>
      <w:r w:rsidRPr="00990841">
        <w:t>procedures for communicating and collaborating with emergency services</w:t>
      </w:r>
    </w:p>
    <w:p w:rsidR="00000000" w:rsidRPr="00990841" w:rsidP="00990841">
      <w:pPr>
        <w:pStyle w:val="ListBullet"/>
      </w:pPr>
      <w:r w:rsidRPr="00990841">
        <w:t>procedures for deploying field staff to respond to sec</w:t>
      </w:r>
      <w:r w:rsidRPr="00990841">
        <w:t>urity risks and incidents</w:t>
      </w:r>
    </w:p>
    <w:p w:rsidR="00000000" w:rsidRPr="00990841" w:rsidP="00990841">
      <w:pPr>
        <w:pStyle w:val="ListBullet"/>
      </w:pPr>
      <w:r w:rsidRPr="00990841">
        <w:t>procedures for preparing, storing and retrieving surveillance footage</w:t>
      </w:r>
    </w:p>
    <w:p w:rsidR="00000000" w:rsidRPr="00990841" w:rsidP="00990841">
      <w:pPr>
        <w:pStyle w:val="ListBullet"/>
      </w:pPr>
      <w:r w:rsidRPr="00990841">
        <w:t>process of dynamic risk assessment and how it is applied</w:t>
      </w:r>
    </w:p>
    <w:p w:rsidR="00000000" w:rsidRPr="00990841" w:rsidP="00990841">
      <w:pPr>
        <w:pStyle w:val="ListBullet"/>
      </w:pPr>
      <w:r w:rsidRPr="00990841">
        <w:t xml:space="preserve">purpose of </w:t>
      </w:r>
      <w:r w:rsidRPr="00990841">
        <w:rPr>
          <w:rStyle w:val="Emphasis"/>
        </w:rPr>
        <w:t>Australia</w:t>
      </w:r>
      <w:r>
        <w:rPr>
          <w:rStyle w:val="Emphasis"/>
        </w:rPr>
        <w:t>’</w:t>
      </w:r>
      <w:r w:rsidRPr="00990841">
        <w:rPr>
          <w:rStyle w:val="Emphasis"/>
        </w:rPr>
        <w:t>s Strategy for Protecting Crowded Places from Terrorism</w:t>
      </w:r>
      <w:r w:rsidRPr="00990841">
        <w:t xml:space="preserve"> and understanding of:</w:t>
      </w:r>
    </w:p>
    <w:p w:rsidR="00000000" w:rsidRPr="00990841" w:rsidP="00990841">
      <w:pPr>
        <w:pStyle w:val="ListBullet2"/>
      </w:pPr>
      <w:r w:rsidRPr="00990841">
        <w:t>def</w:t>
      </w:r>
      <w:r w:rsidRPr="00990841">
        <w:t>inition of crowded places</w:t>
      </w:r>
    </w:p>
    <w:p w:rsidR="00000000" w:rsidRPr="00990841" w:rsidP="00990841">
      <w:pPr>
        <w:pStyle w:val="ListBullet2"/>
      </w:pPr>
      <w:r w:rsidRPr="00990841">
        <w:t>key security issues for crowded places</w:t>
      </w:r>
    </w:p>
    <w:p w:rsidR="00000000" w:rsidRPr="00990841" w:rsidP="00990841">
      <w:pPr>
        <w:pStyle w:val="ListBullet2"/>
      </w:pPr>
      <w:r w:rsidRPr="00990841">
        <w:t>objectives, characteristics and identification of active armed offenders</w:t>
      </w:r>
    </w:p>
    <w:p w:rsidR="00000000" w:rsidRPr="00990841" w:rsidP="00990841">
      <w:pPr>
        <w:pStyle w:val="ListBullet2"/>
      </w:pPr>
      <w:r w:rsidRPr="00990841">
        <w:t>definition of hostile vehicles and methods of attack</w:t>
      </w:r>
    </w:p>
    <w:p w:rsidR="00000000" w:rsidRPr="00990841" w:rsidP="00990841">
      <w:pPr>
        <w:pStyle w:val="ListBullet2"/>
      </w:pPr>
      <w:r w:rsidRPr="00990841">
        <w:t>signs of chemical weapons attack and recommended response</w:t>
      </w:r>
    </w:p>
    <w:p w:rsidR="00000000" w:rsidRPr="00990841" w:rsidP="00990841">
      <w:pPr>
        <w:pStyle w:val="ListBullet2"/>
      </w:pPr>
      <w:r w:rsidRPr="00990841">
        <w:t>general features of improvised explosive devices and recommended incident response</w:t>
      </w:r>
    </w:p>
    <w:p w:rsidR="00000000" w:rsidRPr="00990841" w:rsidP="00990841">
      <w:pPr>
        <w:pStyle w:val="ListBullet"/>
      </w:pPr>
      <w:r w:rsidRPr="00990841">
        <w:t>range of typical security risk or incident situations and appropriate response procedures implemented from a control room</w:t>
      </w:r>
    </w:p>
    <w:p w:rsidR="00000000" w:rsidRPr="00990841" w:rsidP="00990841">
      <w:pPr>
        <w:pStyle w:val="ListBullet"/>
      </w:pPr>
      <w:r w:rsidRPr="00990841">
        <w:t>roles and responsibilities of field staff</w:t>
      </w:r>
    </w:p>
    <w:p w:rsidR="00000000" w:rsidRPr="00990841" w:rsidP="00990841">
      <w:pPr>
        <w:pStyle w:val="ListBullet"/>
      </w:pPr>
      <w:r w:rsidRPr="00990841">
        <w:t>signs of</w:t>
      </w:r>
      <w:r w:rsidRPr="00990841">
        <w:t xml:space="preserve"> possible harassment or assault</w:t>
      </w:r>
    </w:p>
    <w:p w:rsidR="00000000" w:rsidRPr="00990841" w:rsidP="00990841">
      <w:pPr>
        <w:pStyle w:val="ListBullet"/>
      </w:pPr>
      <w:r w:rsidRPr="00990841">
        <w:t>surveillance recording systems (digital and analogue) and interfaces</w:t>
      </w:r>
    </w:p>
    <w:p w:rsidR="00000000" w:rsidRPr="00990841" w:rsidP="00990841">
      <w:pPr>
        <w:pStyle w:val="ListBullet"/>
      </w:pPr>
      <w:r w:rsidRPr="00990841">
        <w:t>the phonetic alphabet and how it is used when managing field staff from a control room</w:t>
      </w:r>
    </w:p>
    <w:p w:rsidR="00000000" w:rsidRPr="00990841" w:rsidP="00990841">
      <w:pPr>
        <w:pStyle w:val="ListBullet"/>
      </w:pPr>
      <w:r w:rsidRPr="00990841">
        <w:t>types of computer operating systems used in a control room</w:t>
      </w:r>
    </w:p>
    <w:p w:rsidR="00000000" w:rsidRPr="00990841" w:rsidP="00990841">
      <w:pPr>
        <w:pStyle w:val="ListBullet"/>
      </w:pPr>
      <w:r w:rsidRPr="00990841">
        <w:t xml:space="preserve">types of </w:t>
      </w:r>
      <w:r w:rsidRPr="00990841">
        <w:t>behavioural anomalies and suspect behaviours that can indicate criminal activity, hostile reconnaissance or the potential for terrorist activity</w:t>
      </w:r>
    </w:p>
    <w:p w:rsidR="00000000" w:rsidRPr="00990841" w:rsidP="00990841">
      <w:pPr>
        <w:pStyle w:val="ListBullet"/>
      </w:pPr>
      <w:r w:rsidRPr="00990841">
        <w:t>types of detectors monitored from a control room including passive infrared sensor and dual tech</w:t>
      </w:r>
    </w:p>
    <w:p w:rsidR="00000000" w:rsidRPr="00990841" w:rsidP="00990841">
      <w:pPr>
        <w:pStyle w:val="ListBullet"/>
      </w:pPr>
      <w:r w:rsidRPr="00990841">
        <w:t>ways that soci</w:t>
      </w:r>
      <w:r w:rsidRPr="00990841">
        <w:t>al and cultural differences may be expressed.</w:t>
      </w:r>
    </w:p>
    <w:p w:rsidR="00000000" w:rsidRPr="00990841" w:rsidP="00990841">
      <w:pPr>
        <w:pStyle w:val="AllowPageBreak"/>
      </w:pPr>
    </w:p>
    <w:p w:rsidR="00000000" w:rsidRPr="00990841" w:rsidP="00990841">
      <w:pPr>
        <w:pStyle w:val="Heading1"/>
      </w:pPr>
      <w:bookmarkStart w:id="4" w:name="O_1053429"/>
      <w:bookmarkEnd w:id="4"/>
      <w:r w:rsidRPr="00990841">
        <w:t>Assessment Conditions</w:t>
      </w:r>
    </w:p>
    <w:p w:rsidR="00000000" w:rsidRPr="00990841" w:rsidP="003C60F0">
      <w:pPr>
        <w:pStyle w:val="BodyText"/>
      </w:pPr>
      <w:r w:rsidRPr="00990841">
        <w:t>Assessors must meet the requirements for assessors contained in the Standards for Registered Training Organisations.</w:t>
      </w:r>
    </w:p>
    <w:p w:rsidR="00000000" w:rsidRPr="00990841" w:rsidP="003C60F0">
      <w:pPr>
        <w:pStyle w:val="BodyText"/>
      </w:pPr>
      <w:r w:rsidRPr="00990841">
        <w:t>All individuals engaged by a licensed RTO for securi</w:t>
      </w:r>
      <w:r w:rsidRPr="00990841">
        <w:t>ty licensing purposes must hold both a security trainers licence (where such a licence exists within the relevant jurisdiction) and the licence for performing the security activities for which the individual is providing training or assessment.  Regulators</w:t>
      </w:r>
      <w:r w:rsidRPr="00990841">
        <w:t xml:space="preserve"> may impose other assessor conditions to meet jurisdictional assessment requirements.</w:t>
      </w:r>
    </w:p>
    <w:p w:rsidR="00000000" w:rsidRPr="00990841" w:rsidP="003C60F0">
      <w:pPr>
        <w:pStyle w:val="BodyText"/>
      </w:pPr>
      <w:r w:rsidRPr="00990841">
        <w:t>Assessment must be conducted in the workplace or in a simulated workplace environment. Candidates must have access to:</w:t>
      </w:r>
    </w:p>
    <w:p w:rsidR="00000000" w:rsidRPr="00990841" w:rsidP="00990841">
      <w:pPr>
        <w:pStyle w:val="ListBullet"/>
      </w:pPr>
      <w:r w:rsidRPr="00990841">
        <w:t>legislation, regulations and codes of practice that apply to control room operations in the jurisdiction of operation</w:t>
      </w:r>
    </w:p>
    <w:p w:rsidR="00000000" w:rsidRPr="00990841" w:rsidP="00990841">
      <w:pPr>
        <w:pStyle w:val="ListBullet"/>
      </w:pPr>
      <w:r w:rsidRPr="00990841">
        <w:t>work instructions, security equipment, technologies and field staff required to achieve the performance evidence</w:t>
      </w:r>
    </w:p>
    <w:p w:rsidR="00000000" w:rsidRPr="00990841" w:rsidP="00990841">
      <w:pPr>
        <w:pStyle w:val="ListBullet"/>
      </w:pPr>
      <w:r w:rsidRPr="00990841">
        <w:rPr>
          <w:rStyle w:val="Emphasis"/>
        </w:rPr>
        <w:t xml:space="preserve">Australia’s Strategy for </w:t>
      </w:r>
      <w:r w:rsidRPr="00990841">
        <w:rPr>
          <w:rStyle w:val="Emphasis"/>
        </w:rPr>
        <w:t>Protecting Crowded Places from Terrorism</w:t>
      </w:r>
      <w:r w:rsidRPr="00990841">
        <w:t>.</w:t>
      </w:r>
    </w:p>
    <w:p w:rsidR="00000000" w:rsidRPr="00990841" w:rsidP="00990841">
      <w:pPr>
        <w:pStyle w:val="AllowPageBreak"/>
      </w:pPr>
    </w:p>
    <w:p w:rsidR="00000000" w:rsidRPr="00990841" w:rsidP="00990841">
      <w:pPr>
        <w:pStyle w:val="Heading1"/>
      </w:pPr>
      <w:bookmarkStart w:id="5" w:name="O_1053427"/>
      <w:bookmarkEnd w:id="5"/>
      <w:r w:rsidRPr="00990841">
        <w:t>Links</w:t>
      </w:r>
    </w:p>
    <w:p w:rsidR="00000000" w:rsidRPr="00990841" w:rsidP="003C60F0">
      <w:pPr>
        <w:pStyle w:val="BodyText"/>
      </w:pPr>
      <w:r w:rsidRPr="0099084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350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90841" w:rsidP="00990841"/>
    <w:sectPr w:rsidSect="00990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1" w:rsidRPr="003C60F0" w:rsidP="003C6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F0" w:rsidP="00990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0F0" w:rsidP="00990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C60F0" w:rsidP="00990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841" w:rsidRPr="003C60F0" w:rsidP="003C6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0F0" w:rsidRPr="002D2AF8" w:rsidP="00990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CPPSEC4011 Manage field staff activity and incident response from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C60F0" w:rsidP="00990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AD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CF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229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841"/>
  </w:style>
  <w:style w:type="character" w:customStyle="1" w:styleId="Heading1Char">
    <w:name w:val="Heading 1 Char"/>
    <w:basedOn w:val="DefaultParagraphFont"/>
    <w:link w:val="Heading1"/>
    <w:rsid w:val="00990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8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8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841"/>
    <w:rPr>
      <w:i/>
    </w:rPr>
  </w:style>
  <w:style w:type="paragraph" w:customStyle="1" w:styleId="SuperHeading">
    <w:name w:val="SuperHeading"/>
    <w:basedOn w:val="Normal"/>
    <w:rsid w:val="00990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841"/>
    <w:rPr>
      <w:b/>
      <w:spacing w:val="0"/>
    </w:rPr>
  </w:style>
  <w:style w:type="paragraph" w:customStyle="1" w:styleId="SuperTitle">
    <w:name w:val="SuperTitle"/>
    <w:basedOn w:val="Title"/>
    <w:rsid w:val="00990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841"/>
  </w:style>
  <w:style w:type="paragraph" w:styleId="TableofFigures">
    <w:name w:val="table of figures"/>
    <w:basedOn w:val="Normal"/>
    <w:next w:val="Normal"/>
    <w:semiHidden/>
    <w:rsid w:val="00990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8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841"/>
    <w:rPr>
      <w:rFonts w:ascii="Wingdings" w:hAnsi="Wingdings"/>
    </w:rPr>
  </w:style>
  <w:style w:type="paragraph" w:customStyle="1" w:styleId="TableHeading">
    <w:name w:val="Table Heading"/>
    <w:basedOn w:val="HeadingBase"/>
    <w:rsid w:val="00990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841"/>
    <w:rPr>
      <w:color w:val="0033CC"/>
      <w:u w:val="none"/>
    </w:rPr>
  </w:style>
  <w:style w:type="paragraph" w:customStyle="1" w:styleId="BodyTextRight">
    <w:name w:val="Body Text Right"/>
    <w:basedOn w:val="BodyText"/>
    <w:rsid w:val="00990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8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841"/>
    <w:rPr>
      <w:sz w:val="32"/>
    </w:rPr>
  </w:style>
  <w:style w:type="paragraph" w:customStyle="1" w:styleId="HeadingProcedure">
    <w:name w:val="Heading Procedure"/>
    <w:basedOn w:val="HeadingBase"/>
    <w:next w:val="Normal"/>
    <w:rsid w:val="00990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841"/>
    <w:pPr>
      <w:spacing w:before="60" w:after="60"/>
    </w:pPr>
  </w:style>
  <w:style w:type="paragraph" w:styleId="ListContinue">
    <w:name w:val="List Continue"/>
    <w:basedOn w:val="List"/>
    <w:rsid w:val="00990841"/>
    <w:pPr>
      <w:ind w:firstLine="0"/>
    </w:pPr>
  </w:style>
  <w:style w:type="paragraph" w:customStyle="1" w:styleId="ListNote">
    <w:name w:val="List Note"/>
    <w:basedOn w:val="List"/>
    <w:rsid w:val="00990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841"/>
    <w:rPr>
      <w:rFonts w:ascii="Courier New" w:hAnsi="Courier New"/>
    </w:rPr>
  </w:style>
  <w:style w:type="paragraph" w:customStyle="1" w:styleId="NoteBullet">
    <w:name w:val="Note Bullet"/>
    <w:basedOn w:val="Note"/>
    <w:rsid w:val="00990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8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841"/>
    <w:rPr>
      <w:b/>
      <w:smallCaps/>
    </w:rPr>
  </w:style>
  <w:style w:type="paragraph" w:customStyle="1" w:styleId="TableListNumber">
    <w:name w:val="Table List Number"/>
    <w:basedOn w:val="ListNumber"/>
    <w:rsid w:val="00990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841"/>
    <w:pPr>
      <w:numPr>
        <w:numId w:val="9"/>
      </w:numPr>
    </w:pPr>
  </w:style>
  <w:style w:type="paragraph" w:customStyle="1" w:styleId="ListAlpha2">
    <w:name w:val="List Alpha 2"/>
    <w:basedOn w:val="List2"/>
    <w:rsid w:val="00990841"/>
    <w:pPr>
      <w:numPr>
        <w:numId w:val="8"/>
      </w:numPr>
    </w:pPr>
  </w:style>
  <w:style w:type="paragraph" w:styleId="List2">
    <w:name w:val="List 2"/>
    <w:basedOn w:val="BodyText"/>
    <w:rsid w:val="00990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8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8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841"/>
    <w:pPr>
      <w:numPr>
        <w:numId w:val="4"/>
      </w:numPr>
    </w:pPr>
  </w:style>
  <w:style w:type="paragraph" w:styleId="ListContinue2">
    <w:name w:val="List Continue 2"/>
    <w:basedOn w:val="List2"/>
    <w:rsid w:val="00990841"/>
    <w:pPr>
      <w:ind w:firstLine="0"/>
    </w:pPr>
  </w:style>
  <w:style w:type="paragraph" w:styleId="ListContinue3">
    <w:name w:val="List Continue 3"/>
    <w:basedOn w:val="List3"/>
    <w:rsid w:val="00990841"/>
    <w:pPr>
      <w:ind w:left="1021" w:firstLine="0"/>
    </w:pPr>
  </w:style>
  <w:style w:type="paragraph" w:styleId="ListContinue4">
    <w:name w:val="List Continue 4"/>
    <w:basedOn w:val="List4"/>
    <w:rsid w:val="00990841"/>
    <w:pPr>
      <w:ind w:firstLine="0"/>
    </w:pPr>
  </w:style>
  <w:style w:type="paragraph" w:styleId="ListContinue5">
    <w:name w:val="List Continue 5"/>
    <w:basedOn w:val="List5"/>
    <w:rsid w:val="00990841"/>
    <w:pPr>
      <w:ind w:firstLine="0"/>
    </w:pPr>
  </w:style>
  <w:style w:type="paragraph" w:styleId="ListNumber3">
    <w:name w:val="List Number 3"/>
    <w:basedOn w:val="List3"/>
    <w:rsid w:val="00990841"/>
    <w:pPr>
      <w:numPr>
        <w:numId w:val="5"/>
      </w:numPr>
    </w:pPr>
  </w:style>
  <w:style w:type="paragraph" w:styleId="ListNumber4">
    <w:name w:val="List Number 4"/>
    <w:basedOn w:val="List4"/>
    <w:rsid w:val="00990841"/>
    <w:pPr>
      <w:numPr>
        <w:numId w:val="6"/>
      </w:numPr>
    </w:pPr>
  </w:style>
  <w:style w:type="paragraph" w:styleId="ListNumber5">
    <w:name w:val="List Number 5"/>
    <w:basedOn w:val="List5"/>
    <w:rsid w:val="00990841"/>
    <w:pPr>
      <w:numPr>
        <w:numId w:val="7"/>
      </w:numPr>
    </w:pPr>
  </w:style>
  <w:style w:type="paragraph" w:styleId="BlockText">
    <w:name w:val="Block Text"/>
    <w:basedOn w:val="Normal"/>
    <w:rsid w:val="00990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841"/>
    <w:rPr>
      <w:sz w:val="16"/>
      <w:vertAlign w:val="superscript"/>
    </w:rPr>
  </w:style>
  <w:style w:type="character" w:customStyle="1" w:styleId="Symbols">
    <w:name w:val="Symbols"/>
    <w:basedOn w:val="DefaultParagraphFont"/>
    <w:rsid w:val="00990841"/>
    <w:rPr>
      <w:rFonts w:ascii="Symbol" w:hAnsi="Symbol"/>
    </w:rPr>
  </w:style>
  <w:style w:type="character" w:customStyle="1" w:styleId="MenuOptions">
    <w:name w:val="Menu Options"/>
    <w:basedOn w:val="DefaultParagraphFont"/>
    <w:rsid w:val="00990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841"/>
    <w:rPr>
      <w:b/>
    </w:rPr>
  </w:style>
  <w:style w:type="character" w:customStyle="1" w:styleId="Underlined">
    <w:name w:val="Underlined"/>
    <w:basedOn w:val="DefaultParagraphFont"/>
    <w:rsid w:val="00990841"/>
    <w:rPr>
      <w:u w:val="single"/>
    </w:rPr>
  </w:style>
  <w:style w:type="paragraph" w:customStyle="1" w:styleId="TableBodyTextRight">
    <w:name w:val="Table Body Text Right"/>
    <w:basedOn w:val="TableBodyText"/>
    <w:rsid w:val="00990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841"/>
    <w:rPr>
      <w:sz w:val="18"/>
    </w:rPr>
  </w:style>
  <w:style w:type="paragraph" w:customStyle="1" w:styleId="BodySmallRight">
    <w:name w:val="Body Small Right"/>
    <w:basedOn w:val="BodyTextRight"/>
    <w:rsid w:val="00990841"/>
    <w:rPr>
      <w:sz w:val="18"/>
      <w:szCs w:val="18"/>
    </w:rPr>
  </w:style>
  <w:style w:type="paragraph" w:customStyle="1" w:styleId="MarginEdition">
    <w:name w:val="Margin Edition"/>
    <w:basedOn w:val="MarginNote"/>
    <w:rsid w:val="00990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841"/>
    <w:rPr>
      <w:sz w:val="2"/>
      <w:szCs w:val="2"/>
    </w:rPr>
  </w:style>
  <w:style w:type="character" w:customStyle="1" w:styleId="Small">
    <w:name w:val="Small"/>
    <w:basedOn w:val="DefaultParagraphFont"/>
    <w:rsid w:val="00990841"/>
    <w:rPr>
      <w:sz w:val="16"/>
    </w:rPr>
  </w:style>
  <w:style w:type="paragraph" w:customStyle="1" w:styleId="WideTable">
    <w:name w:val="Wide Table"/>
    <w:basedOn w:val="Normal"/>
    <w:rsid w:val="00990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841"/>
  </w:style>
  <w:style w:type="paragraph" w:styleId="Quote">
    <w:name w:val="Quote"/>
    <w:basedOn w:val="Heading1"/>
    <w:link w:val="QuoteChar"/>
    <w:qFormat/>
    <w:rsid w:val="00990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841"/>
    <w:pPr>
      <w:pageBreakBefore/>
    </w:pPr>
  </w:style>
  <w:style w:type="paragraph" w:customStyle="1" w:styleId="Border">
    <w:name w:val="Border"/>
    <w:basedOn w:val="Normal"/>
    <w:qFormat/>
    <w:rsid w:val="00990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841"/>
    <w:rPr>
      <w:u w:val="single"/>
    </w:rPr>
  </w:style>
  <w:style w:type="character" w:customStyle="1" w:styleId="BoldandItalics">
    <w:name w:val="Bold and Italics"/>
    <w:qFormat/>
    <w:rsid w:val="00990841"/>
    <w:rPr>
      <w:b/>
      <w:i/>
      <w:u w:val="none"/>
    </w:rPr>
  </w:style>
  <w:style w:type="paragraph" w:styleId="BalloonText">
    <w:name w:val="Balloon Text"/>
    <w:basedOn w:val="Normal"/>
    <w:link w:val="BalloonTextChar"/>
    <w:rsid w:val="00990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841"/>
    <w:pPr>
      <w:spacing w:before="0" w:after="0"/>
    </w:pPr>
  </w:style>
  <w:style w:type="paragraph" w:customStyle="1" w:styleId="BodyTextBold">
    <w:name w:val="Body Text Bold"/>
    <w:basedOn w:val="BodyText"/>
    <w:qFormat/>
    <w:rsid w:val="00990841"/>
    <w:rPr>
      <w:b/>
    </w:rPr>
  </w:style>
  <w:style w:type="character" w:styleId="Hyperlink">
    <w:name w:val="Hyperlink"/>
    <w:basedOn w:val="DefaultParagraphFont"/>
    <w:uiPriority w:val="99"/>
    <w:unhideWhenUsed/>
    <w:rsid w:val="003C6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4249</Characters>
  <Application>Microsoft Office Word</Application>
  <DocSecurity>0</DocSecurity>
  <Lines>98</Lines>
  <Paragraphs>73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CPPSEC4011 Manage field staff activity and incident response from control room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