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F27" w:rsidP="00C20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CPPSEC4008 Assess and prepare security tender submissions</w:t>
      </w:r>
      <w:r>
        <w:fldChar w:fldCharType="end"/>
      </w:r>
    </w:p>
    <w:p w:rsidR="00C20F27" w:rsidP="00C20F27">
      <w:pPr>
        <w:pStyle w:val="Version"/>
        <w:sectPr w:rsidSect="00A23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4A4" w:rsidP="00A234A4">
      <w:pPr>
        <w:pStyle w:val="SuperHeading"/>
      </w:pPr>
      <w:r w:rsidRPr="00A234A4">
        <w:t>CPPSEC4008 Assess and prepare security tender submissions</w:t>
      </w:r>
    </w:p>
    <w:p w:rsidR="00000000" w:rsidRPr="00A234A4" w:rsidP="00A234A4">
      <w:pPr>
        <w:pStyle w:val="Heading1"/>
      </w:pPr>
      <w:bookmarkStart w:id="1" w:name="O_1053381"/>
      <w:bookmarkEnd w:id="1"/>
      <w:r w:rsidRPr="00A23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A4" w:rsidP="00A234A4">
            <w:pPr>
              <w:pStyle w:val="BodyText"/>
            </w:pPr>
            <w:r w:rsidRPr="00A234A4">
              <w:t>This version first released with CPP Property Services Training Package Release 9.0.</w:t>
            </w:r>
          </w:p>
          <w:p w:rsidR="00000000" w:rsidRPr="00A234A4" w:rsidP="00A234A4">
            <w:pPr>
              <w:pStyle w:val="BodyText"/>
            </w:pPr>
            <w:r w:rsidRPr="00A234A4">
              <w:t>Supersedes and is equivalent to CPPSEC4008A Prepare a detailed tender. Updated to meet the Standards for Training Packages</w:t>
            </w:r>
            <w:r w:rsidRPr="00A234A4">
              <w:t>.</w:t>
            </w:r>
          </w:p>
        </w:tc>
      </w:tr>
    </w:tbl>
    <w:p w:rsidR="00000000" w:rsidRPr="00A234A4" w:rsidP="00A234A4">
      <w:pPr>
        <w:pStyle w:val="BodyText"/>
      </w:pP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2" w:name="O_1053387"/>
      <w:bookmarkEnd w:id="2"/>
      <w:r w:rsidRPr="00A234A4">
        <w:t>Application</w:t>
      </w:r>
    </w:p>
    <w:p w:rsidR="00000000" w:rsidRPr="00A234A4" w:rsidP="00C20F27">
      <w:pPr>
        <w:pStyle w:val="BodyText"/>
      </w:pPr>
      <w:r w:rsidRPr="00A234A4">
        <w:t>This unit specifies the skills and knowledge required to assess and prepare security tender submissions.  It includes assessing security tender documentation to clarify specifications, timeframes and submission requiremen</w:t>
      </w:r>
      <w:r w:rsidRPr="00A234A4">
        <w:t>ts, defining and costing tender content and finalising and submitting tenders within required timeframes.</w:t>
      </w:r>
    </w:p>
    <w:p w:rsidR="00000000" w:rsidRPr="00A234A4" w:rsidP="00C20F27">
      <w:pPr>
        <w:pStyle w:val="BodyText"/>
      </w:pPr>
      <w:r w:rsidRPr="00A234A4">
        <w:t>This unit is suitable for those using specialised knowledge to complete routine and non-routine tasks and using their own judgement to deal with predi</w:t>
      </w:r>
      <w:r w:rsidRPr="00A234A4">
        <w:t>ctable and sometimes unpredictable problems.</w:t>
      </w:r>
    </w:p>
    <w:p w:rsidR="00000000" w:rsidRPr="00A234A4" w:rsidP="00C20F27">
      <w:pPr>
        <w:pStyle w:val="BodyText"/>
      </w:pPr>
      <w:r w:rsidRPr="00A234A4">
        <w:t>Legislative, regulatory or certification requirements apply in some states and territories to the provision of advice on security solutions, strategies, protocols and procedures. For further information, check w</w:t>
      </w:r>
      <w:r w:rsidRPr="00A234A4">
        <w:t>ith the relevant regulatory authority.</w:t>
      </w:r>
    </w:p>
    <w:p w:rsidR="00000000" w:rsidRPr="00A234A4" w:rsidP="00A234A4">
      <w:pPr>
        <w:pStyle w:val="Heading1"/>
      </w:pPr>
      <w:bookmarkStart w:id="3" w:name="O_1053386"/>
      <w:bookmarkEnd w:id="3"/>
      <w:r w:rsidRPr="00A234A4">
        <w:t>Pre-requisite Unit</w:t>
      </w:r>
    </w:p>
    <w:p w:rsidR="00000000" w:rsidRPr="00A234A4" w:rsidP="00C20F27">
      <w:pPr>
        <w:pStyle w:val="BodyText"/>
      </w:pPr>
      <w:r w:rsidRPr="00A234A4">
        <w:t>None.</w:t>
      </w:r>
    </w:p>
    <w:p w:rsidR="00000000" w:rsidRPr="00A234A4" w:rsidP="00A234A4">
      <w:pPr>
        <w:pStyle w:val="Heading1"/>
      </w:pPr>
      <w:bookmarkStart w:id="4" w:name="O_1053385"/>
      <w:bookmarkEnd w:id="4"/>
      <w:r w:rsidRPr="00A234A4">
        <w:t>Unit Sector</w:t>
      </w:r>
    </w:p>
    <w:p w:rsidR="00000000" w:rsidRPr="00A234A4" w:rsidP="00C20F27">
      <w:pPr>
        <w:pStyle w:val="BodyText"/>
      </w:pPr>
      <w:r w:rsidRPr="00A234A4">
        <w:t>Security/Risk management</w:t>
      </w:r>
    </w:p>
    <w:p w:rsidR="00000000" w:rsidRPr="00A234A4" w:rsidP="00A234A4">
      <w:pPr>
        <w:pStyle w:val="Heading1"/>
      </w:pPr>
      <w:bookmarkStart w:id="5" w:name="O_1053384"/>
      <w:bookmarkEnd w:id="5"/>
      <w:r w:rsidRPr="00A234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Performance criteria describe what needs to be done to demonstrate achievement of the element.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Assess security tender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Source and assess tender documentation to clarify specifications, timeframes and submission requirements.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Int</w:t>
            </w:r>
            <w:r w:rsidRPr="00A234A4">
              <w:t xml:space="preserve">erpret key requirements of legislation, regulations and workplace policies and procedures and apply to tender specifications to ensure compliance when preparing </w:t>
            </w:r>
            <w:r w:rsidRPr="00A234A4">
              <w:t>submission.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Evaluate viability of providing security requirements against tender specifications and workplace priorities.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Assess risk associated with tender specifications and plan risk management strategies according to workplace requirements.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Discuss s</w:t>
            </w:r>
            <w:r w:rsidRPr="00A234A4">
              <w:t>ecurity tender specifications with relevant persons to identify and clarify issues associated with tender submission.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Define, document and cost tender deliverables.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Define and document project timelines, stages, activities and deliverables to meet tender specifications.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Assess specific resources required to meet tender specifications against capacity to deliver.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Apply workplace rate schedules to cost tender requirements.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Identify assistance required to meet tender specifications and plan contingency arrangements in consultation with relevant persons.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Finalise security tender submission.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Use technology to prepare tender submission in the required style and format.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Check to ensure tender submission content is accurate and meets all tender specifications.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Forward tender submission to relevant persons for feedback and make requi</w:t>
            </w:r>
            <w:r w:rsidRPr="00A234A4">
              <w:t>red edits.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Lodge tender submission within required timeframes.</w:t>
            </w:r>
          </w:p>
        </w:tc>
      </w:tr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A4" w:rsidP="00A234A4">
            <w:pPr>
              <w:pStyle w:val="BodyText"/>
            </w:pPr>
            <w:r w:rsidRPr="00A234A4">
              <w:t>Complete and secure tender documentation in a manner that facilitates future retrieval and maintains confidentiality.</w:t>
            </w:r>
          </w:p>
        </w:tc>
      </w:tr>
    </w:tbl>
    <w:p w:rsidR="00000000" w:rsidRPr="00A234A4" w:rsidP="00A234A4">
      <w:pPr>
        <w:pStyle w:val="BodyText"/>
      </w:pP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6" w:name="O_1053383"/>
      <w:bookmarkEnd w:id="6"/>
      <w:r w:rsidRPr="00A234A4">
        <w:t>Foundation Skills</w:t>
      </w:r>
    </w:p>
    <w:p w:rsidR="00000000" w:rsidRPr="00A234A4" w:rsidP="00C20F27">
      <w:pPr>
        <w:pStyle w:val="BodyText"/>
      </w:pPr>
      <w:r w:rsidRPr="00A234A4">
        <w:t>As well as the foundation skills explicit in the performance criteria of this unit, candidates require:</w:t>
      </w:r>
    </w:p>
    <w:p w:rsidR="00000000" w:rsidRPr="00A234A4" w:rsidP="00A234A4">
      <w:pPr>
        <w:pStyle w:val="ListBullet"/>
      </w:pPr>
      <w:r w:rsidRPr="00A234A4">
        <w:t>reading skills to accurately interpret key requirements of security tender criteria and conditions</w:t>
      </w:r>
    </w:p>
    <w:p w:rsidR="00000000" w:rsidRPr="00A234A4" w:rsidP="00A234A4">
      <w:pPr>
        <w:pStyle w:val="ListBullet"/>
      </w:pPr>
      <w:r w:rsidRPr="00A234A4">
        <w:t xml:space="preserve">writing skills to prepare succinct tender </w:t>
      </w:r>
      <w:r w:rsidRPr="00A234A4">
        <w:t>submissions that accurately respond to tender specifications</w:t>
      </w:r>
    </w:p>
    <w:p w:rsidR="00000000" w:rsidRPr="00A234A4" w:rsidP="00A234A4">
      <w:pPr>
        <w:pStyle w:val="ListBullet"/>
      </w:pPr>
      <w:r w:rsidRPr="00A234A4">
        <w:t>numeracy skills to calculate and cost provision of security products and services against workplace rate schedules.</w:t>
      </w: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7" w:name="O_1053382"/>
      <w:bookmarkEnd w:id="7"/>
      <w:r w:rsidRPr="00A234A4">
        <w:t>Unit Mapping Information</w:t>
      </w:r>
    </w:p>
    <w:p w:rsidR="00000000" w:rsidRPr="00A234A4" w:rsidP="00C20F27">
      <w:pPr>
        <w:pStyle w:val="BodyText"/>
      </w:pPr>
      <w:r w:rsidRPr="00A234A4">
        <w:t>Supersedes and equivalent to CPPSEC</w:t>
      </w:r>
      <w:r w:rsidRPr="00A234A4">
        <w:t>4008A Prepare a detailed tender.</w:t>
      </w:r>
    </w:p>
    <w:p w:rsidR="00000000" w:rsidRPr="00A234A4" w:rsidP="00A234A4">
      <w:pPr>
        <w:pStyle w:val="Heading1"/>
      </w:pPr>
      <w:bookmarkStart w:id="8" w:name="O_1053375"/>
      <w:bookmarkEnd w:id="8"/>
      <w:r w:rsidRPr="00A234A4">
        <w:t>Links</w:t>
      </w:r>
    </w:p>
    <w:p w:rsidR="00000000" w:rsidRPr="00A234A4" w:rsidP="00C20F27">
      <w:pPr>
        <w:pStyle w:val="BodyText"/>
      </w:pPr>
      <w:r w:rsidRPr="00A234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38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34A4" w:rsidP="00C20F27">
      <w:pPr>
        <w:pStyle w:val="BodyText"/>
        <w:sectPr w:rsidSect="00A234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4A4" w:rsidP="00A234A4">
      <w:pPr>
        <w:pStyle w:val="SuperHeading"/>
      </w:pPr>
      <w:r w:rsidRPr="00A234A4">
        <w:t>Assessment Requirements for CPPSEC4008 Assess and prepare security tender submissions</w:t>
      </w:r>
    </w:p>
    <w:p w:rsidR="00000000" w:rsidRPr="00A234A4" w:rsidP="00A234A4">
      <w:pPr>
        <w:pStyle w:val="Heading1"/>
      </w:pPr>
      <w:bookmarkStart w:id="9" w:name="O_1053377"/>
      <w:bookmarkEnd w:id="9"/>
      <w:r w:rsidRPr="00A234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3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A4">
            <w:pPr>
              <w:pStyle w:val="BodyText"/>
              <w:rPr>
                <w:lang w:val="en-NZ"/>
              </w:rPr>
            </w:pPr>
            <w:r w:rsidRPr="00A234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A4" w:rsidP="00A234A4">
            <w:pPr>
              <w:pStyle w:val="BodyText"/>
            </w:pPr>
            <w:r w:rsidRPr="00A234A4">
              <w:t>This version first released with CPP Property Services Training Package Release 9.0.</w:t>
            </w:r>
          </w:p>
          <w:p w:rsidR="00000000" w:rsidRPr="00A234A4" w:rsidP="00A234A4">
            <w:pPr>
              <w:pStyle w:val="BodyText"/>
            </w:pPr>
            <w:r w:rsidRPr="00A234A4">
              <w:t>Supersedes and is equ</w:t>
            </w:r>
            <w:r w:rsidRPr="00A234A4">
              <w:t>ivalent to CPPSEC4008A Prepare a detailed tender. Updated to meet the Standards for Training Packages.</w:t>
            </w:r>
          </w:p>
        </w:tc>
      </w:tr>
    </w:tbl>
    <w:p w:rsidR="00000000" w:rsidRPr="00A234A4" w:rsidP="00A234A4">
      <w:pPr>
        <w:pStyle w:val="BodyText"/>
      </w:pP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10" w:name="O_1053380"/>
      <w:bookmarkEnd w:id="10"/>
      <w:r w:rsidRPr="00A234A4">
        <w:t>Performance Evidence</w:t>
      </w:r>
    </w:p>
    <w:p w:rsidR="00000000" w:rsidRPr="00A234A4" w:rsidP="00C20F27">
      <w:pPr>
        <w:pStyle w:val="BodyText"/>
      </w:pPr>
      <w:r w:rsidRPr="00A234A4">
        <w:t>To demonstrate competency, a candidate must meet the performance criteria of this unit by assessing and preparing three security tender submissions that respond to specifications for the provision of different products or services.</w:t>
      </w:r>
    </w:p>
    <w:p w:rsidR="00000000" w:rsidRPr="00A234A4" w:rsidP="00A234A4">
      <w:pPr>
        <w:pStyle w:val="Heading1"/>
      </w:pPr>
      <w:bookmarkStart w:id="11" w:name="O_1053379"/>
      <w:bookmarkEnd w:id="11"/>
      <w:r w:rsidRPr="00A234A4">
        <w:t>Knowl</w:t>
      </w:r>
      <w:r w:rsidRPr="00A234A4">
        <w:t>edge Evidence</w:t>
      </w:r>
    </w:p>
    <w:p w:rsidR="00000000" w:rsidRPr="00A234A4" w:rsidP="00C20F27">
      <w:pPr>
        <w:pStyle w:val="BodyText"/>
      </w:pPr>
      <w:r w:rsidRPr="00A234A4">
        <w:t>To be competent in this unit, a candidate must demonstrate knowledge of:</w:t>
      </w:r>
    </w:p>
    <w:p w:rsidR="00000000" w:rsidRPr="00A234A4" w:rsidP="00A234A4">
      <w:pPr>
        <w:pStyle w:val="ListBullet"/>
      </w:pPr>
      <w:r w:rsidRPr="00A234A4">
        <w:t>workplace policies and procedures that ensure compliance with legislative and regulatory requirements when assessing and preparing security tender submissions:</w:t>
      </w:r>
    </w:p>
    <w:p w:rsidR="00000000" w:rsidRPr="00A234A4" w:rsidP="00A234A4">
      <w:pPr>
        <w:pStyle w:val="ListBullet2"/>
      </w:pPr>
      <w:r w:rsidRPr="00A234A4">
        <w:t xml:space="preserve">client </w:t>
      </w:r>
      <w:r w:rsidRPr="00A234A4">
        <w:t>service standards</w:t>
      </w:r>
    </w:p>
    <w:p w:rsidR="00000000" w:rsidRPr="00A234A4" w:rsidP="00A234A4">
      <w:pPr>
        <w:pStyle w:val="ListBullet2"/>
      </w:pPr>
      <w:r w:rsidRPr="00A234A4">
        <w:t>licensing requirements in the security industry</w:t>
      </w:r>
    </w:p>
    <w:p w:rsidR="00000000" w:rsidRPr="00A234A4" w:rsidP="00A234A4">
      <w:pPr>
        <w:pStyle w:val="ListBullet2"/>
      </w:pPr>
      <w:r w:rsidRPr="00A234A4">
        <w:t>regulatory requirements associated with tendering for security products and services</w:t>
      </w:r>
    </w:p>
    <w:p w:rsidR="00000000" w:rsidRPr="00A234A4" w:rsidP="00A234A4">
      <w:pPr>
        <w:pStyle w:val="ListBullet"/>
      </w:pPr>
      <w:r w:rsidRPr="00A234A4">
        <w:t>content, format and presentation requirements for security tender submissions</w:t>
      </w:r>
    </w:p>
    <w:p w:rsidR="00000000" w:rsidRPr="00A234A4" w:rsidP="00A234A4">
      <w:pPr>
        <w:pStyle w:val="ListBullet"/>
      </w:pPr>
      <w:r w:rsidRPr="00A234A4">
        <w:t>financial and legal requirements for assessing and preparing security tender submissions</w:t>
      </w:r>
    </w:p>
    <w:p w:rsidR="00000000" w:rsidRPr="00A234A4" w:rsidP="00A234A4">
      <w:pPr>
        <w:pStyle w:val="ListBullet"/>
      </w:pPr>
      <w:r w:rsidRPr="00A234A4">
        <w:t>tender management, assessment, preparation, submission and review processes</w:t>
      </w:r>
    </w:p>
    <w:p w:rsidR="00000000" w:rsidRPr="00A234A4" w:rsidP="00A234A4">
      <w:pPr>
        <w:pStyle w:val="ListBullet"/>
      </w:pPr>
      <w:r w:rsidRPr="00A234A4">
        <w:t>tender specifications and confidentiality requirements applicable to security tendering</w:t>
      </w:r>
    </w:p>
    <w:p w:rsidR="00000000" w:rsidRPr="00A234A4" w:rsidP="00A234A4">
      <w:pPr>
        <w:pStyle w:val="ListBullet"/>
      </w:pPr>
      <w:r w:rsidRPr="00A234A4">
        <w:t>wor</w:t>
      </w:r>
      <w:r w:rsidRPr="00A234A4">
        <w:t>kplace products and services provided through employee and subcontractor arrangements</w:t>
      </w:r>
    </w:p>
    <w:p w:rsidR="00000000" w:rsidRPr="00A234A4" w:rsidP="00A234A4">
      <w:pPr>
        <w:pStyle w:val="ListBullet"/>
      </w:pPr>
      <w:r w:rsidRPr="00A234A4">
        <w:t>workplace rate schedules for providing security products and services</w:t>
      </w:r>
    </w:p>
    <w:p w:rsidR="00000000" w:rsidRPr="00A234A4" w:rsidP="00A234A4">
      <w:pPr>
        <w:pStyle w:val="ListBullet"/>
      </w:pPr>
      <w:r w:rsidRPr="00A234A4">
        <w:t>workplace resources, capacities and capabilities.</w:t>
      </w: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12" w:name="O_1053378"/>
      <w:bookmarkEnd w:id="12"/>
      <w:r w:rsidRPr="00A234A4">
        <w:t>Assessment Conditions</w:t>
      </w:r>
    </w:p>
    <w:p w:rsidR="00000000" w:rsidRPr="00A234A4" w:rsidP="00C20F27">
      <w:pPr>
        <w:pStyle w:val="BodyText"/>
      </w:pPr>
      <w:r w:rsidRPr="00A234A4">
        <w:t>Assessors</w:t>
      </w:r>
      <w:r w:rsidRPr="00A234A4">
        <w:t xml:space="preserve"> must meet the requirements for assessors contained in the Standards for Registered Training Organisations.</w:t>
      </w:r>
    </w:p>
    <w:p w:rsidR="00000000" w:rsidRPr="00A234A4" w:rsidP="00C20F27">
      <w:pPr>
        <w:pStyle w:val="BodyText"/>
      </w:pPr>
      <w:r w:rsidRPr="00A234A4">
        <w:t xml:space="preserve">All individuals engaged by </w:t>
      </w:r>
      <w:r w:rsidRPr="00A234A4">
        <w:t>a licensed RTO for security licensing purposes must hold both a security trainers licence (where such a licence exists within the relevant jurisdiction) and the licence for performing the security activities for which the individual is providing training o</w:t>
      </w:r>
      <w:r w:rsidRPr="00A234A4">
        <w:t>r assessment.  Regulators may impose other assessor conditions to meet jurisdictional assessment requirements.</w:t>
      </w:r>
    </w:p>
    <w:p w:rsidR="00000000" w:rsidRPr="00A234A4" w:rsidP="00C20F27">
      <w:pPr>
        <w:pStyle w:val="BodyText"/>
      </w:pPr>
      <w:r w:rsidRPr="00A234A4">
        <w:t>Assessment must be conducted in the workplace or in a simulated workplace environment. Candidates must have access to:</w:t>
      </w:r>
    </w:p>
    <w:p w:rsidR="00000000" w:rsidRPr="00A234A4" w:rsidP="00A234A4">
      <w:pPr>
        <w:pStyle w:val="ListBullet"/>
      </w:pPr>
      <w:r w:rsidRPr="00A234A4">
        <w:t>legislation, regulations,</w:t>
      </w:r>
      <w:r w:rsidRPr="00A234A4">
        <w:t xml:space="preserve"> policies and procedures that apply to assessing and preparing security tender submissions in the jurisdiction of operation</w:t>
      </w:r>
    </w:p>
    <w:p w:rsidR="00000000" w:rsidRPr="00A234A4" w:rsidP="00A234A4">
      <w:pPr>
        <w:pStyle w:val="ListBullet"/>
      </w:pPr>
      <w:r w:rsidRPr="00A234A4">
        <w:t>tender information and specifications, information technologies and resources required to achieve the performance evidence.</w:t>
      </w:r>
    </w:p>
    <w:p w:rsidR="00000000" w:rsidRPr="00A234A4" w:rsidP="00A234A4">
      <w:pPr>
        <w:pStyle w:val="AllowPageBreak"/>
      </w:pPr>
    </w:p>
    <w:p w:rsidR="00000000" w:rsidRPr="00A234A4" w:rsidP="00A234A4">
      <w:pPr>
        <w:pStyle w:val="Heading1"/>
      </w:pPr>
      <w:bookmarkStart w:id="13" w:name="O_1053376"/>
      <w:bookmarkEnd w:id="13"/>
      <w:r w:rsidRPr="00A234A4">
        <w:t>Links</w:t>
      </w:r>
    </w:p>
    <w:p w:rsidR="00000000" w:rsidRPr="00A234A4" w:rsidP="00C20F27">
      <w:pPr>
        <w:pStyle w:val="BodyText"/>
      </w:pPr>
      <w:r w:rsidRPr="00A234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338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34A4" w:rsidP="00A234A4"/>
    <w:sectPr w:rsidSect="00A234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 w:rsidRPr="00C20F27" w:rsidP="00C20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27" w:rsidP="00A23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F27" w:rsidP="00A23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20F27" w:rsidP="00A234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 w:rsidP="00A23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F27">
      <w:t>Approved</w:t>
    </w:r>
    <w:r w:rsidR="00C20F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F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F27">
      <w:rPr>
        <w:noProof/>
      </w:rPr>
      <w:t>4</w:t>
    </w:r>
    <w:r>
      <w:rPr>
        <w:noProof/>
      </w:rPr>
      <w:fldChar w:fldCharType="end"/>
    </w:r>
  </w:p>
  <w:p w:rsidR="00A234A4" w:rsidP="00A23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F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F27">
      <w:t>BuildSkills Australia</w:t>
    </w:r>
    <w:r w:rsidR="00C20F27">
      <w:fldChar w:fldCharType="end"/>
    </w:r>
  </w:p>
  <w:p w:rsidR="00A234A4" w:rsidP="00A23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4A4" w:rsidRPr="00C20F27" w:rsidP="00C20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F27" w:rsidRPr="002D2AF8" w:rsidP="00A23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CPPSEC4008 Assess and prepare security tender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0F27" w:rsidP="00A234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A4" w:rsidRPr="002D2AF8" w:rsidP="00A23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F27">
      <w:t>CPPSEC4008 Assess and prepare security tender submissions</w:t>
    </w:r>
    <w:r w:rsidR="00C20F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F27">
      <w:rPr>
        <w:noProof/>
      </w:rPr>
      <w:t>1 March 2025</w:t>
    </w:r>
    <w:r>
      <w:fldChar w:fldCharType="end"/>
    </w:r>
  </w:p>
  <w:p w:rsidR="00A234A4" w:rsidP="00A23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6A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EF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C2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4A4"/>
  </w:style>
  <w:style w:type="character" w:customStyle="1" w:styleId="Heading1Char">
    <w:name w:val="Heading 1 Char"/>
    <w:basedOn w:val="DefaultParagraphFont"/>
    <w:link w:val="Heading1"/>
    <w:rsid w:val="00A23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4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4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34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4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4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4A4"/>
    <w:rPr>
      <w:b/>
      <w:spacing w:val="0"/>
    </w:rPr>
  </w:style>
  <w:style w:type="paragraph" w:customStyle="1" w:styleId="SuperTitle">
    <w:name w:val="SuperTitle"/>
    <w:basedOn w:val="Title"/>
    <w:rsid w:val="00A23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4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4A4"/>
    <w:rPr>
      <w:i/>
    </w:rPr>
  </w:style>
  <w:style w:type="paragraph" w:styleId="Caption">
    <w:name w:val="caption"/>
    <w:basedOn w:val="BodyText"/>
    <w:next w:val="Normal"/>
    <w:qFormat/>
    <w:rsid w:val="00A23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4A4"/>
  </w:style>
  <w:style w:type="paragraph" w:styleId="TableofFigures">
    <w:name w:val="table of figures"/>
    <w:basedOn w:val="Normal"/>
    <w:next w:val="Normal"/>
    <w:semiHidden/>
    <w:rsid w:val="00A23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4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4A4"/>
    <w:rPr>
      <w:rFonts w:ascii="Wingdings" w:hAnsi="Wingdings"/>
    </w:rPr>
  </w:style>
  <w:style w:type="paragraph" w:customStyle="1" w:styleId="TableHeading">
    <w:name w:val="Table Heading"/>
    <w:basedOn w:val="HeadingBase"/>
    <w:rsid w:val="00A23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4A4"/>
    <w:rPr>
      <w:color w:val="0033CC"/>
      <w:u w:val="none"/>
    </w:rPr>
  </w:style>
  <w:style w:type="paragraph" w:customStyle="1" w:styleId="BodyTextRight">
    <w:name w:val="Body Text Right"/>
    <w:basedOn w:val="BodyText"/>
    <w:rsid w:val="00A23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4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4A4"/>
    <w:rPr>
      <w:sz w:val="32"/>
    </w:rPr>
  </w:style>
  <w:style w:type="paragraph" w:customStyle="1" w:styleId="HeadingProcedure">
    <w:name w:val="Heading Procedure"/>
    <w:basedOn w:val="HeadingBase"/>
    <w:next w:val="Normal"/>
    <w:rsid w:val="00A23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4A4"/>
    <w:pPr>
      <w:spacing w:before="60" w:after="60"/>
    </w:pPr>
  </w:style>
  <w:style w:type="paragraph" w:styleId="ListContinue">
    <w:name w:val="List Continue"/>
    <w:basedOn w:val="List"/>
    <w:rsid w:val="00A234A4"/>
    <w:pPr>
      <w:ind w:firstLine="0"/>
    </w:pPr>
  </w:style>
  <w:style w:type="paragraph" w:customStyle="1" w:styleId="ListNote">
    <w:name w:val="List Note"/>
    <w:basedOn w:val="List"/>
    <w:rsid w:val="00A23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4A4"/>
    <w:rPr>
      <w:rFonts w:ascii="Courier New" w:hAnsi="Courier New"/>
    </w:rPr>
  </w:style>
  <w:style w:type="paragraph" w:customStyle="1" w:styleId="NoteBullet">
    <w:name w:val="Note Bullet"/>
    <w:basedOn w:val="Note"/>
    <w:rsid w:val="00A23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4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4A4"/>
    <w:rPr>
      <w:b/>
      <w:smallCaps/>
    </w:rPr>
  </w:style>
  <w:style w:type="paragraph" w:customStyle="1" w:styleId="TableListNumber">
    <w:name w:val="Table List Number"/>
    <w:basedOn w:val="ListNumber"/>
    <w:rsid w:val="00A23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4A4"/>
    <w:pPr>
      <w:numPr>
        <w:numId w:val="9"/>
      </w:numPr>
    </w:pPr>
  </w:style>
  <w:style w:type="paragraph" w:customStyle="1" w:styleId="ListAlpha2">
    <w:name w:val="List Alpha 2"/>
    <w:basedOn w:val="List2"/>
    <w:rsid w:val="00A234A4"/>
    <w:pPr>
      <w:numPr>
        <w:numId w:val="8"/>
      </w:numPr>
    </w:pPr>
  </w:style>
  <w:style w:type="paragraph" w:styleId="List2">
    <w:name w:val="List 2"/>
    <w:basedOn w:val="BodyText"/>
    <w:rsid w:val="00A23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4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4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4A4"/>
    <w:pPr>
      <w:numPr>
        <w:numId w:val="4"/>
      </w:numPr>
    </w:pPr>
  </w:style>
  <w:style w:type="paragraph" w:styleId="ListContinue2">
    <w:name w:val="List Continue 2"/>
    <w:basedOn w:val="List2"/>
    <w:rsid w:val="00A234A4"/>
    <w:pPr>
      <w:ind w:firstLine="0"/>
    </w:pPr>
  </w:style>
  <w:style w:type="paragraph" w:styleId="ListContinue3">
    <w:name w:val="List Continue 3"/>
    <w:basedOn w:val="List3"/>
    <w:rsid w:val="00A234A4"/>
    <w:pPr>
      <w:ind w:left="1021" w:firstLine="0"/>
    </w:pPr>
  </w:style>
  <w:style w:type="paragraph" w:styleId="ListContinue4">
    <w:name w:val="List Continue 4"/>
    <w:basedOn w:val="List4"/>
    <w:rsid w:val="00A234A4"/>
    <w:pPr>
      <w:ind w:firstLine="0"/>
    </w:pPr>
  </w:style>
  <w:style w:type="paragraph" w:styleId="ListContinue5">
    <w:name w:val="List Continue 5"/>
    <w:basedOn w:val="List5"/>
    <w:rsid w:val="00A234A4"/>
    <w:pPr>
      <w:ind w:firstLine="0"/>
    </w:pPr>
  </w:style>
  <w:style w:type="paragraph" w:styleId="ListNumber3">
    <w:name w:val="List Number 3"/>
    <w:basedOn w:val="List3"/>
    <w:rsid w:val="00A234A4"/>
    <w:pPr>
      <w:numPr>
        <w:numId w:val="5"/>
      </w:numPr>
    </w:pPr>
  </w:style>
  <w:style w:type="paragraph" w:styleId="ListNumber4">
    <w:name w:val="List Number 4"/>
    <w:basedOn w:val="List4"/>
    <w:rsid w:val="00A234A4"/>
    <w:pPr>
      <w:numPr>
        <w:numId w:val="6"/>
      </w:numPr>
    </w:pPr>
  </w:style>
  <w:style w:type="paragraph" w:styleId="ListNumber5">
    <w:name w:val="List Number 5"/>
    <w:basedOn w:val="List5"/>
    <w:rsid w:val="00A234A4"/>
    <w:pPr>
      <w:numPr>
        <w:numId w:val="7"/>
      </w:numPr>
    </w:pPr>
  </w:style>
  <w:style w:type="paragraph" w:styleId="BlockText">
    <w:name w:val="Block Text"/>
    <w:basedOn w:val="Normal"/>
    <w:rsid w:val="00A23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4A4"/>
    <w:rPr>
      <w:sz w:val="16"/>
      <w:vertAlign w:val="superscript"/>
    </w:rPr>
  </w:style>
  <w:style w:type="character" w:customStyle="1" w:styleId="Symbols">
    <w:name w:val="Symbols"/>
    <w:basedOn w:val="DefaultParagraphFont"/>
    <w:rsid w:val="00A234A4"/>
    <w:rPr>
      <w:rFonts w:ascii="Symbol" w:hAnsi="Symbol"/>
    </w:rPr>
  </w:style>
  <w:style w:type="character" w:customStyle="1" w:styleId="MenuOptions">
    <w:name w:val="Menu Options"/>
    <w:basedOn w:val="DefaultParagraphFont"/>
    <w:rsid w:val="00A23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4A4"/>
    <w:rPr>
      <w:b/>
    </w:rPr>
  </w:style>
  <w:style w:type="character" w:customStyle="1" w:styleId="Underlined">
    <w:name w:val="Underlined"/>
    <w:basedOn w:val="DefaultParagraphFont"/>
    <w:rsid w:val="00A234A4"/>
    <w:rPr>
      <w:u w:val="single"/>
    </w:rPr>
  </w:style>
  <w:style w:type="paragraph" w:customStyle="1" w:styleId="TableBodyTextRight">
    <w:name w:val="Table Body Text Right"/>
    <w:basedOn w:val="TableBodyText"/>
    <w:rsid w:val="00A23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4A4"/>
    <w:rPr>
      <w:sz w:val="18"/>
    </w:rPr>
  </w:style>
  <w:style w:type="paragraph" w:customStyle="1" w:styleId="BodySmallRight">
    <w:name w:val="Body Small Right"/>
    <w:basedOn w:val="BodyTextRight"/>
    <w:rsid w:val="00A234A4"/>
    <w:rPr>
      <w:sz w:val="18"/>
      <w:szCs w:val="18"/>
    </w:rPr>
  </w:style>
  <w:style w:type="paragraph" w:customStyle="1" w:styleId="MarginEdition">
    <w:name w:val="Margin Edition"/>
    <w:basedOn w:val="MarginNote"/>
    <w:rsid w:val="00A23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4A4"/>
    <w:rPr>
      <w:sz w:val="2"/>
      <w:szCs w:val="2"/>
    </w:rPr>
  </w:style>
  <w:style w:type="character" w:customStyle="1" w:styleId="Small">
    <w:name w:val="Small"/>
    <w:basedOn w:val="DefaultParagraphFont"/>
    <w:rsid w:val="00A234A4"/>
    <w:rPr>
      <w:sz w:val="16"/>
    </w:rPr>
  </w:style>
  <w:style w:type="paragraph" w:customStyle="1" w:styleId="WideTable">
    <w:name w:val="Wide Table"/>
    <w:basedOn w:val="Normal"/>
    <w:rsid w:val="00A23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4A4"/>
  </w:style>
  <w:style w:type="paragraph" w:styleId="Quote">
    <w:name w:val="Quote"/>
    <w:basedOn w:val="Heading1"/>
    <w:link w:val="QuoteChar"/>
    <w:qFormat/>
    <w:rsid w:val="00A23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4A4"/>
    <w:pPr>
      <w:pageBreakBefore/>
    </w:pPr>
  </w:style>
  <w:style w:type="paragraph" w:customStyle="1" w:styleId="Border">
    <w:name w:val="Border"/>
    <w:basedOn w:val="Normal"/>
    <w:qFormat/>
    <w:rsid w:val="00A23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4A4"/>
    <w:rPr>
      <w:u w:val="single"/>
    </w:rPr>
  </w:style>
  <w:style w:type="character" w:customStyle="1" w:styleId="BoldandItalics">
    <w:name w:val="Bold and Italics"/>
    <w:qFormat/>
    <w:rsid w:val="00A234A4"/>
    <w:rPr>
      <w:b/>
      <w:i/>
      <w:u w:val="none"/>
    </w:rPr>
  </w:style>
  <w:style w:type="paragraph" w:styleId="BalloonText">
    <w:name w:val="Balloon Text"/>
    <w:basedOn w:val="Normal"/>
    <w:link w:val="BalloonTextChar"/>
    <w:rsid w:val="00A23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4A4"/>
    <w:pPr>
      <w:spacing w:before="0" w:after="0"/>
    </w:pPr>
  </w:style>
  <w:style w:type="paragraph" w:customStyle="1" w:styleId="BodyTextBold">
    <w:name w:val="Body Text Bold"/>
    <w:basedOn w:val="BodyText"/>
    <w:qFormat/>
    <w:rsid w:val="00A234A4"/>
    <w:rPr>
      <w:b/>
    </w:rPr>
  </w:style>
  <w:style w:type="character" w:styleId="Hyperlink">
    <w:name w:val="Hyperlink"/>
    <w:basedOn w:val="DefaultParagraphFont"/>
    <w:uiPriority w:val="99"/>
    <w:unhideWhenUsed/>
    <w:rsid w:val="00C20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5826</Characters>
  <Application>Microsoft Office Word</Application>
  <DocSecurity>0</DocSecurity>
  <Lines>200</Lines>
  <Paragraphs>106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CPPSEC4008 Assess and prepare security tender submissions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