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E03" w:rsidP="00A35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CPPSEC4005 Facilitate security operations briefing and debriefing processes</w:t>
      </w:r>
      <w:r>
        <w:fldChar w:fldCharType="end"/>
      </w:r>
    </w:p>
    <w:p w:rsidR="00A35E03" w:rsidP="00A35E03">
      <w:pPr>
        <w:pStyle w:val="Version"/>
        <w:sectPr w:rsidSect="001F3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DA4" w:rsidP="001F3DA4">
      <w:pPr>
        <w:pStyle w:val="SuperHeading"/>
      </w:pPr>
      <w:r w:rsidRPr="001F3DA4">
        <w:t>Assessment Requirements for CPPSEC4005 Facilitate security operations briefing and debriefing processes</w:t>
      </w:r>
    </w:p>
    <w:p w:rsidR="00000000" w:rsidRPr="001F3DA4" w:rsidP="001F3DA4">
      <w:pPr>
        <w:pStyle w:val="Heading1"/>
      </w:pPr>
      <w:bookmarkStart w:id="1" w:name="O_1053326"/>
      <w:bookmarkEnd w:id="1"/>
      <w:r w:rsidRPr="001F3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F3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DA4">
            <w:pPr>
              <w:pStyle w:val="BodyText"/>
              <w:rPr>
                <w:lang w:val="en-NZ"/>
              </w:rPr>
            </w:pPr>
            <w:r w:rsidRPr="001F3D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DA4" w:rsidP="001F3DA4">
            <w:pPr>
              <w:pStyle w:val="BodyText"/>
            </w:pPr>
            <w:r w:rsidRPr="001F3DA4">
              <w:t>This version first released with CPP Property Services Training Package Release 9.0.</w:t>
            </w:r>
          </w:p>
          <w:p w:rsidR="00000000" w:rsidRPr="001F3DA4" w:rsidP="001F3DA4">
            <w:pPr>
              <w:pStyle w:val="BodyText"/>
            </w:pPr>
            <w:r w:rsidRPr="001F3DA4">
              <w:t>Supersedes and is equivalent to CPPSEC4005A Facilitate workplace briefing and debriefing processes. Updated to meet the Standards for Training Packages.</w:t>
            </w:r>
          </w:p>
        </w:tc>
      </w:tr>
    </w:tbl>
    <w:p w:rsidR="00000000" w:rsidRPr="001F3DA4" w:rsidP="001F3DA4">
      <w:pPr>
        <w:pStyle w:val="BodyText"/>
      </w:pPr>
    </w:p>
    <w:p w:rsidR="00000000" w:rsidRPr="001F3DA4" w:rsidP="001F3DA4">
      <w:pPr>
        <w:pStyle w:val="AllowPageBreak"/>
      </w:pPr>
    </w:p>
    <w:p w:rsidR="00000000" w:rsidRPr="001F3DA4" w:rsidP="001F3DA4">
      <w:pPr>
        <w:pStyle w:val="Heading1"/>
      </w:pPr>
      <w:bookmarkStart w:id="2" w:name="O_1053329"/>
      <w:bookmarkEnd w:id="2"/>
      <w:r w:rsidRPr="001F3DA4">
        <w:t>Performance Evidence</w:t>
      </w:r>
    </w:p>
    <w:p w:rsidR="00000000" w:rsidRPr="001F3DA4" w:rsidP="00A35E03">
      <w:pPr>
        <w:pStyle w:val="BodyText"/>
      </w:pPr>
      <w:r w:rsidRPr="001F3DA4">
        <w:t>To demonstrate competency, a candidate must meet the performa</w:t>
      </w:r>
      <w:r w:rsidRPr="001F3DA4">
        <w:t>nce criteria of this unit by conducting briefing and debriefing processes for three different security operations involving:</w:t>
      </w:r>
    </w:p>
    <w:p w:rsidR="00000000" w:rsidRPr="001F3DA4" w:rsidP="001F3DA4">
      <w:pPr>
        <w:pStyle w:val="ListBullet"/>
      </w:pPr>
      <w:r w:rsidRPr="001F3DA4">
        <w:t>at least two briefing processes and two debriefing processes including face-to-face group discussions with a minimum of three part</w:t>
      </w:r>
      <w:r w:rsidRPr="001F3DA4">
        <w:t>icipants</w:t>
      </w:r>
    </w:p>
    <w:p w:rsidR="00000000" w:rsidRPr="001F3DA4" w:rsidP="001F3DA4">
      <w:pPr>
        <w:pStyle w:val="ListBullet"/>
      </w:pPr>
      <w:r w:rsidRPr="001F3DA4">
        <w:t>identifying support strategies to support the specific wellbeing needs of two individuals arising from debriefing of each security operation</w:t>
      </w:r>
    </w:p>
    <w:p w:rsidR="00000000" w:rsidRPr="001F3DA4" w:rsidP="001F3DA4">
      <w:pPr>
        <w:pStyle w:val="ListBullet"/>
      </w:pPr>
      <w:r w:rsidRPr="001F3DA4">
        <w:t>reviewing incident observations representing different types of incident scenarios for each security opera</w:t>
      </w:r>
      <w:r w:rsidRPr="001F3DA4">
        <w:t>tion.</w:t>
      </w:r>
    </w:p>
    <w:p w:rsidR="00000000" w:rsidRPr="001F3DA4" w:rsidP="001F3DA4">
      <w:pPr>
        <w:pStyle w:val="AllowPageBreak"/>
      </w:pPr>
    </w:p>
    <w:p w:rsidR="00000000" w:rsidRPr="001F3DA4" w:rsidP="001F3DA4">
      <w:pPr>
        <w:pStyle w:val="Heading1"/>
      </w:pPr>
      <w:bookmarkStart w:id="3" w:name="O_1053328"/>
      <w:bookmarkEnd w:id="3"/>
      <w:r w:rsidRPr="001F3DA4">
        <w:t>Knowledge Evidence</w:t>
      </w:r>
    </w:p>
    <w:p w:rsidR="00000000" w:rsidRPr="001F3DA4" w:rsidP="00A35E03">
      <w:pPr>
        <w:pStyle w:val="BodyText"/>
      </w:pPr>
      <w:r w:rsidRPr="001F3DA4">
        <w:t>To be competent in this unit, a candidate must demonstrate knowledge of:</w:t>
      </w:r>
    </w:p>
    <w:p w:rsidR="00000000" w:rsidRPr="001F3DA4" w:rsidP="001F3DA4">
      <w:pPr>
        <w:pStyle w:val="ListBullet"/>
      </w:pPr>
      <w:r w:rsidRPr="001F3DA4">
        <w:t xml:space="preserve">workplace policies and procedures that ensure compliance with legislative and regulatory requirements </w:t>
      </w:r>
      <w:r w:rsidRPr="001F3DA4">
        <w:t>when facilitating security operations briefing and debriefing:</w:t>
      </w:r>
    </w:p>
    <w:p w:rsidR="00000000" w:rsidRPr="001F3DA4" w:rsidP="001F3DA4">
      <w:pPr>
        <w:pStyle w:val="ListBullet2"/>
      </w:pPr>
      <w:r w:rsidRPr="001F3DA4">
        <w:t>anti-discrimination and diversity</w:t>
      </w:r>
    </w:p>
    <w:p w:rsidR="00000000" w:rsidRPr="001F3DA4" w:rsidP="001F3DA4">
      <w:pPr>
        <w:pStyle w:val="ListBullet2"/>
      </w:pPr>
      <w:r w:rsidRPr="001F3DA4">
        <w:t>key requirements of legislation, regulations and codes of conduct governing security operations in the jurisdiction of operation</w:t>
      </w:r>
    </w:p>
    <w:p w:rsidR="00000000" w:rsidRPr="001F3DA4" w:rsidP="001F3DA4">
      <w:pPr>
        <w:pStyle w:val="ListBullet2"/>
      </w:pPr>
      <w:r w:rsidRPr="001F3DA4">
        <w:t>legal rights and responsibili</w:t>
      </w:r>
      <w:r w:rsidRPr="001F3DA4">
        <w:t>ties of employers, supervisors and employees associated with work health and safety and duty of care</w:t>
      </w:r>
    </w:p>
    <w:p w:rsidR="00000000" w:rsidRPr="001F3DA4" w:rsidP="001F3DA4">
      <w:pPr>
        <w:pStyle w:val="ListBullet2"/>
      </w:pPr>
      <w:r w:rsidRPr="001F3DA4">
        <w:t>licensing requirements in the security industry</w:t>
      </w:r>
    </w:p>
    <w:p w:rsidR="00000000" w:rsidRPr="001F3DA4" w:rsidP="001F3DA4">
      <w:pPr>
        <w:pStyle w:val="ListBullet"/>
      </w:pPr>
      <w:r w:rsidRPr="001F3DA4">
        <w:t xml:space="preserve">implications for security operations arising from the </w:t>
      </w:r>
      <w:r w:rsidRPr="001F3DA4">
        <w:rPr>
          <w:rStyle w:val="Emphasis"/>
        </w:rPr>
        <w:t xml:space="preserve">National Guidelines for the Protection of Places of </w:t>
      </w:r>
      <w:r w:rsidRPr="001F3DA4">
        <w:rPr>
          <w:rStyle w:val="Emphasis"/>
        </w:rPr>
        <w:t>Mass gathering from Terrorism</w:t>
      </w:r>
    </w:p>
    <w:p w:rsidR="00000000" w:rsidRPr="001F3DA4" w:rsidP="001F3DA4">
      <w:pPr>
        <w:pStyle w:val="ListBullet"/>
      </w:pPr>
      <w:r w:rsidRPr="001F3DA4">
        <w:t>methods used to brief individuals and teams in preparation for security operations</w:t>
      </w:r>
    </w:p>
    <w:p w:rsidR="00000000" w:rsidRPr="001F3DA4" w:rsidP="001F3DA4">
      <w:pPr>
        <w:pStyle w:val="ListBullet"/>
      </w:pPr>
      <w:r w:rsidRPr="001F3DA4">
        <w:t>methods used to debrief security operations to identify issues and concerns and procedural improvements</w:t>
      </w:r>
    </w:p>
    <w:p w:rsidR="00000000" w:rsidRPr="001F3DA4" w:rsidP="001F3DA4">
      <w:pPr>
        <w:pStyle w:val="ListBullet"/>
      </w:pPr>
      <w:r w:rsidRPr="001F3DA4">
        <w:t xml:space="preserve">persons required to be involved in the </w:t>
      </w:r>
      <w:r w:rsidRPr="001F3DA4">
        <w:t>briefing and debriefing of security operations</w:t>
      </w:r>
    </w:p>
    <w:p w:rsidR="00000000" w:rsidRPr="001F3DA4" w:rsidP="001F3DA4">
      <w:pPr>
        <w:pStyle w:val="ListBullet"/>
      </w:pPr>
      <w:r w:rsidRPr="001F3DA4">
        <w:t>signs and symptoms of work-related stress and associated support strategies</w:t>
      </w:r>
    </w:p>
    <w:p w:rsidR="00000000" w:rsidRPr="001F3DA4" w:rsidP="001F3DA4">
      <w:pPr>
        <w:pStyle w:val="ListBullet"/>
      </w:pPr>
      <w:r w:rsidRPr="001F3DA4">
        <w:t>techniques for facilitating group discussions and encouraging input from individuals</w:t>
      </w:r>
    </w:p>
    <w:p w:rsidR="00000000" w:rsidRPr="001F3DA4" w:rsidP="001F3DA4">
      <w:pPr>
        <w:pStyle w:val="ListBullet"/>
      </w:pPr>
      <w:r w:rsidRPr="001F3DA4">
        <w:t xml:space="preserve">purpose of </w:t>
      </w:r>
      <w:r w:rsidRPr="001F3DA4">
        <w:rPr>
          <w:rStyle w:val="Emphasis"/>
        </w:rPr>
        <w:t>Australia’s</w:t>
      </w:r>
      <w:r w:rsidRPr="001F3DA4">
        <w:t xml:space="preserve"> </w:t>
      </w:r>
      <w:r w:rsidRPr="001F3DA4">
        <w:rPr>
          <w:rStyle w:val="Emphasis"/>
        </w:rPr>
        <w:t>Strategy for Protecting C</w:t>
      </w:r>
      <w:r w:rsidRPr="001F3DA4">
        <w:rPr>
          <w:rStyle w:val="Emphasis"/>
        </w:rPr>
        <w:t>rowded Places from Terrorism</w:t>
      </w:r>
      <w:r w:rsidRPr="001F3DA4">
        <w:t xml:space="preserve"> and understanding of:</w:t>
      </w:r>
    </w:p>
    <w:p w:rsidR="00000000" w:rsidRPr="001F3DA4" w:rsidP="001F3DA4">
      <w:pPr>
        <w:pStyle w:val="ListBullet2"/>
      </w:pPr>
      <w:r w:rsidRPr="001F3DA4">
        <w:t>definition of crowded places</w:t>
      </w:r>
    </w:p>
    <w:p w:rsidR="00000000" w:rsidRPr="001F3DA4" w:rsidP="001F3DA4">
      <w:pPr>
        <w:pStyle w:val="ListBullet2"/>
      </w:pPr>
      <w:r w:rsidRPr="001F3DA4">
        <w:t>key security issues for crowded places</w:t>
      </w:r>
    </w:p>
    <w:p w:rsidR="00000000" w:rsidRPr="001F3DA4" w:rsidP="001F3DA4">
      <w:pPr>
        <w:pStyle w:val="ListBullet2"/>
      </w:pPr>
      <w:r w:rsidRPr="001F3DA4">
        <w:t>objectives, characteristics and identification of active armed offenders</w:t>
      </w:r>
    </w:p>
    <w:p w:rsidR="00000000" w:rsidRPr="001F3DA4" w:rsidP="001F3DA4">
      <w:pPr>
        <w:pStyle w:val="ListBullet2"/>
      </w:pPr>
      <w:r w:rsidRPr="001F3DA4">
        <w:t>definition of hostile vehicles and methods of attack</w:t>
      </w:r>
    </w:p>
    <w:p w:rsidR="00000000" w:rsidRPr="001F3DA4" w:rsidP="001F3DA4">
      <w:pPr>
        <w:pStyle w:val="ListBullet2"/>
      </w:pPr>
      <w:r w:rsidRPr="001F3DA4">
        <w:t>signs of chemical weapons attack and recommend response</w:t>
      </w:r>
    </w:p>
    <w:p w:rsidR="00000000" w:rsidRPr="001F3DA4" w:rsidP="001F3DA4">
      <w:pPr>
        <w:pStyle w:val="ListBullet2"/>
      </w:pPr>
      <w:r w:rsidRPr="001F3DA4">
        <w:t>general features of improvised explosive devices and recommended incident response</w:t>
      </w:r>
    </w:p>
    <w:p w:rsidR="00000000" w:rsidRPr="001F3DA4" w:rsidP="001F3DA4">
      <w:pPr>
        <w:pStyle w:val="ListBullet"/>
      </w:pPr>
      <w:r w:rsidRPr="001F3DA4">
        <w:t>typical security workplace hazards, risks and emergency situations and the control measures for each</w:t>
      </w:r>
    </w:p>
    <w:p w:rsidR="00000000" w:rsidRPr="001F3DA4" w:rsidP="001F3DA4">
      <w:pPr>
        <w:pStyle w:val="ListBullet"/>
      </w:pPr>
      <w:r w:rsidRPr="001F3DA4">
        <w:t>ways that socia</w:t>
      </w:r>
      <w:r w:rsidRPr="001F3DA4">
        <w:t>l and cultural differences may be expressed</w:t>
      </w:r>
    </w:p>
    <w:p w:rsidR="00000000" w:rsidRPr="001F3DA4" w:rsidP="001F3DA4">
      <w:pPr>
        <w:pStyle w:val="ListBullet"/>
      </w:pPr>
      <w:r w:rsidRPr="001F3DA4">
        <w:t>work scheduling procedures.</w:t>
      </w:r>
    </w:p>
    <w:p w:rsidR="00000000" w:rsidRPr="001F3DA4" w:rsidP="001F3DA4">
      <w:pPr>
        <w:pStyle w:val="AllowPageBreak"/>
      </w:pPr>
    </w:p>
    <w:p w:rsidR="00000000" w:rsidRPr="001F3DA4" w:rsidP="001F3DA4">
      <w:pPr>
        <w:pStyle w:val="Heading1"/>
      </w:pPr>
      <w:bookmarkStart w:id="4" w:name="O_1053327"/>
      <w:bookmarkEnd w:id="4"/>
      <w:r w:rsidRPr="001F3DA4">
        <w:t>Assessment Conditions</w:t>
      </w:r>
    </w:p>
    <w:p w:rsidR="00000000" w:rsidRPr="001F3DA4" w:rsidP="00A35E03">
      <w:pPr>
        <w:pStyle w:val="BodyText"/>
      </w:pPr>
      <w:r w:rsidRPr="001F3DA4">
        <w:t>Assessors must meet the requirements for assessors contained in the Standards for Registered Training Organisations.</w:t>
      </w:r>
    </w:p>
    <w:p w:rsidR="00000000" w:rsidRPr="001F3DA4" w:rsidP="00A35E03">
      <w:pPr>
        <w:pStyle w:val="BodyText"/>
      </w:pPr>
      <w:r w:rsidRPr="001F3DA4">
        <w:t>All individuals engaged by</w:t>
      </w:r>
      <w:r w:rsidRPr="001F3DA4">
        <w:t xml:space="preserve"> a licensed RTO for security licensing purposes must hold both a security trainers licence (where such a licence exists within the relevant jurisdiction) and the licence for performing the security activities for which the individual is providing training </w:t>
      </w:r>
      <w:r w:rsidRPr="001F3DA4">
        <w:t>or assessment.  Regulators may impose other assessor conditions to meet jurisdictional assessment requirements.</w:t>
      </w:r>
    </w:p>
    <w:p w:rsidR="00000000" w:rsidRPr="001F3DA4" w:rsidP="00A35E03">
      <w:pPr>
        <w:pStyle w:val="BodyText"/>
      </w:pPr>
      <w:r w:rsidRPr="001F3DA4">
        <w:t>Assessment must be conducted in the workplace or in a simulated workplace environment. Candidates must have access to:</w:t>
      </w:r>
    </w:p>
    <w:p w:rsidR="00000000" w:rsidRPr="001F3DA4" w:rsidP="001F3DA4">
      <w:pPr>
        <w:pStyle w:val="ListBullet"/>
      </w:pPr>
      <w:r w:rsidRPr="001F3DA4">
        <w:t>legislation, regulations</w:t>
      </w:r>
      <w:r w:rsidRPr="001F3DA4">
        <w:t xml:space="preserve"> and codes of practice that apply to briefing and debriefing of security operations in the jurisdiction of operation</w:t>
      </w:r>
    </w:p>
    <w:p w:rsidR="00000000" w:rsidRPr="001F3DA4" w:rsidP="001F3DA4">
      <w:pPr>
        <w:pStyle w:val="ListBullet"/>
      </w:pPr>
      <w:r w:rsidRPr="001F3DA4">
        <w:t>work instructions and operational information, security equipment, resources and information technologies required to achieve the performan</w:t>
      </w:r>
      <w:r w:rsidRPr="001F3DA4">
        <w:t>ce evidence</w:t>
      </w:r>
    </w:p>
    <w:p w:rsidR="00000000" w:rsidRPr="001F3DA4" w:rsidP="001F3DA4">
      <w:pPr>
        <w:pStyle w:val="ListBullet"/>
      </w:pPr>
      <w:r w:rsidRPr="001F3DA4">
        <w:rPr>
          <w:rStyle w:val="Emphasis"/>
        </w:rPr>
        <w:t>Australia’s Strategy for Protecting Crowded Places from Terrorism</w:t>
      </w:r>
    </w:p>
    <w:p w:rsidR="00000000" w:rsidRPr="001F3DA4" w:rsidP="001F3DA4">
      <w:pPr>
        <w:pStyle w:val="ListBullet"/>
      </w:pPr>
      <w:r w:rsidRPr="001F3DA4">
        <w:rPr>
          <w:rStyle w:val="Emphasis"/>
        </w:rPr>
        <w:t>National Guidelines for the Protection of Places of Mass gathering from Terrorism</w:t>
      </w:r>
      <w:r w:rsidRPr="001F3DA4">
        <w:t>.</w:t>
      </w:r>
    </w:p>
    <w:p w:rsidR="00000000" w:rsidRPr="001F3DA4" w:rsidP="001F3DA4">
      <w:pPr>
        <w:pStyle w:val="AllowPageBreak"/>
      </w:pPr>
    </w:p>
    <w:p w:rsidR="00000000" w:rsidRPr="001F3DA4" w:rsidP="001F3DA4">
      <w:pPr>
        <w:pStyle w:val="Heading1"/>
      </w:pPr>
      <w:bookmarkStart w:id="5" w:name="O_1053325"/>
      <w:bookmarkEnd w:id="5"/>
      <w:r w:rsidRPr="001F3DA4">
        <w:t>Links</w:t>
      </w:r>
    </w:p>
    <w:p w:rsidR="00000000" w:rsidRPr="001F3DA4" w:rsidP="00A35E03">
      <w:pPr>
        <w:pStyle w:val="BodyText"/>
      </w:pPr>
      <w:r w:rsidRPr="001F3D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55E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F3DA4" w:rsidP="001F3DA4"/>
    <w:sectPr w:rsidSect="001F3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A4" w:rsidRPr="00A35E03" w:rsidP="00A35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03" w:rsidP="001F3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5E03" w:rsidP="001F3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35E03" w:rsidP="001F3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DA4" w:rsidRPr="00A35E03" w:rsidP="00A35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03" w:rsidRPr="002D2AF8" w:rsidP="001F3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CPPSEC4005 Facilitate security operations briefing and debriefing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35E03" w:rsidP="001F3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F89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4E6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02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DA4"/>
  </w:style>
  <w:style w:type="character" w:customStyle="1" w:styleId="Heading1Char">
    <w:name w:val="Heading 1 Char"/>
    <w:basedOn w:val="DefaultParagraphFont"/>
    <w:link w:val="Heading1"/>
    <w:rsid w:val="001F3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D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3D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3DA4"/>
    <w:rPr>
      <w:i/>
    </w:rPr>
  </w:style>
  <w:style w:type="paragraph" w:customStyle="1" w:styleId="SuperHeading">
    <w:name w:val="SuperHeading"/>
    <w:basedOn w:val="Normal"/>
    <w:rsid w:val="001F3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DA4"/>
    <w:rPr>
      <w:b/>
      <w:spacing w:val="0"/>
    </w:rPr>
  </w:style>
  <w:style w:type="paragraph" w:customStyle="1" w:styleId="SuperTitle">
    <w:name w:val="SuperTitle"/>
    <w:basedOn w:val="Title"/>
    <w:rsid w:val="001F3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DA4"/>
  </w:style>
  <w:style w:type="paragraph" w:styleId="TableofFigures">
    <w:name w:val="table of figures"/>
    <w:basedOn w:val="Normal"/>
    <w:next w:val="Normal"/>
    <w:semiHidden/>
    <w:rsid w:val="001F3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D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DA4"/>
    <w:rPr>
      <w:rFonts w:ascii="Wingdings" w:hAnsi="Wingdings"/>
    </w:rPr>
  </w:style>
  <w:style w:type="paragraph" w:customStyle="1" w:styleId="TableHeading">
    <w:name w:val="Table Heading"/>
    <w:basedOn w:val="HeadingBase"/>
    <w:rsid w:val="001F3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DA4"/>
    <w:rPr>
      <w:color w:val="0033CC"/>
      <w:u w:val="none"/>
    </w:rPr>
  </w:style>
  <w:style w:type="paragraph" w:customStyle="1" w:styleId="BodyTextRight">
    <w:name w:val="Body Text Right"/>
    <w:basedOn w:val="BodyText"/>
    <w:rsid w:val="001F3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D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DA4"/>
    <w:rPr>
      <w:sz w:val="32"/>
    </w:rPr>
  </w:style>
  <w:style w:type="paragraph" w:customStyle="1" w:styleId="HeadingProcedure">
    <w:name w:val="Heading Procedure"/>
    <w:basedOn w:val="HeadingBase"/>
    <w:next w:val="Normal"/>
    <w:rsid w:val="001F3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DA4"/>
    <w:pPr>
      <w:spacing w:before="60" w:after="60"/>
    </w:pPr>
  </w:style>
  <w:style w:type="paragraph" w:styleId="ListContinue">
    <w:name w:val="List Continue"/>
    <w:basedOn w:val="List"/>
    <w:rsid w:val="001F3DA4"/>
    <w:pPr>
      <w:ind w:firstLine="0"/>
    </w:pPr>
  </w:style>
  <w:style w:type="paragraph" w:customStyle="1" w:styleId="ListNote">
    <w:name w:val="List Note"/>
    <w:basedOn w:val="List"/>
    <w:rsid w:val="001F3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DA4"/>
    <w:rPr>
      <w:rFonts w:ascii="Courier New" w:hAnsi="Courier New"/>
    </w:rPr>
  </w:style>
  <w:style w:type="paragraph" w:customStyle="1" w:styleId="NoteBullet">
    <w:name w:val="Note Bullet"/>
    <w:basedOn w:val="Note"/>
    <w:rsid w:val="001F3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D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DA4"/>
    <w:rPr>
      <w:b/>
      <w:smallCaps/>
    </w:rPr>
  </w:style>
  <w:style w:type="paragraph" w:customStyle="1" w:styleId="TableListNumber">
    <w:name w:val="Table List Number"/>
    <w:basedOn w:val="ListNumber"/>
    <w:rsid w:val="001F3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DA4"/>
    <w:pPr>
      <w:numPr>
        <w:numId w:val="9"/>
      </w:numPr>
    </w:pPr>
  </w:style>
  <w:style w:type="paragraph" w:customStyle="1" w:styleId="ListAlpha2">
    <w:name w:val="List Alpha 2"/>
    <w:basedOn w:val="List2"/>
    <w:rsid w:val="001F3DA4"/>
    <w:pPr>
      <w:numPr>
        <w:numId w:val="8"/>
      </w:numPr>
    </w:pPr>
  </w:style>
  <w:style w:type="paragraph" w:styleId="List2">
    <w:name w:val="List 2"/>
    <w:basedOn w:val="BodyText"/>
    <w:rsid w:val="001F3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D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D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DA4"/>
    <w:pPr>
      <w:numPr>
        <w:numId w:val="4"/>
      </w:numPr>
    </w:pPr>
  </w:style>
  <w:style w:type="paragraph" w:styleId="ListContinue2">
    <w:name w:val="List Continue 2"/>
    <w:basedOn w:val="List2"/>
    <w:rsid w:val="001F3DA4"/>
    <w:pPr>
      <w:ind w:firstLine="0"/>
    </w:pPr>
  </w:style>
  <w:style w:type="paragraph" w:styleId="ListContinue3">
    <w:name w:val="List Continue 3"/>
    <w:basedOn w:val="List3"/>
    <w:rsid w:val="001F3DA4"/>
    <w:pPr>
      <w:ind w:left="1021" w:firstLine="0"/>
    </w:pPr>
  </w:style>
  <w:style w:type="paragraph" w:styleId="ListContinue4">
    <w:name w:val="List Continue 4"/>
    <w:basedOn w:val="List4"/>
    <w:rsid w:val="001F3DA4"/>
    <w:pPr>
      <w:ind w:firstLine="0"/>
    </w:pPr>
  </w:style>
  <w:style w:type="paragraph" w:styleId="ListContinue5">
    <w:name w:val="List Continue 5"/>
    <w:basedOn w:val="List5"/>
    <w:rsid w:val="001F3DA4"/>
    <w:pPr>
      <w:ind w:firstLine="0"/>
    </w:pPr>
  </w:style>
  <w:style w:type="paragraph" w:styleId="ListNumber3">
    <w:name w:val="List Number 3"/>
    <w:basedOn w:val="List3"/>
    <w:rsid w:val="001F3DA4"/>
    <w:pPr>
      <w:numPr>
        <w:numId w:val="5"/>
      </w:numPr>
    </w:pPr>
  </w:style>
  <w:style w:type="paragraph" w:styleId="ListNumber4">
    <w:name w:val="List Number 4"/>
    <w:basedOn w:val="List4"/>
    <w:rsid w:val="001F3DA4"/>
    <w:pPr>
      <w:numPr>
        <w:numId w:val="6"/>
      </w:numPr>
    </w:pPr>
  </w:style>
  <w:style w:type="paragraph" w:styleId="ListNumber5">
    <w:name w:val="List Number 5"/>
    <w:basedOn w:val="List5"/>
    <w:rsid w:val="001F3DA4"/>
    <w:pPr>
      <w:numPr>
        <w:numId w:val="7"/>
      </w:numPr>
    </w:pPr>
  </w:style>
  <w:style w:type="paragraph" w:styleId="BlockText">
    <w:name w:val="Block Text"/>
    <w:basedOn w:val="Normal"/>
    <w:rsid w:val="001F3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DA4"/>
    <w:rPr>
      <w:sz w:val="16"/>
      <w:vertAlign w:val="superscript"/>
    </w:rPr>
  </w:style>
  <w:style w:type="character" w:customStyle="1" w:styleId="Symbols">
    <w:name w:val="Symbols"/>
    <w:basedOn w:val="DefaultParagraphFont"/>
    <w:rsid w:val="001F3DA4"/>
    <w:rPr>
      <w:rFonts w:ascii="Symbol" w:hAnsi="Symbol"/>
    </w:rPr>
  </w:style>
  <w:style w:type="character" w:customStyle="1" w:styleId="MenuOptions">
    <w:name w:val="Menu Options"/>
    <w:basedOn w:val="DefaultParagraphFont"/>
    <w:rsid w:val="001F3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DA4"/>
    <w:rPr>
      <w:b/>
    </w:rPr>
  </w:style>
  <w:style w:type="character" w:customStyle="1" w:styleId="Underlined">
    <w:name w:val="Underlined"/>
    <w:basedOn w:val="DefaultParagraphFont"/>
    <w:rsid w:val="001F3DA4"/>
    <w:rPr>
      <w:u w:val="single"/>
    </w:rPr>
  </w:style>
  <w:style w:type="paragraph" w:customStyle="1" w:styleId="TableBodyTextRight">
    <w:name w:val="Table Body Text Right"/>
    <w:basedOn w:val="TableBodyText"/>
    <w:rsid w:val="001F3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DA4"/>
    <w:rPr>
      <w:sz w:val="18"/>
    </w:rPr>
  </w:style>
  <w:style w:type="paragraph" w:customStyle="1" w:styleId="BodySmallRight">
    <w:name w:val="Body Small Right"/>
    <w:basedOn w:val="BodyTextRight"/>
    <w:rsid w:val="001F3DA4"/>
    <w:rPr>
      <w:sz w:val="18"/>
      <w:szCs w:val="18"/>
    </w:rPr>
  </w:style>
  <w:style w:type="paragraph" w:customStyle="1" w:styleId="MarginEdition">
    <w:name w:val="Margin Edition"/>
    <w:basedOn w:val="MarginNote"/>
    <w:rsid w:val="001F3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DA4"/>
    <w:rPr>
      <w:sz w:val="2"/>
      <w:szCs w:val="2"/>
    </w:rPr>
  </w:style>
  <w:style w:type="character" w:customStyle="1" w:styleId="Small">
    <w:name w:val="Small"/>
    <w:basedOn w:val="DefaultParagraphFont"/>
    <w:rsid w:val="001F3DA4"/>
    <w:rPr>
      <w:sz w:val="16"/>
    </w:rPr>
  </w:style>
  <w:style w:type="paragraph" w:customStyle="1" w:styleId="WideTable">
    <w:name w:val="Wide Table"/>
    <w:basedOn w:val="Normal"/>
    <w:rsid w:val="001F3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DA4"/>
  </w:style>
  <w:style w:type="paragraph" w:styleId="Quote">
    <w:name w:val="Quote"/>
    <w:basedOn w:val="Heading1"/>
    <w:link w:val="QuoteChar"/>
    <w:qFormat/>
    <w:rsid w:val="001F3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DA4"/>
    <w:pPr>
      <w:pageBreakBefore/>
    </w:pPr>
  </w:style>
  <w:style w:type="paragraph" w:customStyle="1" w:styleId="Border">
    <w:name w:val="Border"/>
    <w:basedOn w:val="Normal"/>
    <w:qFormat/>
    <w:rsid w:val="001F3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DA4"/>
    <w:rPr>
      <w:u w:val="single"/>
    </w:rPr>
  </w:style>
  <w:style w:type="character" w:customStyle="1" w:styleId="BoldandItalics">
    <w:name w:val="Bold and Italics"/>
    <w:qFormat/>
    <w:rsid w:val="001F3DA4"/>
    <w:rPr>
      <w:b/>
      <w:i/>
      <w:u w:val="none"/>
    </w:rPr>
  </w:style>
  <w:style w:type="paragraph" w:styleId="BalloonText">
    <w:name w:val="Balloon Text"/>
    <w:basedOn w:val="Normal"/>
    <w:link w:val="BalloonTextChar"/>
    <w:rsid w:val="001F3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DA4"/>
    <w:pPr>
      <w:spacing w:before="0" w:after="0"/>
    </w:pPr>
  </w:style>
  <w:style w:type="paragraph" w:customStyle="1" w:styleId="BodyTextBold">
    <w:name w:val="Body Text Bold"/>
    <w:basedOn w:val="BodyText"/>
    <w:qFormat/>
    <w:rsid w:val="001F3DA4"/>
    <w:rPr>
      <w:b/>
    </w:rPr>
  </w:style>
  <w:style w:type="character" w:styleId="Hyperlink">
    <w:name w:val="Hyperlink"/>
    <w:basedOn w:val="DefaultParagraphFont"/>
    <w:uiPriority w:val="99"/>
    <w:unhideWhenUsed/>
    <w:rsid w:val="00A35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3759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CPPSEC4005 Facilitate security operations briefing and debriefing processes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