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2B1" w:rsidP="00772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CPPSEC4004 Supervise security operations</w:t>
      </w:r>
      <w:r>
        <w:fldChar w:fldCharType="end"/>
      </w:r>
    </w:p>
    <w:p w:rsidR="007722B1" w:rsidP="007722B1">
      <w:pPr>
        <w:pStyle w:val="Version"/>
        <w:sectPr w:rsidSect="00640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3F6" w:rsidP="006403F6">
      <w:pPr>
        <w:pStyle w:val="SuperHeading"/>
      </w:pPr>
      <w:r w:rsidRPr="006403F6">
        <w:t>CPPSEC4004 Supervise security operations</w:t>
      </w:r>
    </w:p>
    <w:p w:rsidR="00000000" w:rsidRPr="006403F6" w:rsidP="006403F6">
      <w:pPr>
        <w:pStyle w:val="Heading1"/>
      </w:pPr>
      <w:bookmarkStart w:id="1" w:name="O_1053313"/>
      <w:bookmarkEnd w:id="1"/>
      <w:r w:rsidRPr="00640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3F6" w:rsidP="006403F6">
            <w:pPr>
              <w:pStyle w:val="BodyText"/>
            </w:pPr>
            <w:r w:rsidRPr="006403F6">
              <w:t>This version first released with CPP Property Services Training Package Release 9.0.</w:t>
            </w:r>
          </w:p>
          <w:p w:rsidR="00000000" w:rsidRPr="006403F6" w:rsidP="006403F6">
            <w:pPr>
              <w:pStyle w:val="BodyText"/>
            </w:pPr>
            <w:r w:rsidRPr="006403F6">
              <w:t>Supersedes and is equivalent to CPPSEC4004A Monitor and review security operations. Updated to meet the Standards for Training Packages.</w:t>
            </w:r>
          </w:p>
        </w:tc>
      </w:tr>
    </w:tbl>
    <w:p w:rsidR="00000000" w:rsidRPr="006403F6" w:rsidP="006403F6">
      <w:pPr>
        <w:pStyle w:val="BodyText"/>
      </w:pP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2" w:name="O_1053319"/>
      <w:bookmarkEnd w:id="2"/>
      <w:r w:rsidRPr="006403F6">
        <w:t>Application</w:t>
      </w:r>
    </w:p>
    <w:p w:rsidR="00000000" w:rsidRPr="006403F6" w:rsidP="007722B1">
      <w:pPr>
        <w:pStyle w:val="BodyText"/>
      </w:pPr>
      <w:r w:rsidRPr="006403F6">
        <w:t>This unit specifies the skills and knowledge required to supervise security operations.  It includes developing operational plans, assessing and controlling anticipated security risks, monitoring operations and implementing re</w:t>
      </w:r>
      <w:r w:rsidRPr="006403F6">
        <w:t>quired contingencies.  It also includes evaluating the results based on debriefing sessions and incident observations to recommend improvements to future operations.</w:t>
      </w:r>
    </w:p>
    <w:p w:rsidR="00000000" w:rsidRPr="006403F6" w:rsidP="007722B1">
      <w:pPr>
        <w:pStyle w:val="BodyText"/>
      </w:pPr>
      <w:r w:rsidRPr="006403F6">
        <w:t>This unit is suitable for those using specialised knowledge to complete routine and non-ro</w:t>
      </w:r>
      <w:r w:rsidRPr="006403F6">
        <w:t>utine tasks and using their own judgement to deal with predictable and sometimes unpredictable problems.</w:t>
      </w:r>
    </w:p>
    <w:p w:rsidR="00000000" w:rsidRPr="006403F6" w:rsidP="007722B1">
      <w:pPr>
        <w:pStyle w:val="BodyText"/>
      </w:pPr>
      <w:r w:rsidRPr="006403F6">
        <w:t>Legislative, regulatory or certification requirements apply in some states and territories to the provision of advice on security solutions, strategies</w:t>
      </w:r>
      <w:r w:rsidRPr="006403F6">
        <w:t>, protocols and procedures. For further information, check with the relevant regulatory authority.</w:t>
      </w:r>
    </w:p>
    <w:p w:rsidR="00000000" w:rsidRPr="006403F6" w:rsidP="006403F6">
      <w:pPr>
        <w:pStyle w:val="Heading1"/>
      </w:pPr>
      <w:bookmarkStart w:id="3" w:name="O_1053318"/>
      <w:bookmarkEnd w:id="3"/>
      <w:r w:rsidRPr="006403F6">
        <w:t>Pre-requisite Unit</w:t>
      </w:r>
    </w:p>
    <w:p w:rsidR="00000000" w:rsidRPr="006403F6" w:rsidP="007722B1">
      <w:pPr>
        <w:pStyle w:val="BodyText"/>
      </w:pPr>
      <w:r w:rsidRPr="006403F6">
        <w:t>None.</w:t>
      </w:r>
    </w:p>
    <w:p w:rsidR="00000000" w:rsidRPr="006403F6" w:rsidP="006403F6">
      <w:pPr>
        <w:pStyle w:val="Heading1"/>
      </w:pPr>
      <w:bookmarkStart w:id="4" w:name="O_1053317"/>
      <w:bookmarkEnd w:id="4"/>
      <w:r w:rsidRPr="006403F6">
        <w:t>Unit Sector</w:t>
      </w:r>
    </w:p>
    <w:p w:rsidR="00000000" w:rsidRPr="006403F6" w:rsidP="007722B1">
      <w:pPr>
        <w:pStyle w:val="BodyText"/>
      </w:pPr>
      <w:r w:rsidRPr="006403F6">
        <w:t>Security/Risk management</w:t>
      </w:r>
    </w:p>
    <w:p w:rsidR="00000000" w:rsidRPr="006403F6" w:rsidP="006403F6">
      <w:pPr>
        <w:pStyle w:val="Heading1"/>
      </w:pPr>
      <w:bookmarkStart w:id="5" w:name="O_1053316"/>
      <w:bookmarkEnd w:id="5"/>
      <w:r w:rsidRPr="006403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Elem</w:t>
            </w:r>
            <w:r w:rsidRPr="006403F6">
              <w:t>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Performance criteria describe what needs to be done to demonstrate achievement of the element.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Plan and organise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Access and interpret key requirements of legislation, regulations and workplace policies and procedures, including work health and safety (WHS), and apply to work instructions to ensure compliance.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Obtain and review work instructions to clarify secu</w:t>
            </w:r>
            <w:r w:rsidRPr="006403F6">
              <w:t>rity operation timeframes and resource requirements.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Develop and document operational plan and schedule activities and resources to effectively conduct security operation to meet work instructions.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Identify and assess anticipated risks associated with security operation and implement risk control measures in accordance with WHS requirements.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Organise required equipment, resources and technologies following workplace procedures.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Establis</w:t>
            </w:r>
            <w:r w:rsidRPr="006403F6">
              <w:t>h communication processes and chain of command requirements.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Brief relevant persons to explain operational information and instructions and use questioning and active listening to respond to issues and concerns.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Monitor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Systematically monitor security operation progress against operational plan.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Use security equipment, resources and technologies to support monitoring tasks following manufacturers’ instructions.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Maintain communication with team members and receive, confirm and organise requested assistance.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Identify contingencies affecting the security operation and vary the operational plan in consultation with relevant persons.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Record and report operational information according to workplace requirements.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Review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Evaluate effectiveness of security operations in consultation with relevant persons.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Plan, schedule and conduct debriefing sessions for individuals involved in the operation.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 xml:space="preserve">Review incident observations to identify opportunities </w:t>
            </w:r>
            <w:r w:rsidRPr="006403F6">
              <w:t>for improvement to future security operations.</w:t>
            </w:r>
          </w:p>
        </w:tc>
      </w:tr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3F6" w:rsidP="006403F6">
            <w:pPr>
              <w:pStyle w:val="BodyText"/>
            </w:pPr>
            <w:r w:rsidRPr="006403F6">
              <w:t>Document review findings and recommendations and p</w:t>
            </w:r>
            <w:r w:rsidRPr="006403F6">
              <w:t>resent to relevant persons according to workplace requirements.</w:t>
            </w:r>
          </w:p>
        </w:tc>
      </w:tr>
    </w:tbl>
    <w:p w:rsidR="00000000" w:rsidRPr="006403F6" w:rsidP="006403F6">
      <w:pPr>
        <w:pStyle w:val="BodyText"/>
      </w:pP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6" w:name="O_1053315"/>
      <w:bookmarkEnd w:id="6"/>
      <w:r w:rsidRPr="006403F6">
        <w:t>Foundation Skills</w:t>
      </w:r>
    </w:p>
    <w:p w:rsidR="00000000" w:rsidRPr="006403F6" w:rsidP="007722B1">
      <w:pPr>
        <w:pStyle w:val="BodyText"/>
      </w:pPr>
      <w:r w:rsidRPr="006403F6">
        <w:t>As well as the foundation skills explicit in the performance criteria of this unit, candidates require:</w:t>
      </w:r>
    </w:p>
    <w:p w:rsidR="00000000" w:rsidRPr="006403F6" w:rsidP="006403F6">
      <w:pPr>
        <w:pStyle w:val="ListBullet"/>
      </w:pPr>
      <w:r w:rsidRPr="006403F6">
        <w:t>oral communication skills to use clear explanations, active listening and questioning skills to convey and clarify operational information</w:t>
      </w:r>
    </w:p>
    <w:p w:rsidR="00000000" w:rsidRPr="006403F6" w:rsidP="006403F6">
      <w:pPr>
        <w:pStyle w:val="ListBullet"/>
      </w:pPr>
      <w:r w:rsidRPr="006403F6">
        <w:t>writing skills to prepare succinct and logically structured operational plans.</w:t>
      </w: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7" w:name="O_1053314"/>
      <w:bookmarkEnd w:id="7"/>
      <w:r w:rsidRPr="006403F6">
        <w:t>Unit Mapping Inform</w:t>
      </w:r>
      <w:r w:rsidRPr="006403F6">
        <w:t>ation</w:t>
      </w:r>
    </w:p>
    <w:p w:rsidR="00000000" w:rsidRPr="006403F6" w:rsidP="007722B1">
      <w:pPr>
        <w:pStyle w:val="BodyText"/>
      </w:pPr>
      <w:r w:rsidRPr="006403F6">
        <w:t>Supersedes and equivalent to CPPSEC4004A Monitor and review security operations.</w:t>
      </w:r>
    </w:p>
    <w:p w:rsidR="00000000" w:rsidRPr="006403F6" w:rsidP="006403F6">
      <w:pPr>
        <w:pStyle w:val="Heading1"/>
      </w:pPr>
      <w:bookmarkStart w:id="8" w:name="O_1053307"/>
      <w:bookmarkEnd w:id="8"/>
      <w:r w:rsidRPr="006403F6">
        <w:t>Links</w:t>
      </w:r>
    </w:p>
    <w:p w:rsidR="00000000" w:rsidRPr="006403F6" w:rsidP="007722B1">
      <w:pPr>
        <w:pStyle w:val="BodyText"/>
      </w:pPr>
      <w:r w:rsidRPr="006403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A21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03F6" w:rsidP="007722B1">
      <w:pPr>
        <w:pStyle w:val="BodyText"/>
        <w:sectPr w:rsidSect="006403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3F6" w:rsidP="006403F6">
      <w:pPr>
        <w:pStyle w:val="SuperHeading"/>
      </w:pPr>
      <w:r w:rsidRPr="006403F6">
        <w:t>Assessment Requirements for CPPSEC4004 Supe</w:t>
      </w:r>
      <w:r w:rsidRPr="006403F6">
        <w:t>rvise security operations</w:t>
      </w:r>
    </w:p>
    <w:p w:rsidR="00000000" w:rsidRPr="006403F6" w:rsidP="006403F6">
      <w:pPr>
        <w:pStyle w:val="Heading1"/>
      </w:pPr>
      <w:bookmarkStart w:id="9" w:name="O_1053309"/>
      <w:bookmarkEnd w:id="9"/>
      <w:r w:rsidRPr="00640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0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3F6">
            <w:pPr>
              <w:pStyle w:val="BodyText"/>
              <w:rPr>
                <w:lang w:val="en-NZ"/>
              </w:rPr>
            </w:pPr>
            <w:r w:rsidRPr="006403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3F6" w:rsidP="006403F6">
            <w:pPr>
              <w:pStyle w:val="BodyText"/>
            </w:pPr>
            <w:r w:rsidRPr="006403F6">
              <w:t>This version first released with CPP Property Services Training Package Release 9.0.</w:t>
            </w:r>
          </w:p>
          <w:p w:rsidR="00000000" w:rsidRPr="006403F6" w:rsidP="006403F6">
            <w:pPr>
              <w:pStyle w:val="BodyText"/>
            </w:pPr>
            <w:r w:rsidRPr="006403F6">
              <w:t>Supersedes and is equivalent to CPPSEC4004A Monitor and review security operations. Updated to m</w:t>
            </w:r>
            <w:r w:rsidRPr="006403F6">
              <w:t>eet the Standards for Training Packages.</w:t>
            </w:r>
          </w:p>
        </w:tc>
      </w:tr>
    </w:tbl>
    <w:p w:rsidR="00000000" w:rsidRPr="006403F6" w:rsidP="006403F6">
      <w:pPr>
        <w:pStyle w:val="BodyText"/>
      </w:pP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10" w:name="O_1053312"/>
      <w:bookmarkEnd w:id="10"/>
      <w:r w:rsidRPr="006403F6">
        <w:t>Performance Evidence</w:t>
      </w:r>
    </w:p>
    <w:p w:rsidR="00000000" w:rsidRPr="006403F6" w:rsidP="007722B1">
      <w:pPr>
        <w:pStyle w:val="BodyText"/>
      </w:pPr>
      <w:r w:rsidRPr="006403F6">
        <w:t>To demonstrate competency, a candidate must meet the performance criteria of this unit by supervising three different security operations including for each operation:</w:t>
      </w:r>
    </w:p>
    <w:p w:rsidR="00000000" w:rsidRPr="006403F6" w:rsidP="006403F6">
      <w:pPr>
        <w:pStyle w:val="ListBullet"/>
      </w:pPr>
      <w:r w:rsidRPr="006403F6">
        <w:t>rece</w:t>
      </w:r>
      <w:r w:rsidRPr="006403F6">
        <w:t>iving a minimum of two requests for assistance during the operation</w:t>
      </w:r>
    </w:p>
    <w:p w:rsidR="00000000" w:rsidRPr="006403F6" w:rsidP="006403F6">
      <w:pPr>
        <w:pStyle w:val="ListBullet"/>
      </w:pPr>
      <w:r w:rsidRPr="006403F6">
        <w:t>identifying a minimum of two contingencies requiring the operational plan to be varied</w:t>
      </w:r>
    </w:p>
    <w:p w:rsidR="00000000" w:rsidRPr="006403F6" w:rsidP="006403F6">
      <w:pPr>
        <w:pStyle w:val="ListBullet"/>
      </w:pPr>
      <w:r w:rsidRPr="006403F6">
        <w:t>planning and conducting debriefing sessions involving a minimum of two participants.</w:t>
      </w: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11" w:name="O_1053311"/>
      <w:bookmarkEnd w:id="11"/>
      <w:r w:rsidRPr="006403F6">
        <w:t>Knowledge Evidence</w:t>
      </w:r>
    </w:p>
    <w:p w:rsidR="00000000" w:rsidRPr="006403F6" w:rsidP="007722B1">
      <w:pPr>
        <w:pStyle w:val="BodyText"/>
      </w:pPr>
      <w:r w:rsidRPr="006403F6">
        <w:t>To be competent in this unit, a candidate must demonstrate knowledge of:</w:t>
      </w:r>
    </w:p>
    <w:p w:rsidR="00000000" w:rsidRPr="006403F6" w:rsidP="006403F6">
      <w:pPr>
        <w:pStyle w:val="ListBullet"/>
      </w:pPr>
      <w:r w:rsidRPr="006403F6">
        <w:t>workplace policies and procedures that ensure compliance with legislative and regulatory requirements when supervising security operations:</w:t>
      </w:r>
    </w:p>
    <w:p w:rsidR="00000000" w:rsidRPr="006403F6" w:rsidP="006403F6">
      <w:pPr>
        <w:pStyle w:val="ListBullet2"/>
      </w:pPr>
      <w:r w:rsidRPr="006403F6">
        <w:t>anti-discrimi</w:t>
      </w:r>
      <w:r w:rsidRPr="006403F6">
        <w:t>nation and diversity</w:t>
      </w:r>
    </w:p>
    <w:p w:rsidR="00000000" w:rsidRPr="006403F6" w:rsidP="006403F6">
      <w:pPr>
        <w:pStyle w:val="ListBullet2"/>
      </w:pPr>
      <w:r w:rsidRPr="006403F6">
        <w:t>apprehension, arrest and restraint of persons</w:t>
      </w:r>
    </w:p>
    <w:p w:rsidR="00000000" w:rsidRPr="006403F6" w:rsidP="006403F6">
      <w:pPr>
        <w:pStyle w:val="ListBullet2"/>
      </w:pPr>
      <w:r w:rsidRPr="006403F6">
        <w:t>key requirements of legislation, regulations and codes of conduct for security operations in the jurisdiction of operation</w:t>
      </w:r>
    </w:p>
    <w:p w:rsidR="00000000" w:rsidRPr="006403F6" w:rsidP="006403F6">
      <w:pPr>
        <w:pStyle w:val="ListBullet2"/>
      </w:pPr>
      <w:r w:rsidRPr="006403F6">
        <w:t>legal rights and responsibilities of employers, supervisors and em</w:t>
      </w:r>
      <w:r w:rsidRPr="006403F6">
        <w:t>ployees associated with work health and safety and duty of care</w:t>
      </w:r>
    </w:p>
    <w:p w:rsidR="00000000" w:rsidRPr="006403F6" w:rsidP="006403F6">
      <w:pPr>
        <w:pStyle w:val="ListBullet2"/>
      </w:pPr>
      <w:r w:rsidRPr="006403F6">
        <w:t>licensing requirements in the security industry</w:t>
      </w:r>
    </w:p>
    <w:p w:rsidR="00000000" w:rsidRPr="006403F6" w:rsidP="006403F6">
      <w:pPr>
        <w:pStyle w:val="ListBullet2"/>
      </w:pPr>
      <w:r w:rsidRPr="006403F6">
        <w:t>personal protective equipment</w:t>
      </w:r>
    </w:p>
    <w:p w:rsidR="00000000" w:rsidRPr="006403F6" w:rsidP="006403F6">
      <w:pPr>
        <w:pStyle w:val="ListBullet2"/>
      </w:pPr>
      <w:r w:rsidRPr="006403F6">
        <w:t>trespass and removal of persons</w:t>
      </w:r>
    </w:p>
    <w:p w:rsidR="00000000" w:rsidRPr="006403F6" w:rsidP="006403F6">
      <w:pPr>
        <w:pStyle w:val="ListBullet2"/>
      </w:pPr>
      <w:r w:rsidRPr="006403F6">
        <w:t>use of force</w:t>
      </w:r>
    </w:p>
    <w:p w:rsidR="00000000" w:rsidRPr="006403F6" w:rsidP="006403F6">
      <w:pPr>
        <w:pStyle w:val="ListBullet"/>
      </w:pPr>
      <w:r w:rsidRPr="006403F6">
        <w:t>chain of command and communication processes used to monitor security operations</w:t>
      </w:r>
    </w:p>
    <w:p w:rsidR="00000000" w:rsidRPr="006403F6" w:rsidP="006403F6">
      <w:pPr>
        <w:pStyle w:val="ListBullet"/>
      </w:pPr>
      <w:r w:rsidRPr="006403F6">
        <w:t xml:space="preserve">implications for security operations arising from the </w:t>
      </w:r>
      <w:r w:rsidRPr="006403F6">
        <w:rPr>
          <w:rStyle w:val="Emphasis"/>
        </w:rPr>
        <w:t>National Guidelines for the Protection of Places of Mass gathering from Terrorism</w:t>
      </w:r>
    </w:p>
    <w:p w:rsidR="00000000" w:rsidRPr="006403F6" w:rsidP="006403F6">
      <w:pPr>
        <w:pStyle w:val="ListBullet"/>
      </w:pPr>
      <w:r w:rsidRPr="006403F6">
        <w:t>key principles of team dynamics, team l</w:t>
      </w:r>
      <w:r w:rsidRPr="006403F6">
        <w:t>eadership and management</w:t>
      </w:r>
    </w:p>
    <w:p w:rsidR="00000000" w:rsidRPr="006403F6" w:rsidP="006403F6">
      <w:pPr>
        <w:pStyle w:val="ListBullet"/>
      </w:pPr>
      <w:r w:rsidRPr="006403F6">
        <w:t>methods for briefing security operations information and instructions to individuals and teams</w:t>
      </w:r>
    </w:p>
    <w:p w:rsidR="00000000" w:rsidRPr="006403F6" w:rsidP="006403F6">
      <w:pPr>
        <w:pStyle w:val="ListBullet"/>
      </w:pPr>
      <w:r w:rsidRPr="006403F6">
        <w:t>methods for debriefing security operations with individuals and teams</w:t>
      </w:r>
    </w:p>
    <w:p w:rsidR="00000000" w:rsidRPr="006403F6" w:rsidP="006403F6">
      <w:pPr>
        <w:pStyle w:val="ListBullet"/>
      </w:pPr>
      <w:r w:rsidRPr="006403F6">
        <w:t>methods for reviewing security operations to identify procedural i</w:t>
      </w:r>
      <w:r w:rsidRPr="006403F6">
        <w:t>mprovements</w:t>
      </w:r>
    </w:p>
    <w:p w:rsidR="00000000" w:rsidRPr="006403F6" w:rsidP="006403F6">
      <w:pPr>
        <w:pStyle w:val="ListBullet"/>
      </w:pPr>
      <w:r w:rsidRPr="006403F6">
        <w:t>procedures for communicating and collaborating with emergency services</w:t>
      </w:r>
    </w:p>
    <w:p w:rsidR="00000000" w:rsidRPr="006403F6" w:rsidP="006403F6">
      <w:pPr>
        <w:pStyle w:val="ListBullet"/>
      </w:pPr>
      <w:r w:rsidRPr="006403F6">
        <w:t>process of dynamic risk assessment and application of risk management using the hierarchy of controls</w:t>
      </w:r>
    </w:p>
    <w:p w:rsidR="00000000" w:rsidRPr="006403F6" w:rsidP="006403F6">
      <w:pPr>
        <w:pStyle w:val="ListBullet"/>
      </w:pPr>
      <w:r w:rsidRPr="006403F6">
        <w:t xml:space="preserve">purpose of </w:t>
      </w:r>
      <w:r w:rsidRPr="006403F6">
        <w:rPr>
          <w:rStyle w:val="Emphasis"/>
        </w:rPr>
        <w:t>Australia’s</w:t>
      </w:r>
      <w:r w:rsidRPr="006403F6">
        <w:t xml:space="preserve"> </w:t>
      </w:r>
      <w:r w:rsidRPr="006403F6">
        <w:rPr>
          <w:rStyle w:val="Emphasis"/>
        </w:rPr>
        <w:t>Strategy for Protecting Crowded Places from Terr</w:t>
      </w:r>
      <w:r w:rsidRPr="006403F6">
        <w:rPr>
          <w:rStyle w:val="Emphasis"/>
        </w:rPr>
        <w:t>orism</w:t>
      </w:r>
      <w:r w:rsidRPr="006403F6">
        <w:t xml:space="preserve"> and understanding of:</w:t>
      </w:r>
    </w:p>
    <w:p w:rsidR="00000000" w:rsidRPr="006403F6" w:rsidP="006403F6">
      <w:pPr>
        <w:pStyle w:val="ListBullet2"/>
      </w:pPr>
      <w:r w:rsidRPr="006403F6">
        <w:t>definition of crowded places</w:t>
      </w:r>
    </w:p>
    <w:p w:rsidR="00000000" w:rsidRPr="006403F6" w:rsidP="006403F6">
      <w:pPr>
        <w:pStyle w:val="ListBullet2"/>
      </w:pPr>
      <w:r w:rsidRPr="006403F6">
        <w:t>key security issues for crowded places</w:t>
      </w:r>
    </w:p>
    <w:p w:rsidR="00000000" w:rsidRPr="006403F6" w:rsidP="006403F6">
      <w:pPr>
        <w:pStyle w:val="ListBullet2"/>
      </w:pPr>
      <w:r w:rsidRPr="006403F6">
        <w:t>objectives, characteristics and identification of active armed offenders</w:t>
      </w:r>
    </w:p>
    <w:p w:rsidR="00000000" w:rsidRPr="006403F6" w:rsidP="006403F6">
      <w:pPr>
        <w:pStyle w:val="ListBullet2"/>
      </w:pPr>
      <w:r w:rsidRPr="006403F6">
        <w:t>definition of hostile vehicles and methods of attack</w:t>
      </w:r>
    </w:p>
    <w:p w:rsidR="00000000" w:rsidRPr="006403F6" w:rsidP="006403F6">
      <w:pPr>
        <w:pStyle w:val="ListBullet2"/>
      </w:pPr>
      <w:r w:rsidRPr="006403F6">
        <w:t>signs of chemical weapons attack and recommend response</w:t>
      </w:r>
    </w:p>
    <w:p w:rsidR="00000000" w:rsidRPr="006403F6" w:rsidP="006403F6">
      <w:pPr>
        <w:pStyle w:val="ListBullet2"/>
      </w:pPr>
      <w:r w:rsidRPr="006403F6">
        <w:t>general features of improvised explosive devices and recommended incident response</w:t>
      </w:r>
    </w:p>
    <w:p w:rsidR="00000000" w:rsidRPr="006403F6" w:rsidP="006403F6">
      <w:pPr>
        <w:pStyle w:val="ListBullet"/>
      </w:pPr>
      <w:r w:rsidRPr="006403F6">
        <w:t>typical security workplace hazards, risks and emergency situations and the control measures for each</w:t>
      </w:r>
    </w:p>
    <w:p w:rsidR="00000000" w:rsidRPr="006403F6" w:rsidP="006403F6">
      <w:pPr>
        <w:pStyle w:val="ListBullet"/>
      </w:pPr>
      <w:r w:rsidRPr="006403F6">
        <w:t>ways that socia</w:t>
      </w:r>
      <w:r w:rsidRPr="006403F6">
        <w:t>l and cultural differences may be expressed</w:t>
      </w:r>
    </w:p>
    <w:p w:rsidR="00000000" w:rsidRPr="006403F6" w:rsidP="006403F6">
      <w:pPr>
        <w:pStyle w:val="ListBullet"/>
      </w:pPr>
      <w:r w:rsidRPr="006403F6">
        <w:t>work scheduling procedures.</w:t>
      </w: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12" w:name="O_1053310"/>
      <w:bookmarkEnd w:id="12"/>
      <w:r w:rsidRPr="006403F6">
        <w:t>Assessment Conditions</w:t>
      </w:r>
    </w:p>
    <w:p w:rsidR="00000000" w:rsidRPr="006403F6" w:rsidP="007722B1">
      <w:pPr>
        <w:pStyle w:val="BodyText"/>
      </w:pPr>
      <w:r w:rsidRPr="006403F6">
        <w:t>Assessors must meet the requirements for assessors contained in the Standards for Registered Training Organisations.</w:t>
      </w:r>
    </w:p>
    <w:p w:rsidR="00000000" w:rsidRPr="006403F6" w:rsidP="007722B1">
      <w:pPr>
        <w:pStyle w:val="BodyText"/>
      </w:pPr>
      <w:r w:rsidRPr="006403F6">
        <w:t>All individuals engaged by</w:t>
      </w:r>
      <w:r w:rsidRPr="006403F6">
        <w:t xml:space="preserve"> a licensed RTO for security licensing purposes must hold both a security trainers licence (where such a licence exists within the relevant jurisdiction) and the licence for performing the security activities for which the individual is providing training </w:t>
      </w:r>
      <w:r w:rsidRPr="006403F6">
        <w:t>or assessment.  Regulators may impose other assessor conditions to meet jurisdictional assessment requirements.</w:t>
      </w:r>
    </w:p>
    <w:p w:rsidR="00000000" w:rsidRPr="006403F6" w:rsidP="007722B1">
      <w:pPr>
        <w:pStyle w:val="BodyText"/>
      </w:pPr>
      <w:r w:rsidRPr="006403F6">
        <w:t>Assessment must be conducted in the workplace or in a simulated workplace environment. Candidates must have access to:</w:t>
      </w:r>
    </w:p>
    <w:p w:rsidR="00000000" w:rsidRPr="006403F6" w:rsidP="006403F6">
      <w:pPr>
        <w:pStyle w:val="ListBullet"/>
      </w:pPr>
      <w:r w:rsidRPr="006403F6">
        <w:t>legislation, regulations and codes of practice that apply to security operations in the jurisdiction of operation</w:t>
      </w:r>
    </w:p>
    <w:p w:rsidR="00000000" w:rsidRPr="006403F6" w:rsidP="006403F6">
      <w:pPr>
        <w:pStyle w:val="ListBullet"/>
      </w:pPr>
      <w:r w:rsidRPr="006403F6">
        <w:t>work instructions, security equipment, resources and information technologies required to achieve the performance evidence</w:t>
      </w:r>
    </w:p>
    <w:p w:rsidR="00000000" w:rsidRPr="006403F6" w:rsidP="006403F6">
      <w:pPr>
        <w:pStyle w:val="ListBullet"/>
      </w:pPr>
      <w:r w:rsidRPr="006403F6">
        <w:rPr>
          <w:rStyle w:val="Emphasis"/>
        </w:rPr>
        <w:t>National Guidelines</w:t>
      </w:r>
      <w:r w:rsidRPr="006403F6">
        <w:rPr>
          <w:rStyle w:val="Emphasis"/>
        </w:rPr>
        <w:t xml:space="preserve"> for the Protection of Places of Mass gathering from Terrorism</w:t>
      </w:r>
    </w:p>
    <w:p w:rsidR="00000000" w:rsidRPr="006403F6" w:rsidP="006403F6">
      <w:pPr>
        <w:pStyle w:val="ListBullet"/>
      </w:pPr>
      <w:r w:rsidRPr="006403F6">
        <w:rPr>
          <w:rStyle w:val="Emphasis"/>
        </w:rPr>
        <w:t>Australia’s Strategy for Protecting Crowded Places from Terrorism</w:t>
      </w:r>
      <w:r w:rsidRPr="006403F6">
        <w:t>.</w:t>
      </w:r>
    </w:p>
    <w:p w:rsidR="00000000" w:rsidRPr="006403F6" w:rsidP="006403F6">
      <w:pPr>
        <w:pStyle w:val="AllowPageBreak"/>
      </w:pPr>
    </w:p>
    <w:p w:rsidR="00000000" w:rsidRPr="006403F6" w:rsidP="006403F6">
      <w:pPr>
        <w:pStyle w:val="Heading1"/>
      </w:pPr>
      <w:bookmarkStart w:id="13" w:name="O_1053308"/>
      <w:bookmarkEnd w:id="13"/>
      <w:r w:rsidRPr="006403F6">
        <w:t>Links</w:t>
      </w:r>
    </w:p>
    <w:p w:rsidR="00000000" w:rsidRPr="006403F6" w:rsidP="007722B1">
      <w:pPr>
        <w:pStyle w:val="BodyText"/>
      </w:pPr>
      <w:r w:rsidRPr="006403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A21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03F6" w:rsidP="006403F6"/>
    <w:sectPr w:rsidSect="006403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 w:rsidRPr="007722B1" w:rsidP="00772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1" w:rsidP="00640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2B1" w:rsidP="00640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22B1" w:rsidP="006403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 w:rsidP="00640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2B1">
      <w:t>Approved</w:t>
    </w:r>
    <w:r w:rsidR="00772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2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2B1">
      <w:rPr>
        <w:noProof/>
      </w:rPr>
      <w:t>4</w:t>
    </w:r>
    <w:r>
      <w:rPr>
        <w:noProof/>
      </w:rPr>
      <w:fldChar w:fldCharType="end"/>
    </w:r>
  </w:p>
  <w:p w:rsidR="006403F6" w:rsidP="00640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2B1">
      <w:t>BuildSkills Australia</w:t>
    </w:r>
    <w:r w:rsidR="007722B1">
      <w:fldChar w:fldCharType="end"/>
    </w:r>
  </w:p>
  <w:p w:rsidR="006403F6" w:rsidP="00640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3F6" w:rsidRPr="007722B1" w:rsidP="00772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1" w:rsidRPr="002D2AF8" w:rsidP="00640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CPPSEC4004 Supervise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22B1" w:rsidP="006403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F6" w:rsidRPr="002D2AF8" w:rsidP="00640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2B1">
      <w:t>CPPSEC4004 Supervise security operations</w:t>
    </w:r>
    <w:r w:rsidR="00772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2B1">
      <w:rPr>
        <w:noProof/>
      </w:rPr>
      <w:t>1 March 2025</w:t>
    </w:r>
    <w:r>
      <w:fldChar w:fldCharType="end"/>
    </w:r>
  </w:p>
  <w:p w:rsidR="006403F6" w:rsidP="00640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4E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C8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60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3F6"/>
  </w:style>
  <w:style w:type="character" w:customStyle="1" w:styleId="Heading1Char">
    <w:name w:val="Heading 1 Char"/>
    <w:basedOn w:val="DefaultParagraphFont"/>
    <w:link w:val="Heading1"/>
    <w:rsid w:val="00640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3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3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03F6"/>
    <w:rPr>
      <w:i/>
    </w:rPr>
  </w:style>
  <w:style w:type="paragraph" w:customStyle="1" w:styleId="SuperHeading">
    <w:name w:val="SuperHeading"/>
    <w:basedOn w:val="Normal"/>
    <w:rsid w:val="00640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3F6"/>
    <w:rPr>
      <w:b/>
      <w:spacing w:val="0"/>
    </w:rPr>
  </w:style>
  <w:style w:type="paragraph" w:customStyle="1" w:styleId="SuperTitle">
    <w:name w:val="SuperTitle"/>
    <w:basedOn w:val="Title"/>
    <w:rsid w:val="00640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3F6"/>
  </w:style>
  <w:style w:type="paragraph" w:styleId="TableofFigures">
    <w:name w:val="table of figures"/>
    <w:basedOn w:val="Normal"/>
    <w:next w:val="Normal"/>
    <w:semiHidden/>
    <w:rsid w:val="00640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3F6"/>
    <w:rPr>
      <w:rFonts w:ascii="Wingdings" w:hAnsi="Wingdings"/>
    </w:rPr>
  </w:style>
  <w:style w:type="paragraph" w:customStyle="1" w:styleId="TableHeading">
    <w:name w:val="Table Heading"/>
    <w:basedOn w:val="HeadingBase"/>
    <w:rsid w:val="00640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3F6"/>
    <w:rPr>
      <w:color w:val="0033CC"/>
      <w:u w:val="none"/>
    </w:rPr>
  </w:style>
  <w:style w:type="paragraph" w:customStyle="1" w:styleId="BodyTextRight">
    <w:name w:val="Body Text Right"/>
    <w:basedOn w:val="BodyText"/>
    <w:rsid w:val="00640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3F6"/>
    <w:rPr>
      <w:sz w:val="32"/>
    </w:rPr>
  </w:style>
  <w:style w:type="paragraph" w:customStyle="1" w:styleId="HeadingProcedure">
    <w:name w:val="Heading Procedure"/>
    <w:basedOn w:val="HeadingBase"/>
    <w:next w:val="Normal"/>
    <w:rsid w:val="00640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3F6"/>
    <w:pPr>
      <w:spacing w:before="60" w:after="60"/>
    </w:pPr>
  </w:style>
  <w:style w:type="paragraph" w:styleId="ListContinue">
    <w:name w:val="List Continue"/>
    <w:basedOn w:val="List"/>
    <w:rsid w:val="006403F6"/>
    <w:pPr>
      <w:ind w:firstLine="0"/>
    </w:pPr>
  </w:style>
  <w:style w:type="paragraph" w:customStyle="1" w:styleId="ListNote">
    <w:name w:val="List Note"/>
    <w:basedOn w:val="List"/>
    <w:rsid w:val="00640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3F6"/>
    <w:rPr>
      <w:rFonts w:ascii="Courier New" w:hAnsi="Courier New"/>
    </w:rPr>
  </w:style>
  <w:style w:type="paragraph" w:customStyle="1" w:styleId="NoteBullet">
    <w:name w:val="Note Bullet"/>
    <w:basedOn w:val="Note"/>
    <w:rsid w:val="00640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3F6"/>
    <w:rPr>
      <w:b/>
      <w:smallCaps/>
    </w:rPr>
  </w:style>
  <w:style w:type="paragraph" w:customStyle="1" w:styleId="TableListNumber">
    <w:name w:val="Table List Number"/>
    <w:basedOn w:val="ListNumber"/>
    <w:rsid w:val="00640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3F6"/>
    <w:pPr>
      <w:numPr>
        <w:numId w:val="9"/>
      </w:numPr>
    </w:pPr>
  </w:style>
  <w:style w:type="paragraph" w:customStyle="1" w:styleId="ListAlpha2">
    <w:name w:val="List Alpha 2"/>
    <w:basedOn w:val="List2"/>
    <w:rsid w:val="006403F6"/>
    <w:pPr>
      <w:numPr>
        <w:numId w:val="8"/>
      </w:numPr>
    </w:pPr>
  </w:style>
  <w:style w:type="paragraph" w:styleId="List2">
    <w:name w:val="List 2"/>
    <w:basedOn w:val="BodyText"/>
    <w:rsid w:val="00640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3F6"/>
    <w:pPr>
      <w:numPr>
        <w:numId w:val="4"/>
      </w:numPr>
    </w:pPr>
  </w:style>
  <w:style w:type="paragraph" w:styleId="ListContinue2">
    <w:name w:val="List Continue 2"/>
    <w:basedOn w:val="List2"/>
    <w:rsid w:val="006403F6"/>
    <w:pPr>
      <w:ind w:firstLine="0"/>
    </w:pPr>
  </w:style>
  <w:style w:type="paragraph" w:styleId="ListContinue3">
    <w:name w:val="List Continue 3"/>
    <w:basedOn w:val="List3"/>
    <w:rsid w:val="006403F6"/>
    <w:pPr>
      <w:ind w:left="1021" w:firstLine="0"/>
    </w:pPr>
  </w:style>
  <w:style w:type="paragraph" w:styleId="ListContinue4">
    <w:name w:val="List Continue 4"/>
    <w:basedOn w:val="List4"/>
    <w:rsid w:val="006403F6"/>
    <w:pPr>
      <w:ind w:firstLine="0"/>
    </w:pPr>
  </w:style>
  <w:style w:type="paragraph" w:styleId="ListContinue5">
    <w:name w:val="List Continue 5"/>
    <w:basedOn w:val="List5"/>
    <w:rsid w:val="006403F6"/>
    <w:pPr>
      <w:ind w:firstLine="0"/>
    </w:pPr>
  </w:style>
  <w:style w:type="paragraph" w:styleId="ListNumber3">
    <w:name w:val="List Number 3"/>
    <w:basedOn w:val="List3"/>
    <w:rsid w:val="006403F6"/>
    <w:pPr>
      <w:numPr>
        <w:numId w:val="5"/>
      </w:numPr>
    </w:pPr>
  </w:style>
  <w:style w:type="paragraph" w:styleId="ListNumber4">
    <w:name w:val="List Number 4"/>
    <w:basedOn w:val="List4"/>
    <w:rsid w:val="006403F6"/>
    <w:pPr>
      <w:numPr>
        <w:numId w:val="6"/>
      </w:numPr>
    </w:pPr>
  </w:style>
  <w:style w:type="paragraph" w:styleId="ListNumber5">
    <w:name w:val="List Number 5"/>
    <w:basedOn w:val="List5"/>
    <w:rsid w:val="006403F6"/>
    <w:pPr>
      <w:numPr>
        <w:numId w:val="7"/>
      </w:numPr>
    </w:pPr>
  </w:style>
  <w:style w:type="paragraph" w:styleId="BlockText">
    <w:name w:val="Block Text"/>
    <w:basedOn w:val="Normal"/>
    <w:rsid w:val="00640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3F6"/>
    <w:rPr>
      <w:sz w:val="16"/>
      <w:vertAlign w:val="superscript"/>
    </w:rPr>
  </w:style>
  <w:style w:type="character" w:customStyle="1" w:styleId="Symbols">
    <w:name w:val="Symbols"/>
    <w:basedOn w:val="DefaultParagraphFont"/>
    <w:rsid w:val="006403F6"/>
    <w:rPr>
      <w:rFonts w:ascii="Symbol" w:hAnsi="Symbol"/>
    </w:rPr>
  </w:style>
  <w:style w:type="character" w:customStyle="1" w:styleId="MenuOptions">
    <w:name w:val="Menu Options"/>
    <w:basedOn w:val="DefaultParagraphFont"/>
    <w:rsid w:val="00640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3F6"/>
    <w:rPr>
      <w:b/>
    </w:rPr>
  </w:style>
  <w:style w:type="character" w:customStyle="1" w:styleId="Underlined">
    <w:name w:val="Underlined"/>
    <w:basedOn w:val="DefaultParagraphFont"/>
    <w:rsid w:val="006403F6"/>
    <w:rPr>
      <w:u w:val="single"/>
    </w:rPr>
  </w:style>
  <w:style w:type="paragraph" w:customStyle="1" w:styleId="TableBodyTextRight">
    <w:name w:val="Table Body Text Right"/>
    <w:basedOn w:val="TableBodyText"/>
    <w:rsid w:val="00640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3F6"/>
    <w:rPr>
      <w:sz w:val="18"/>
    </w:rPr>
  </w:style>
  <w:style w:type="paragraph" w:customStyle="1" w:styleId="BodySmallRight">
    <w:name w:val="Body Small Right"/>
    <w:basedOn w:val="BodyTextRight"/>
    <w:rsid w:val="006403F6"/>
    <w:rPr>
      <w:sz w:val="18"/>
      <w:szCs w:val="18"/>
    </w:rPr>
  </w:style>
  <w:style w:type="paragraph" w:customStyle="1" w:styleId="MarginEdition">
    <w:name w:val="Margin Edition"/>
    <w:basedOn w:val="MarginNote"/>
    <w:rsid w:val="00640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3F6"/>
    <w:rPr>
      <w:sz w:val="2"/>
      <w:szCs w:val="2"/>
    </w:rPr>
  </w:style>
  <w:style w:type="character" w:customStyle="1" w:styleId="Small">
    <w:name w:val="Small"/>
    <w:basedOn w:val="DefaultParagraphFont"/>
    <w:rsid w:val="006403F6"/>
    <w:rPr>
      <w:sz w:val="16"/>
    </w:rPr>
  </w:style>
  <w:style w:type="paragraph" w:customStyle="1" w:styleId="WideTable">
    <w:name w:val="Wide Table"/>
    <w:basedOn w:val="Normal"/>
    <w:rsid w:val="00640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3F6"/>
  </w:style>
  <w:style w:type="paragraph" w:styleId="Quote">
    <w:name w:val="Quote"/>
    <w:basedOn w:val="Heading1"/>
    <w:link w:val="QuoteChar"/>
    <w:qFormat/>
    <w:rsid w:val="00640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3F6"/>
    <w:pPr>
      <w:pageBreakBefore/>
    </w:pPr>
  </w:style>
  <w:style w:type="paragraph" w:customStyle="1" w:styleId="Border">
    <w:name w:val="Border"/>
    <w:basedOn w:val="Normal"/>
    <w:qFormat/>
    <w:rsid w:val="00640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3F6"/>
    <w:rPr>
      <w:u w:val="single"/>
    </w:rPr>
  </w:style>
  <w:style w:type="character" w:customStyle="1" w:styleId="BoldandItalics">
    <w:name w:val="Bold and Italics"/>
    <w:qFormat/>
    <w:rsid w:val="006403F6"/>
    <w:rPr>
      <w:b/>
      <w:i/>
      <w:u w:val="none"/>
    </w:rPr>
  </w:style>
  <w:style w:type="paragraph" w:styleId="BalloonText">
    <w:name w:val="Balloon Text"/>
    <w:basedOn w:val="Normal"/>
    <w:link w:val="BalloonTextChar"/>
    <w:rsid w:val="00640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3F6"/>
    <w:pPr>
      <w:spacing w:before="0" w:after="0"/>
    </w:pPr>
  </w:style>
  <w:style w:type="paragraph" w:customStyle="1" w:styleId="BodyTextBold">
    <w:name w:val="Body Text Bold"/>
    <w:basedOn w:val="BodyText"/>
    <w:qFormat/>
    <w:rsid w:val="006403F6"/>
    <w:rPr>
      <w:b/>
    </w:rPr>
  </w:style>
  <w:style w:type="character" w:styleId="Hyperlink">
    <w:name w:val="Hyperlink"/>
    <w:basedOn w:val="DefaultParagraphFont"/>
    <w:uiPriority w:val="99"/>
    <w:unhideWhenUsed/>
    <w:rsid w:val="00772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7226</Characters>
  <Application>Microsoft Office Word</Application>
  <DocSecurity>0</DocSecurity>
  <Lines>233</Lines>
  <Paragraphs>133</Paragraphs>
  <ScaleCrop>false</ScaleCrop>
  <Company>Author-it Software Corporation Ltd.</Company>
  <LinksUpToDate>false</LinksUpToDate>
  <CharactersWithSpaces>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CPPSEC4004 Supervise security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