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B7C" w:rsidP="00085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CPPSEC4003 Assess and advise on client security needs</w:t>
      </w:r>
      <w:r>
        <w:fldChar w:fldCharType="end"/>
      </w:r>
    </w:p>
    <w:p w:rsidR="00085B7C" w:rsidP="00085B7C">
      <w:pPr>
        <w:pStyle w:val="Version"/>
        <w:sectPr w:rsidSect="002C4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E4B" w:rsidP="002C4E4B">
      <w:pPr>
        <w:pStyle w:val="SuperHeading"/>
      </w:pPr>
      <w:r w:rsidRPr="002C4E4B">
        <w:t>CPPSEC4003 Assess and advise on client security needs</w:t>
      </w:r>
    </w:p>
    <w:p w:rsidR="00000000" w:rsidRPr="002C4E4B" w:rsidP="002C4E4B">
      <w:pPr>
        <w:pStyle w:val="Heading1"/>
      </w:pPr>
      <w:bookmarkStart w:id="1" w:name="O_1053296"/>
      <w:bookmarkEnd w:id="1"/>
      <w:r w:rsidRPr="002C4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4B" w:rsidP="002C4E4B">
            <w:pPr>
              <w:pStyle w:val="BodyText"/>
            </w:pPr>
            <w:r w:rsidRPr="002C4E4B">
              <w:t>This version first released with CPP Property Services Training Package Release 9.0.</w:t>
            </w:r>
          </w:p>
          <w:p w:rsidR="00000000" w:rsidRPr="002C4E4B" w:rsidP="002C4E4B">
            <w:pPr>
              <w:pStyle w:val="BodyText"/>
            </w:pPr>
            <w:r w:rsidRPr="002C4E4B">
              <w:t>Supersedes and is equivalent CPPSEC4003A Advise on security needs. Updated to meet the Standards for Training Packages.</w:t>
            </w:r>
          </w:p>
        </w:tc>
      </w:tr>
    </w:tbl>
    <w:p w:rsidR="00000000" w:rsidRPr="002C4E4B" w:rsidP="002C4E4B">
      <w:pPr>
        <w:pStyle w:val="BodyText"/>
      </w:pP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2" w:name="O_1053302"/>
      <w:bookmarkEnd w:id="2"/>
      <w:r w:rsidRPr="002C4E4B">
        <w:t>Application</w:t>
      </w:r>
    </w:p>
    <w:p w:rsidR="00000000" w:rsidRPr="002C4E4B" w:rsidP="00085B7C">
      <w:pPr>
        <w:pStyle w:val="BodyText"/>
      </w:pPr>
      <w:r w:rsidRPr="002C4E4B">
        <w:t>This unit specifies the skills and knowledge required to assess the security needs of clients and provide documented advice on products and services to meet those needs.  It includes conducting a security risk assessment of t</w:t>
      </w:r>
      <w:r w:rsidRPr="002C4E4B">
        <w:t>he client’s specific circumstances and operating environment and evaluating client satisfaction to improve service provision.</w:t>
      </w:r>
    </w:p>
    <w:p w:rsidR="00000000" w:rsidRPr="002C4E4B" w:rsidP="00085B7C">
      <w:pPr>
        <w:pStyle w:val="BodyText"/>
      </w:pPr>
      <w:r w:rsidRPr="002C4E4B">
        <w:t>This unit is suitable for those using specialised knowledge to complete routine and non-routine tasks and using their own judgemen</w:t>
      </w:r>
      <w:r w:rsidRPr="002C4E4B">
        <w:t>t to deal with predictable and sometimes unpredictable problems.</w:t>
      </w:r>
    </w:p>
    <w:p w:rsidR="00000000" w:rsidRPr="002C4E4B" w:rsidP="00085B7C">
      <w:pPr>
        <w:pStyle w:val="BodyText"/>
      </w:pPr>
      <w:r w:rsidRPr="002C4E4B">
        <w:t xml:space="preserve">Legislative, regulatory or certification requirements apply in some states and territories to the provision of advice on security solutions, strategies, protocols and procedures. For further </w:t>
      </w:r>
      <w:r w:rsidRPr="002C4E4B">
        <w:t>information, check with the relevant regulatory authority.</w:t>
      </w:r>
    </w:p>
    <w:p w:rsidR="00000000" w:rsidRPr="002C4E4B" w:rsidP="002C4E4B">
      <w:pPr>
        <w:pStyle w:val="Heading1"/>
      </w:pPr>
      <w:bookmarkStart w:id="3" w:name="O_1053301"/>
      <w:bookmarkEnd w:id="3"/>
      <w:r w:rsidRPr="002C4E4B">
        <w:t>Pre-requisite Unit</w:t>
      </w:r>
    </w:p>
    <w:p w:rsidR="00000000" w:rsidRPr="002C4E4B" w:rsidP="00085B7C">
      <w:pPr>
        <w:pStyle w:val="BodyText"/>
      </w:pPr>
      <w:r w:rsidRPr="002C4E4B">
        <w:t>None.</w:t>
      </w:r>
    </w:p>
    <w:p w:rsidR="00000000" w:rsidRPr="002C4E4B" w:rsidP="002C4E4B">
      <w:pPr>
        <w:pStyle w:val="Heading1"/>
      </w:pPr>
      <w:bookmarkStart w:id="4" w:name="O_1053300"/>
      <w:bookmarkEnd w:id="4"/>
      <w:r w:rsidRPr="002C4E4B">
        <w:t>Unit Sector</w:t>
      </w:r>
    </w:p>
    <w:p w:rsidR="00000000" w:rsidRPr="002C4E4B" w:rsidP="00085B7C">
      <w:pPr>
        <w:pStyle w:val="BodyText"/>
      </w:pPr>
      <w:r w:rsidRPr="002C4E4B">
        <w:t>Security/Risk management</w:t>
      </w:r>
    </w:p>
    <w:p w:rsidR="00000000" w:rsidRPr="002C4E4B" w:rsidP="002C4E4B">
      <w:pPr>
        <w:pStyle w:val="Heading1"/>
      </w:pPr>
      <w:bookmarkStart w:id="5" w:name="O_1053299"/>
      <w:bookmarkEnd w:id="5"/>
      <w:r w:rsidRPr="002C4E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Performance criteria describe what needs to be done to demonstrate achievement of the element.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Assess client security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Access and interpret key requirements of legislation, regulations and workplace policies and procedures and apply to work i</w:t>
            </w:r>
            <w:r w:rsidRPr="002C4E4B">
              <w:t>nstructions to ensure compliance.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Consult with client to confirm their immediate, short, and long-term security needs, expectations and budget.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Obtain and analyse valid and relevant information to clarify client circumstances and operating environment.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Assess security risk associated with client circumstances and operating environment based on analysis conducted.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 xml:space="preserve">Identify and assess </w:t>
            </w:r>
            <w:r w:rsidRPr="002C4E4B">
              <w:t>existing and potential security issues to determine their impact on client requirements.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Recognise own limitations in assessing client requirements and access specialist resources or advice to meet client requirements.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Advise on security options to meet client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Identify available security products and services to meet client needs and budget and select recommended security solutions.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Source comprehensive information to support recommended products and se</w:t>
            </w:r>
            <w:r w:rsidRPr="002C4E4B">
              <w:t>rvices and alternative options to meet client requirements.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Prioritise recommendations and alternative options and collate evidence of their suitability to meet client requirements.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Use information technologies to document and present client advice in a format and style to meet workplace requirements.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 xml:space="preserve">Explain features and benefits of recommended products and services to client and obtain feedback on suitability and sufficiency </w:t>
            </w:r>
            <w:r w:rsidRPr="002C4E4B">
              <w:t>of advice.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Evaluate advice provision to improve client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Evaluate client feedback to ascertain effectiveness of advice and satisfaction with service provision.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Identify and action changes necessary to improve advice to meet client needs and comply with workplace requirements for client service.</w:t>
            </w:r>
          </w:p>
        </w:tc>
      </w:tr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4B" w:rsidP="002C4E4B">
            <w:pPr>
              <w:pStyle w:val="BodyText"/>
            </w:pPr>
            <w:r w:rsidRPr="002C4E4B">
              <w:t>Complete and secure client documentation in a manner that facilitates future retrieval and maintains confidentiality.</w:t>
            </w:r>
          </w:p>
        </w:tc>
      </w:tr>
    </w:tbl>
    <w:p w:rsidR="00000000" w:rsidRPr="002C4E4B" w:rsidP="002C4E4B">
      <w:pPr>
        <w:pStyle w:val="BodyText"/>
      </w:pP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6" w:name="O_1053298"/>
      <w:bookmarkEnd w:id="6"/>
      <w:r w:rsidRPr="002C4E4B">
        <w:t>Foundation Skills</w:t>
      </w:r>
    </w:p>
    <w:p w:rsidR="00000000" w:rsidRPr="002C4E4B" w:rsidP="00085B7C">
      <w:pPr>
        <w:pStyle w:val="BodyText"/>
      </w:pPr>
      <w:r w:rsidRPr="002C4E4B">
        <w:t>As well as the foundation skills explicit in the performance criteria of this unit, candidates requ</w:t>
      </w:r>
      <w:r w:rsidRPr="002C4E4B">
        <w:t>ire:</w:t>
      </w:r>
    </w:p>
    <w:p w:rsidR="00000000" w:rsidRPr="002C4E4B" w:rsidP="002C4E4B">
      <w:pPr>
        <w:pStyle w:val="ListBullet"/>
      </w:pPr>
      <w:r w:rsidRPr="002C4E4B">
        <w:t>oral communication skills to use clear explanations, active listening and questioning skills to convey and clarify information to match security services and products to client needs</w:t>
      </w:r>
    </w:p>
    <w:p w:rsidR="00000000" w:rsidRPr="002C4E4B" w:rsidP="002C4E4B">
      <w:pPr>
        <w:pStyle w:val="ListBullet"/>
      </w:pPr>
      <w:r w:rsidRPr="002C4E4B">
        <w:t>writing skills to document succinct and logically structured client</w:t>
      </w:r>
      <w:r w:rsidRPr="002C4E4B">
        <w:t xml:space="preserve"> advice.</w:t>
      </w: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7" w:name="O_1053297"/>
      <w:bookmarkEnd w:id="7"/>
      <w:r w:rsidRPr="002C4E4B">
        <w:t>Unit Mapping Information</w:t>
      </w:r>
    </w:p>
    <w:p w:rsidR="00000000" w:rsidRPr="002C4E4B" w:rsidP="00085B7C">
      <w:pPr>
        <w:pStyle w:val="BodyText"/>
      </w:pPr>
      <w:r w:rsidRPr="002C4E4B">
        <w:t>Supersedes and equivalent to CPPSEC4003A Advise on security needs.</w:t>
      </w:r>
    </w:p>
    <w:p w:rsidR="00000000" w:rsidRPr="002C4E4B" w:rsidP="002C4E4B">
      <w:pPr>
        <w:pStyle w:val="Heading1"/>
      </w:pPr>
      <w:bookmarkStart w:id="8" w:name="O_1053290"/>
      <w:bookmarkEnd w:id="8"/>
      <w:r w:rsidRPr="002C4E4B">
        <w:t>Links</w:t>
      </w:r>
    </w:p>
    <w:p w:rsidR="00000000" w:rsidRPr="002C4E4B" w:rsidP="00085B7C">
      <w:pPr>
        <w:pStyle w:val="BodyText"/>
      </w:pPr>
      <w:r w:rsidRPr="002C4E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14A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C4E4B" w:rsidP="00085B7C">
      <w:pPr>
        <w:pStyle w:val="BodyText"/>
        <w:sectPr w:rsidSect="002C4E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E4B" w:rsidP="002C4E4B">
      <w:pPr>
        <w:pStyle w:val="SuperHeading"/>
      </w:pPr>
      <w:r w:rsidRPr="002C4E4B">
        <w:t>Assessment Requirements for CPPSEC4003 Asse</w:t>
      </w:r>
      <w:r w:rsidRPr="002C4E4B">
        <w:t>ss and advise on client security needs</w:t>
      </w:r>
    </w:p>
    <w:p w:rsidR="00000000" w:rsidRPr="002C4E4B" w:rsidP="002C4E4B">
      <w:pPr>
        <w:pStyle w:val="Heading1"/>
      </w:pPr>
      <w:bookmarkStart w:id="9" w:name="O_1053292"/>
      <w:bookmarkEnd w:id="9"/>
      <w:r w:rsidRPr="002C4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4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4B">
            <w:pPr>
              <w:pStyle w:val="BodyText"/>
              <w:rPr>
                <w:lang w:val="en-NZ"/>
              </w:rPr>
            </w:pPr>
            <w:r w:rsidRPr="002C4E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4B" w:rsidP="002C4E4B">
            <w:pPr>
              <w:pStyle w:val="BodyText"/>
            </w:pPr>
            <w:r w:rsidRPr="002C4E4B">
              <w:t>This version first released with CPP Property Services Training Package Release 9.0.</w:t>
            </w:r>
          </w:p>
          <w:p w:rsidR="00000000" w:rsidRPr="002C4E4B" w:rsidP="002C4E4B">
            <w:pPr>
              <w:pStyle w:val="BodyText"/>
            </w:pPr>
            <w:r w:rsidRPr="002C4E4B">
              <w:t xml:space="preserve">Supersedes and is equivalent CPPSEC4003A Advise on security needs. Updated to meet </w:t>
            </w:r>
            <w:r w:rsidRPr="002C4E4B">
              <w:t>the Standards for Training Packages.</w:t>
            </w:r>
          </w:p>
        </w:tc>
      </w:tr>
    </w:tbl>
    <w:p w:rsidR="00000000" w:rsidRPr="002C4E4B" w:rsidP="002C4E4B">
      <w:pPr>
        <w:pStyle w:val="BodyText"/>
      </w:pP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10" w:name="O_1053295"/>
      <w:bookmarkEnd w:id="10"/>
      <w:r w:rsidRPr="002C4E4B">
        <w:t>Performance Evidence</w:t>
      </w:r>
    </w:p>
    <w:p w:rsidR="00000000" w:rsidRPr="002C4E4B" w:rsidP="00085B7C">
      <w:pPr>
        <w:pStyle w:val="BodyText"/>
      </w:pPr>
      <w:r w:rsidRPr="002C4E4B">
        <w:t xml:space="preserve">To demonstrate competency, a candidate must meet the performance criteria of this unit by assessing and advising on security products and services to meet the different </w:t>
      </w:r>
      <w:r w:rsidRPr="002C4E4B">
        <w:t>security needs of three clients.</w:t>
      </w:r>
    </w:p>
    <w:p w:rsidR="00000000" w:rsidRPr="002C4E4B" w:rsidP="002C4E4B">
      <w:pPr>
        <w:pStyle w:val="Heading1"/>
      </w:pPr>
      <w:bookmarkStart w:id="11" w:name="O_1053294"/>
      <w:bookmarkEnd w:id="11"/>
      <w:r w:rsidRPr="002C4E4B">
        <w:t>Knowledge Evidence</w:t>
      </w:r>
    </w:p>
    <w:p w:rsidR="00000000" w:rsidRPr="002C4E4B" w:rsidP="00085B7C">
      <w:pPr>
        <w:pStyle w:val="BodyText"/>
      </w:pPr>
      <w:r w:rsidRPr="002C4E4B">
        <w:t>To be competent in this unit, a candidate must demonstrate knowledge of:</w:t>
      </w:r>
    </w:p>
    <w:p w:rsidR="00000000" w:rsidRPr="002C4E4B" w:rsidP="002C4E4B">
      <w:pPr>
        <w:pStyle w:val="ListBullet"/>
      </w:pPr>
      <w:r w:rsidRPr="002C4E4B">
        <w:t>workplace policies and procedures that ensure compliance with legislative and regulatory requirements when advi</w:t>
      </w:r>
      <w:r w:rsidRPr="002C4E4B">
        <w:t>sing clients on security needs:</w:t>
      </w:r>
    </w:p>
    <w:p w:rsidR="00000000" w:rsidRPr="002C4E4B" w:rsidP="002C4E4B">
      <w:pPr>
        <w:pStyle w:val="ListBullet2"/>
      </w:pPr>
      <w:r w:rsidRPr="002C4E4B">
        <w:t>client service standards</w:t>
      </w:r>
    </w:p>
    <w:p w:rsidR="00000000" w:rsidRPr="002C4E4B" w:rsidP="002C4E4B">
      <w:pPr>
        <w:pStyle w:val="ListBullet2"/>
      </w:pPr>
      <w:r w:rsidRPr="002C4E4B">
        <w:t>licensing requirements in the security industry</w:t>
      </w:r>
    </w:p>
    <w:p w:rsidR="00000000" w:rsidRPr="002C4E4B" w:rsidP="002C4E4B">
      <w:pPr>
        <w:pStyle w:val="ListBullet2"/>
      </w:pPr>
      <w:r w:rsidRPr="002C4E4B">
        <w:t>regulatory requirements associated with providing advice about security products and services</w:t>
      </w:r>
    </w:p>
    <w:p w:rsidR="00000000" w:rsidRPr="002C4E4B" w:rsidP="002C4E4B">
      <w:pPr>
        <w:pStyle w:val="ListBullet2"/>
      </w:pPr>
      <w:r w:rsidRPr="002C4E4B">
        <w:t>reporting and documentation</w:t>
      </w:r>
    </w:p>
    <w:p w:rsidR="00000000" w:rsidRPr="002C4E4B" w:rsidP="002C4E4B">
      <w:pPr>
        <w:pStyle w:val="ListBullet"/>
      </w:pPr>
      <w:r w:rsidRPr="002C4E4B">
        <w:t xml:space="preserve">application of </w:t>
      </w:r>
      <w:r w:rsidRPr="002C4E4B">
        <w:rPr>
          <w:rStyle w:val="Emphasis"/>
        </w:rPr>
        <w:t>ISO 31000:2018 Risk management – Guidelines</w:t>
      </w:r>
      <w:r w:rsidRPr="002C4E4B">
        <w:t xml:space="preserve"> when advising clients on security needs</w:t>
      </w:r>
    </w:p>
    <w:p w:rsidR="00000000" w:rsidRPr="002C4E4B" w:rsidP="002C4E4B">
      <w:pPr>
        <w:pStyle w:val="ListBullet"/>
      </w:pPr>
      <w:r w:rsidRPr="002C4E4B">
        <w:t>basic requirements for the installation of a range of security equipment and systems</w:t>
      </w:r>
    </w:p>
    <w:p w:rsidR="00000000" w:rsidRPr="002C4E4B" w:rsidP="002C4E4B">
      <w:pPr>
        <w:pStyle w:val="ListBullet"/>
      </w:pPr>
      <w:r w:rsidRPr="002C4E4B">
        <w:t>changing risk context of client operations</w:t>
      </w:r>
    </w:p>
    <w:p w:rsidR="00000000" w:rsidRPr="002C4E4B" w:rsidP="002C4E4B">
      <w:pPr>
        <w:pStyle w:val="ListBullet"/>
      </w:pPr>
      <w:r w:rsidRPr="002C4E4B">
        <w:t>how and where security manpower can be effec</w:t>
      </w:r>
      <w:r w:rsidRPr="002C4E4B">
        <w:t>tively used</w:t>
      </w:r>
    </w:p>
    <w:p w:rsidR="00000000" w:rsidRPr="002C4E4B" w:rsidP="002C4E4B">
      <w:pPr>
        <w:pStyle w:val="ListBullet"/>
      </w:pPr>
      <w:r w:rsidRPr="002C4E4B">
        <w:t>methods for comparing and contrasting security product and service information</w:t>
      </w:r>
    </w:p>
    <w:p w:rsidR="00000000" w:rsidRPr="002C4E4B" w:rsidP="002C4E4B">
      <w:pPr>
        <w:pStyle w:val="ListBullet"/>
      </w:pPr>
      <w:r w:rsidRPr="002C4E4B">
        <w:t>operational principles of, and information technologies used in internet protocol networked security equipment and systems</w:t>
      </w:r>
    </w:p>
    <w:p w:rsidR="00000000" w:rsidRPr="002C4E4B" w:rsidP="002C4E4B">
      <w:pPr>
        <w:pStyle w:val="ListBullet"/>
      </w:pPr>
      <w:r w:rsidRPr="002C4E4B">
        <w:t>process of dynamic risk assessment and app</w:t>
      </w:r>
      <w:r w:rsidRPr="002C4E4B">
        <w:t>lication of risk management using the hierarchy of controls</w:t>
      </w:r>
    </w:p>
    <w:p w:rsidR="00000000" w:rsidRPr="002C4E4B" w:rsidP="002C4E4B">
      <w:pPr>
        <w:pStyle w:val="ListBullet"/>
      </w:pPr>
      <w:r w:rsidRPr="002C4E4B">
        <w:t xml:space="preserve">purpose of </w:t>
      </w:r>
      <w:r w:rsidRPr="002C4E4B">
        <w:rPr>
          <w:rStyle w:val="Emphasis"/>
        </w:rPr>
        <w:t>Australia’s</w:t>
      </w:r>
      <w:r w:rsidRPr="002C4E4B">
        <w:t xml:space="preserve"> </w:t>
      </w:r>
      <w:r w:rsidRPr="002C4E4B">
        <w:rPr>
          <w:rStyle w:val="Emphasis"/>
        </w:rPr>
        <w:t>Strategy for Protecting Crowded Places from Terrorism</w:t>
      </w:r>
      <w:r w:rsidRPr="002C4E4B">
        <w:t xml:space="preserve"> and understanding of:</w:t>
      </w:r>
    </w:p>
    <w:p w:rsidR="00000000" w:rsidRPr="002C4E4B" w:rsidP="002C4E4B">
      <w:pPr>
        <w:pStyle w:val="ListBullet2"/>
      </w:pPr>
      <w:r w:rsidRPr="002C4E4B">
        <w:t>definition of crowded places</w:t>
      </w:r>
    </w:p>
    <w:p w:rsidR="00000000" w:rsidRPr="002C4E4B" w:rsidP="002C4E4B">
      <w:pPr>
        <w:pStyle w:val="ListBullet2"/>
      </w:pPr>
      <w:r w:rsidRPr="002C4E4B">
        <w:t>key security issues for crowded places</w:t>
      </w:r>
    </w:p>
    <w:p w:rsidR="00000000" w:rsidRPr="002C4E4B" w:rsidP="002C4E4B">
      <w:pPr>
        <w:pStyle w:val="ListBullet2"/>
      </w:pPr>
      <w:r w:rsidRPr="002C4E4B">
        <w:t>objectives, characteristics and identification of active armed offenders</w:t>
      </w:r>
    </w:p>
    <w:p w:rsidR="00000000" w:rsidRPr="002C4E4B" w:rsidP="002C4E4B">
      <w:pPr>
        <w:pStyle w:val="ListBullet2"/>
      </w:pPr>
      <w:r w:rsidRPr="002C4E4B">
        <w:t>definition of hostile vehicles and methods of attack</w:t>
      </w:r>
    </w:p>
    <w:p w:rsidR="00000000" w:rsidRPr="002C4E4B" w:rsidP="002C4E4B">
      <w:pPr>
        <w:pStyle w:val="ListBullet2"/>
      </w:pPr>
      <w:r w:rsidRPr="002C4E4B">
        <w:t>signs of chemical weapons attack and recommend response</w:t>
      </w:r>
    </w:p>
    <w:p w:rsidR="00000000" w:rsidRPr="002C4E4B" w:rsidP="002C4E4B">
      <w:pPr>
        <w:pStyle w:val="ListBullet2"/>
      </w:pPr>
      <w:r w:rsidRPr="002C4E4B">
        <w:t xml:space="preserve">general features of improvised explosive devices and recommended incident </w:t>
      </w:r>
      <w:r w:rsidRPr="002C4E4B">
        <w:t>response</w:t>
      </w:r>
    </w:p>
    <w:p w:rsidR="00000000" w:rsidRPr="002C4E4B" w:rsidP="002C4E4B">
      <w:pPr>
        <w:pStyle w:val="ListBullet"/>
      </w:pPr>
      <w:r w:rsidRPr="002C4E4B">
        <w:t>type and nature of a range of security risks and measures for controlling these using security products and services</w:t>
      </w:r>
    </w:p>
    <w:p w:rsidR="00000000" w:rsidRPr="002C4E4B" w:rsidP="002C4E4B">
      <w:pPr>
        <w:pStyle w:val="ListBullet"/>
      </w:pPr>
      <w:r w:rsidRPr="002C4E4B">
        <w:t>types, functions, advantages and disadvantages of common security products and services</w:t>
      </w:r>
    </w:p>
    <w:p w:rsidR="00000000" w:rsidRPr="002C4E4B" w:rsidP="002C4E4B">
      <w:pPr>
        <w:pStyle w:val="ListBullet"/>
      </w:pPr>
      <w:r w:rsidRPr="002C4E4B">
        <w:t>ways that social and cultural differences</w:t>
      </w:r>
      <w:r w:rsidRPr="002C4E4B">
        <w:t xml:space="preserve"> may be expressed.</w:t>
      </w: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12" w:name="O_1053293"/>
      <w:bookmarkEnd w:id="12"/>
      <w:r w:rsidRPr="002C4E4B">
        <w:t>Assessment Conditions</w:t>
      </w:r>
    </w:p>
    <w:p w:rsidR="00000000" w:rsidRPr="002C4E4B" w:rsidP="00085B7C">
      <w:pPr>
        <w:pStyle w:val="BodyText"/>
      </w:pPr>
      <w:r w:rsidRPr="002C4E4B">
        <w:t>Assessors must meet the requirements for assessors contained in the Standards for Registered Training Organisations.</w:t>
      </w:r>
    </w:p>
    <w:p w:rsidR="00000000" w:rsidRPr="002C4E4B" w:rsidP="00085B7C">
      <w:pPr>
        <w:pStyle w:val="BodyText"/>
      </w:pPr>
      <w:r w:rsidRPr="002C4E4B">
        <w:t xml:space="preserve">All individuals engaged by a licensed RTO for security licensing purposes must </w:t>
      </w:r>
      <w:r w:rsidRPr="002C4E4B">
        <w:t xml:space="preserve">hold both a security trainers licence (where such a licence exists within the relevant jurisdiction) and the licence for performing the security activities for which the individual is providing training or assessment.  Regulators may impose other assessor </w:t>
      </w:r>
      <w:r w:rsidRPr="002C4E4B">
        <w:t>conditions to meet jurisdictional assessment requirements.</w:t>
      </w:r>
    </w:p>
    <w:p w:rsidR="00000000" w:rsidRPr="002C4E4B" w:rsidP="00085B7C">
      <w:pPr>
        <w:pStyle w:val="BodyText"/>
      </w:pPr>
      <w:r w:rsidRPr="002C4E4B">
        <w:t>Assessment must be conducted in the workplace or in a simulated workplace environment. Candidates must have access to:</w:t>
      </w:r>
    </w:p>
    <w:p w:rsidR="00000000" w:rsidRPr="002C4E4B" w:rsidP="002C4E4B">
      <w:pPr>
        <w:pStyle w:val="ListBullet"/>
      </w:pPr>
      <w:r w:rsidRPr="002C4E4B">
        <w:t>legislation, regulations, codes of practice and policies and procedures that apply to the provision of security advice and services in the jurisdiction of operation</w:t>
      </w:r>
    </w:p>
    <w:p w:rsidR="00000000" w:rsidRPr="002C4E4B" w:rsidP="002C4E4B">
      <w:pPr>
        <w:pStyle w:val="ListBullet"/>
      </w:pPr>
      <w:r w:rsidRPr="002C4E4B">
        <w:t>client information and specifications, information technologies and resources required to a</w:t>
      </w:r>
      <w:r w:rsidRPr="002C4E4B">
        <w:t>chieve the performance evidence</w:t>
      </w:r>
    </w:p>
    <w:p w:rsidR="00000000" w:rsidRPr="002C4E4B" w:rsidP="002C4E4B">
      <w:pPr>
        <w:pStyle w:val="ListBullet"/>
      </w:pPr>
      <w:r w:rsidRPr="002C4E4B">
        <w:rPr>
          <w:rStyle w:val="Emphasis"/>
        </w:rPr>
        <w:t>ISO 31000:2018 Risk management – Guidelines</w:t>
      </w:r>
    </w:p>
    <w:p w:rsidR="00000000" w:rsidRPr="002C4E4B" w:rsidP="002C4E4B">
      <w:pPr>
        <w:pStyle w:val="ListBullet"/>
      </w:pPr>
      <w:r w:rsidRPr="002C4E4B">
        <w:rPr>
          <w:rStyle w:val="Emphasis"/>
        </w:rPr>
        <w:t>Australia’s Strategy for Protecting Crowded Places from Terrorism</w:t>
      </w:r>
      <w:r w:rsidRPr="002C4E4B">
        <w:t>.</w:t>
      </w:r>
    </w:p>
    <w:p w:rsidR="00000000" w:rsidRPr="002C4E4B" w:rsidP="002C4E4B">
      <w:pPr>
        <w:pStyle w:val="AllowPageBreak"/>
      </w:pPr>
    </w:p>
    <w:p w:rsidR="00000000" w:rsidRPr="002C4E4B" w:rsidP="002C4E4B">
      <w:pPr>
        <w:pStyle w:val="Heading1"/>
      </w:pPr>
      <w:bookmarkStart w:id="13" w:name="O_1053291"/>
      <w:bookmarkEnd w:id="13"/>
      <w:r w:rsidRPr="002C4E4B">
        <w:t>Links</w:t>
      </w:r>
    </w:p>
    <w:p w:rsidR="00000000" w:rsidRPr="002C4E4B" w:rsidP="00085B7C">
      <w:pPr>
        <w:pStyle w:val="BodyText"/>
      </w:pPr>
      <w:r w:rsidRPr="002C4E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14A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C4E4B" w:rsidP="002C4E4B"/>
    <w:sectPr w:rsidSect="002C4E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 w:rsidRPr="00085B7C" w:rsidP="00085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7C" w:rsidP="002C4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B7C" w:rsidP="002C4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5B7C" w:rsidP="002C4E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 w:rsidP="002C4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B7C">
      <w:t>Approved</w:t>
    </w:r>
    <w:r w:rsidR="00085B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B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B7C">
      <w:rPr>
        <w:noProof/>
      </w:rPr>
      <w:t>4</w:t>
    </w:r>
    <w:r>
      <w:rPr>
        <w:noProof/>
      </w:rPr>
      <w:fldChar w:fldCharType="end"/>
    </w:r>
  </w:p>
  <w:p w:rsidR="002C4E4B" w:rsidP="002C4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B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B7C">
      <w:t>BuildSkills Australia</w:t>
    </w:r>
    <w:r w:rsidR="00085B7C">
      <w:fldChar w:fldCharType="end"/>
    </w:r>
  </w:p>
  <w:p w:rsidR="002C4E4B" w:rsidP="002C4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E4B" w:rsidRPr="00085B7C" w:rsidP="00085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7C" w:rsidRPr="002D2AF8" w:rsidP="002C4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CPPSEC4003 Assess and advise on client security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5B7C" w:rsidP="002C4E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4B" w:rsidRPr="002D2AF8" w:rsidP="002C4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B7C">
      <w:t>CPPSEC4003 Assess and advise on client security needs</w:t>
    </w:r>
    <w:r w:rsidR="00085B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B7C">
      <w:rPr>
        <w:noProof/>
      </w:rPr>
      <w:t>1 March 2025</w:t>
    </w:r>
    <w:r>
      <w:fldChar w:fldCharType="end"/>
    </w:r>
  </w:p>
  <w:p w:rsidR="002C4E4B" w:rsidP="002C4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82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87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C1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E4B"/>
  </w:style>
  <w:style w:type="character" w:customStyle="1" w:styleId="Heading1Char">
    <w:name w:val="Heading 1 Char"/>
    <w:basedOn w:val="DefaultParagraphFont"/>
    <w:link w:val="Heading1"/>
    <w:rsid w:val="002C4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E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E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4E4B"/>
    <w:rPr>
      <w:i/>
    </w:rPr>
  </w:style>
  <w:style w:type="paragraph" w:customStyle="1" w:styleId="SuperHeading">
    <w:name w:val="SuperHeading"/>
    <w:basedOn w:val="Normal"/>
    <w:rsid w:val="002C4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E4B"/>
    <w:rPr>
      <w:b/>
      <w:spacing w:val="0"/>
    </w:rPr>
  </w:style>
  <w:style w:type="paragraph" w:customStyle="1" w:styleId="SuperTitle">
    <w:name w:val="SuperTitle"/>
    <w:basedOn w:val="Title"/>
    <w:rsid w:val="002C4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E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E4B"/>
  </w:style>
  <w:style w:type="paragraph" w:styleId="TableofFigures">
    <w:name w:val="table of figures"/>
    <w:basedOn w:val="Normal"/>
    <w:next w:val="Normal"/>
    <w:semiHidden/>
    <w:rsid w:val="002C4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E4B"/>
    <w:rPr>
      <w:rFonts w:ascii="Wingdings" w:hAnsi="Wingdings"/>
    </w:rPr>
  </w:style>
  <w:style w:type="paragraph" w:customStyle="1" w:styleId="TableHeading">
    <w:name w:val="Table Heading"/>
    <w:basedOn w:val="HeadingBase"/>
    <w:rsid w:val="002C4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E4B"/>
    <w:rPr>
      <w:color w:val="0033CC"/>
      <w:u w:val="none"/>
    </w:rPr>
  </w:style>
  <w:style w:type="paragraph" w:customStyle="1" w:styleId="BodyTextRight">
    <w:name w:val="Body Text Right"/>
    <w:basedOn w:val="BodyText"/>
    <w:rsid w:val="002C4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E4B"/>
    <w:rPr>
      <w:sz w:val="32"/>
    </w:rPr>
  </w:style>
  <w:style w:type="paragraph" w:customStyle="1" w:styleId="HeadingProcedure">
    <w:name w:val="Heading Procedure"/>
    <w:basedOn w:val="HeadingBase"/>
    <w:next w:val="Normal"/>
    <w:rsid w:val="002C4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E4B"/>
    <w:pPr>
      <w:spacing w:before="60" w:after="60"/>
    </w:pPr>
  </w:style>
  <w:style w:type="paragraph" w:styleId="ListContinue">
    <w:name w:val="List Continue"/>
    <w:basedOn w:val="List"/>
    <w:rsid w:val="002C4E4B"/>
    <w:pPr>
      <w:ind w:firstLine="0"/>
    </w:pPr>
  </w:style>
  <w:style w:type="paragraph" w:customStyle="1" w:styleId="ListNote">
    <w:name w:val="List Note"/>
    <w:basedOn w:val="List"/>
    <w:rsid w:val="002C4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E4B"/>
    <w:rPr>
      <w:rFonts w:ascii="Courier New" w:hAnsi="Courier New"/>
    </w:rPr>
  </w:style>
  <w:style w:type="paragraph" w:customStyle="1" w:styleId="NoteBullet">
    <w:name w:val="Note Bullet"/>
    <w:basedOn w:val="Note"/>
    <w:rsid w:val="002C4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E4B"/>
    <w:rPr>
      <w:b/>
      <w:smallCaps/>
    </w:rPr>
  </w:style>
  <w:style w:type="paragraph" w:customStyle="1" w:styleId="TableListNumber">
    <w:name w:val="Table List Number"/>
    <w:basedOn w:val="ListNumber"/>
    <w:rsid w:val="002C4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E4B"/>
    <w:pPr>
      <w:numPr>
        <w:numId w:val="9"/>
      </w:numPr>
    </w:pPr>
  </w:style>
  <w:style w:type="paragraph" w:customStyle="1" w:styleId="ListAlpha2">
    <w:name w:val="List Alpha 2"/>
    <w:basedOn w:val="List2"/>
    <w:rsid w:val="002C4E4B"/>
    <w:pPr>
      <w:numPr>
        <w:numId w:val="8"/>
      </w:numPr>
    </w:pPr>
  </w:style>
  <w:style w:type="paragraph" w:styleId="List2">
    <w:name w:val="List 2"/>
    <w:basedOn w:val="BodyText"/>
    <w:rsid w:val="002C4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E4B"/>
    <w:pPr>
      <w:numPr>
        <w:numId w:val="4"/>
      </w:numPr>
    </w:pPr>
  </w:style>
  <w:style w:type="paragraph" w:styleId="ListContinue2">
    <w:name w:val="List Continue 2"/>
    <w:basedOn w:val="List2"/>
    <w:rsid w:val="002C4E4B"/>
    <w:pPr>
      <w:ind w:firstLine="0"/>
    </w:pPr>
  </w:style>
  <w:style w:type="paragraph" w:styleId="ListContinue3">
    <w:name w:val="List Continue 3"/>
    <w:basedOn w:val="List3"/>
    <w:rsid w:val="002C4E4B"/>
    <w:pPr>
      <w:ind w:left="1021" w:firstLine="0"/>
    </w:pPr>
  </w:style>
  <w:style w:type="paragraph" w:styleId="ListContinue4">
    <w:name w:val="List Continue 4"/>
    <w:basedOn w:val="List4"/>
    <w:rsid w:val="002C4E4B"/>
    <w:pPr>
      <w:ind w:firstLine="0"/>
    </w:pPr>
  </w:style>
  <w:style w:type="paragraph" w:styleId="ListContinue5">
    <w:name w:val="List Continue 5"/>
    <w:basedOn w:val="List5"/>
    <w:rsid w:val="002C4E4B"/>
    <w:pPr>
      <w:ind w:firstLine="0"/>
    </w:pPr>
  </w:style>
  <w:style w:type="paragraph" w:styleId="ListNumber3">
    <w:name w:val="List Number 3"/>
    <w:basedOn w:val="List3"/>
    <w:rsid w:val="002C4E4B"/>
    <w:pPr>
      <w:numPr>
        <w:numId w:val="5"/>
      </w:numPr>
    </w:pPr>
  </w:style>
  <w:style w:type="paragraph" w:styleId="ListNumber4">
    <w:name w:val="List Number 4"/>
    <w:basedOn w:val="List4"/>
    <w:rsid w:val="002C4E4B"/>
    <w:pPr>
      <w:numPr>
        <w:numId w:val="6"/>
      </w:numPr>
    </w:pPr>
  </w:style>
  <w:style w:type="paragraph" w:styleId="ListNumber5">
    <w:name w:val="List Number 5"/>
    <w:basedOn w:val="List5"/>
    <w:rsid w:val="002C4E4B"/>
    <w:pPr>
      <w:numPr>
        <w:numId w:val="7"/>
      </w:numPr>
    </w:pPr>
  </w:style>
  <w:style w:type="paragraph" w:styleId="BlockText">
    <w:name w:val="Block Text"/>
    <w:basedOn w:val="Normal"/>
    <w:rsid w:val="002C4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E4B"/>
    <w:rPr>
      <w:sz w:val="16"/>
      <w:vertAlign w:val="superscript"/>
    </w:rPr>
  </w:style>
  <w:style w:type="character" w:customStyle="1" w:styleId="Symbols">
    <w:name w:val="Symbols"/>
    <w:basedOn w:val="DefaultParagraphFont"/>
    <w:rsid w:val="002C4E4B"/>
    <w:rPr>
      <w:rFonts w:ascii="Symbol" w:hAnsi="Symbol"/>
    </w:rPr>
  </w:style>
  <w:style w:type="character" w:customStyle="1" w:styleId="MenuOptions">
    <w:name w:val="Menu Options"/>
    <w:basedOn w:val="DefaultParagraphFont"/>
    <w:rsid w:val="002C4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E4B"/>
    <w:rPr>
      <w:b/>
    </w:rPr>
  </w:style>
  <w:style w:type="character" w:customStyle="1" w:styleId="Underlined">
    <w:name w:val="Underlined"/>
    <w:basedOn w:val="DefaultParagraphFont"/>
    <w:rsid w:val="002C4E4B"/>
    <w:rPr>
      <w:u w:val="single"/>
    </w:rPr>
  </w:style>
  <w:style w:type="paragraph" w:customStyle="1" w:styleId="TableBodyTextRight">
    <w:name w:val="Table Body Text Right"/>
    <w:basedOn w:val="TableBodyText"/>
    <w:rsid w:val="002C4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E4B"/>
    <w:rPr>
      <w:sz w:val="18"/>
    </w:rPr>
  </w:style>
  <w:style w:type="paragraph" w:customStyle="1" w:styleId="BodySmallRight">
    <w:name w:val="Body Small Right"/>
    <w:basedOn w:val="BodyTextRight"/>
    <w:rsid w:val="002C4E4B"/>
    <w:rPr>
      <w:sz w:val="18"/>
      <w:szCs w:val="18"/>
    </w:rPr>
  </w:style>
  <w:style w:type="paragraph" w:customStyle="1" w:styleId="MarginEdition">
    <w:name w:val="Margin Edition"/>
    <w:basedOn w:val="MarginNote"/>
    <w:rsid w:val="002C4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E4B"/>
    <w:rPr>
      <w:sz w:val="2"/>
      <w:szCs w:val="2"/>
    </w:rPr>
  </w:style>
  <w:style w:type="character" w:customStyle="1" w:styleId="Small">
    <w:name w:val="Small"/>
    <w:basedOn w:val="DefaultParagraphFont"/>
    <w:rsid w:val="002C4E4B"/>
    <w:rPr>
      <w:sz w:val="16"/>
    </w:rPr>
  </w:style>
  <w:style w:type="paragraph" w:customStyle="1" w:styleId="WideTable">
    <w:name w:val="Wide Table"/>
    <w:basedOn w:val="Normal"/>
    <w:rsid w:val="002C4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E4B"/>
  </w:style>
  <w:style w:type="paragraph" w:styleId="Quote">
    <w:name w:val="Quote"/>
    <w:basedOn w:val="Heading1"/>
    <w:link w:val="QuoteChar"/>
    <w:qFormat/>
    <w:rsid w:val="002C4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E4B"/>
    <w:pPr>
      <w:pageBreakBefore/>
    </w:pPr>
  </w:style>
  <w:style w:type="paragraph" w:customStyle="1" w:styleId="Border">
    <w:name w:val="Border"/>
    <w:basedOn w:val="Normal"/>
    <w:qFormat/>
    <w:rsid w:val="002C4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E4B"/>
    <w:rPr>
      <w:u w:val="single"/>
    </w:rPr>
  </w:style>
  <w:style w:type="character" w:customStyle="1" w:styleId="BoldandItalics">
    <w:name w:val="Bold and Italics"/>
    <w:qFormat/>
    <w:rsid w:val="002C4E4B"/>
    <w:rPr>
      <w:b/>
      <w:i/>
      <w:u w:val="none"/>
    </w:rPr>
  </w:style>
  <w:style w:type="paragraph" w:styleId="BalloonText">
    <w:name w:val="Balloon Text"/>
    <w:basedOn w:val="Normal"/>
    <w:link w:val="BalloonTextChar"/>
    <w:rsid w:val="002C4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E4B"/>
    <w:pPr>
      <w:spacing w:before="0" w:after="0"/>
    </w:pPr>
  </w:style>
  <w:style w:type="paragraph" w:customStyle="1" w:styleId="BodyTextBold">
    <w:name w:val="Body Text Bold"/>
    <w:basedOn w:val="BodyText"/>
    <w:qFormat/>
    <w:rsid w:val="002C4E4B"/>
    <w:rPr>
      <w:b/>
    </w:rPr>
  </w:style>
  <w:style w:type="character" w:styleId="Hyperlink">
    <w:name w:val="Hyperlink"/>
    <w:basedOn w:val="DefaultParagraphFont"/>
    <w:uiPriority w:val="99"/>
    <w:unhideWhenUsed/>
    <w:rsid w:val="00085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6717</Characters>
  <Application>Microsoft Office Word</Application>
  <DocSecurity>0</DocSecurity>
  <Lines>216</Lines>
  <Paragraphs>121</Paragraphs>
  <ScaleCrop>false</ScaleCrop>
  <Company>Author-it Software Corporation Ltd.</Company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CPPSEC4003 Assess and advise on client security needs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