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4CA" w:rsidP="00290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CPPSEC3129 Conduct security screening using explosive trace detection equipment</w:t>
      </w:r>
      <w:r>
        <w:fldChar w:fldCharType="end"/>
      </w:r>
    </w:p>
    <w:p w:rsidR="002904CA" w:rsidP="002904CA">
      <w:pPr>
        <w:pStyle w:val="Version"/>
        <w:sectPr w:rsidSect="00132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AEB" w:rsidP="00132AEB">
      <w:pPr>
        <w:pStyle w:val="SuperHeading"/>
      </w:pPr>
      <w:r w:rsidRPr="00132AEB">
        <w:t>CPPSEC3129 Conduct security screening using explosive trace detection equipment</w:t>
      </w:r>
    </w:p>
    <w:p w:rsidR="00000000" w:rsidRPr="00132AEB" w:rsidP="00132AEB">
      <w:pPr>
        <w:pStyle w:val="Heading1"/>
      </w:pPr>
      <w:bookmarkStart w:id="1" w:name="O_1009491"/>
      <w:bookmarkEnd w:id="1"/>
      <w:r w:rsidRPr="00132AEB">
        <w:t>Modification History</w:t>
      </w:r>
    </w:p>
    <w:p w:rsidR="00000000" w:rsidRPr="00132AEB" w:rsidP="002904CA">
      <w:pPr>
        <w:pStyle w:val="BodyText"/>
      </w:pPr>
      <w:r w:rsidRPr="00132AEB">
        <w:t>Release 1.</w:t>
      </w:r>
    </w:p>
    <w:p w:rsidR="00000000" w:rsidRPr="00132AEB" w:rsidP="002904CA">
      <w:pPr>
        <w:pStyle w:val="BodyText"/>
      </w:pPr>
      <w:r w:rsidRPr="00132AEB">
        <w:t>Supersedes and is equivalent to CPPSEC1009A Apply Explosive Trace Detection (ETD) procedures.</w:t>
      </w:r>
    </w:p>
    <w:p w:rsidR="00000000" w:rsidRPr="00132AEB" w:rsidP="002904CA">
      <w:pPr>
        <w:pStyle w:val="BodyText"/>
      </w:pPr>
      <w:r w:rsidRPr="00132AEB">
        <w:t>Updated to meet the Standards for Training Packages.</w:t>
      </w:r>
    </w:p>
    <w:p w:rsidR="00000000" w:rsidRPr="00132AEB" w:rsidP="002904CA">
      <w:pPr>
        <w:pStyle w:val="BodyText"/>
      </w:pPr>
      <w:r w:rsidRPr="00132AEB">
        <w:t>This version first released with CPP Property Services Training Package Version 7.0.</w:t>
      </w:r>
    </w:p>
    <w:p w:rsidR="00000000" w:rsidRPr="00132AEB" w:rsidP="00132AEB">
      <w:pPr>
        <w:pStyle w:val="Heading1"/>
      </w:pPr>
      <w:bookmarkStart w:id="2" w:name="O_1009497"/>
      <w:bookmarkEnd w:id="2"/>
      <w:r w:rsidRPr="00132AEB">
        <w:t>Application</w:t>
      </w:r>
    </w:p>
    <w:p w:rsidR="00000000" w:rsidRPr="00132AEB" w:rsidP="002904CA">
      <w:pPr>
        <w:pStyle w:val="BodyText"/>
      </w:pPr>
      <w:r w:rsidRPr="00132AEB">
        <w:t xml:space="preserve">This unit specifies the skills and knowledge required to conduct security screening of </w:t>
      </w:r>
      <w:r w:rsidRPr="00132AEB">
        <w:t>people using explosive trace detection (ETD) equipment.  ETD equipment can detect and indicate by means of an alarm, the presence of a target amount of explosive material.</w:t>
      </w:r>
    </w:p>
    <w:p w:rsidR="00000000" w:rsidRPr="00132AEB" w:rsidP="002904CA">
      <w:pPr>
        <w:pStyle w:val="BodyText"/>
      </w:pPr>
      <w:r w:rsidRPr="00132AEB">
        <w:t xml:space="preserve">It includes: </w:t>
      </w:r>
    </w:p>
    <w:p w:rsidR="00000000" w:rsidRPr="00132AEB" w:rsidP="00132AEB">
      <w:pPr>
        <w:pStyle w:val="ListBullet"/>
      </w:pPr>
      <w:r w:rsidRPr="00132AEB">
        <w:t>checking, calibrating and operating EDT equipment following manufactu</w:t>
      </w:r>
      <w:r w:rsidRPr="00132AEB">
        <w:t>rers’ specifications</w:t>
      </w:r>
    </w:p>
    <w:p w:rsidR="00000000" w:rsidRPr="00132AEB" w:rsidP="00132AEB">
      <w:pPr>
        <w:pStyle w:val="ListBullet"/>
      </w:pPr>
      <w:r w:rsidRPr="00132AEB">
        <w:t>using sensitive spoken communication techniques to prepare people for ETD sampling, and using correct techniques to screen people and items using ETD equipment</w:t>
      </w:r>
    </w:p>
    <w:p w:rsidR="00000000" w:rsidRPr="00132AEB" w:rsidP="00132AEB">
      <w:pPr>
        <w:pStyle w:val="ListBullet"/>
      </w:pPr>
      <w:r w:rsidRPr="00132AEB">
        <w:t xml:space="preserve">maintaining situational awareness and responding quickly to security risks </w:t>
      </w:r>
      <w:r w:rsidRPr="00132AEB">
        <w:t>and positive and negative ETD results.</w:t>
      </w:r>
    </w:p>
    <w:p w:rsidR="00000000" w:rsidRPr="00132AEB" w:rsidP="002904CA">
      <w:pPr>
        <w:pStyle w:val="BodyText"/>
      </w:pPr>
      <w:r w:rsidRPr="00132AEB">
        <w:t>It applies to people working independently or under limited supervision as members of a security team.</w:t>
      </w:r>
    </w:p>
    <w:p w:rsidR="00000000" w:rsidRPr="00132AEB" w:rsidP="002904CA">
      <w:pPr>
        <w:pStyle w:val="BodyText"/>
      </w:pPr>
      <w:r w:rsidRPr="00132AEB">
        <w:t>This unit may form part of the licensing requirements for people engaged in security operations in those states an</w:t>
      </w:r>
      <w:r w:rsidRPr="00132AEB">
        <w:t>d territories where these are regulated activities.</w:t>
      </w:r>
    </w:p>
    <w:p w:rsidR="00000000" w:rsidRPr="00132AEB" w:rsidP="00132AEB">
      <w:pPr>
        <w:pStyle w:val="Heading1"/>
      </w:pPr>
      <w:bookmarkStart w:id="3" w:name="O_1009496"/>
      <w:bookmarkEnd w:id="3"/>
      <w:r w:rsidRPr="00132AEB">
        <w:t>Pre-requisite Unit</w:t>
      </w:r>
    </w:p>
    <w:p w:rsidR="00000000" w:rsidRPr="00132AEB" w:rsidP="002904CA">
      <w:pPr>
        <w:pStyle w:val="BodyText"/>
      </w:pPr>
      <w:r w:rsidRPr="00132AEB">
        <w:t>Nil</w:t>
      </w:r>
    </w:p>
    <w:p w:rsidR="00000000" w:rsidRPr="00132AEB" w:rsidP="00132AEB">
      <w:pPr>
        <w:pStyle w:val="Heading1"/>
      </w:pPr>
      <w:bookmarkStart w:id="4" w:name="O_1009495"/>
      <w:bookmarkEnd w:id="4"/>
      <w:r w:rsidRPr="00132AEB">
        <w:t>Unit Sector</w:t>
      </w:r>
    </w:p>
    <w:p w:rsidR="00000000" w:rsidRPr="00132AEB" w:rsidP="002904CA">
      <w:pPr>
        <w:pStyle w:val="BodyText"/>
      </w:pPr>
      <w:r w:rsidRPr="00132AEB">
        <w:t>Security operations</w:t>
      </w:r>
    </w:p>
    <w:p w:rsidR="00000000" w:rsidRPr="00132AEB" w:rsidP="00132AEB">
      <w:pPr>
        <w:pStyle w:val="Heading1"/>
      </w:pPr>
      <w:bookmarkStart w:id="5" w:name="O_1009494"/>
      <w:bookmarkEnd w:id="5"/>
      <w:r w:rsidRPr="00132A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132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Performance criteria describe what needs to be done to demonstrate achievement of the element.</w:t>
            </w:r>
          </w:p>
        </w:tc>
      </w:tr>
      <w:tr w:rsidTr="00132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1.</w:t>
            </w:r>
            <w:r w:rsidRPr="00132AEB">
              <w:tab/>
              <w:t>Prepare for screening using ETD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EB" w:rsidP="00132AEB">
            <w:pPr>
              <w:pStyle w:val="BodyText"/>
            </w:pPr>
            <w:r w:rsidRPr="00132AEB">
              <w:t>1.1</w:t>
            </w:r>
            <w:r w:rsidRPr="00132AEB">
              <w:tab/>
              <w:t>Review workplace procedures and policies to ensure compliance with legal rights and responsibilities when cond</w:t>
            </w:r>
            <w:r w:rsidRPr="00132AEB">
              <w:t>ucting security screening using ETD equipment.</w:t>
            </w:r>
          </w:p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1.2</w:t>
            </w:r>
            <w:r w:rsidRPr="00132AEB">
              <w:tab/>
              <w:t>Follow manufacturers’ instructions to prepare, check and calibrate ETD equipment, and rectify or report problems to relevant persons.</w:t>
            </w:r>
          </w:p>
        </w:tc>
      </w:tr>
      <w:tr w:rsidTr="00132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2.</w:t>
            </w:r>
            <w:r w:rsidRPr="00132AEB">
              <w:tab/>
              <w:t>Conduct ETD sampling and testing.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EB" w:rsidP="00132AEB">
            <w:pPr>
              <w:pStyle w:val="BodyText"/>
            </w:pPr>
            <w:r w:rsidRPr="00132AEB">
              <w:t>2.1</w:t>
            </w:r>
            <w:r w:rsidRPr="00132AEB">
              <w:tab/>
              <w:t>Select person and items for E</w:t>
            </w:r>
            <w:r w:rsidRPr="00132AEB">
              <w:t xml:space="preserve">TD screening, and explain EDT screening procedures using interpersonal techniques and communication that accounts for individual social and cultural differences. </w:t>
            </w:r>
          </w:p>
          <w:p w:rsidR="00000000" w:rsidRPr="00132AEB" w:rsidP="00132AEB">
            <w:pPr>
              <w:pStyle w:val="BodyText"/>
            </w:pPr>
            <w:r w:rsidRPr="00132AEB">
              <w:t>2.2</w:t>
            </w:r>
            <w:r w:rsidRPr="00132AEB">
              <w:tab/>
              <w:t>Use an ETD wand to screen person and items following workplace procedures.</w:t>
            </w:r>
          </w:p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2.3</w:t>
            </w:r>
            <w:r w:rsidRPr="00132AEB">
              <w:tab/>
              <w:t>Test sampl</w:t>
            </w:r>
            <w:r w:rsidRPr="00132AEB">
              <w:t>e using ETD equipment following workplace procedures.</w:t>
            </w:r>
          </w:p>
        </w:tc>
      </w:tr>
      <w:tr w:rsidTr="00132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AEB">
            <w:pPr>
              <w:pStyle w:val="BodyText"/>
              <w:rPr>
                <w:lang w:val="en-NZ"/>
              </w:rPr>
            </w:pPr>
            <w:r w:rsidRPr="00132AEB">
              <w:t>3.</w:t>
            </w:r>
            <w:r w:rsidRPr="00132AEB">
              <w:tab/>
              <w:t>Respond to sample results and potential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AEB" w:rsidP="00132AEB">
            <w:pPr>
              <w:pStyle w:val="BodyText"/>
            </w:pPr>
            <w:r w:rsidRPr="00132AEB">
              <w:t>3.1</w:t>
            </w:r>
            <w:r w:rsidRPr="00132AEB">
              <w:tab/>
              <w:t>Recognise positive and negative results and repeat testing following workplace procedures.</w:t>
            </w:r>
          </w:p>
          <w:p w:rsidR="00000000" w:rsidRPr="00132AEB" w:rsidP="00132AEB">
            <w:pPr>
              <w:pStyle w:val="BodyText"/>
            </w:pPr>
            <w:r w:rsidRPr="00132AEB">
              <w:t>3.2</w:t>
            </w:r>
            <w:r w:rsidRPr="00132AEB">
              <w:tab/>
              <w:t>Take appropriate action to respond to a dou</w:t>
            </w:r>
            <w:r w:rsidRPr="00132AEB">
              <w:t>ble positive result, and request assistance from relevant persons.</w:t>
            </w:r>
          </w:p>
          <w:p w:rsidR="00000000" w:rsidRPr="00132AEB" w:rsidP="00132AEB">
            <w:pPr>
              <w:pStyle w:val="BodyText"/>
            </w:pPr>
            <w:r w:rsidRPr="00132AEB">
              <w:t>3.3</w:t>
            </w:r>
            <w:r w:rsidRPr="00132AEB">
              <w:tab/>
              <w:t>Monitor persons and items in the screening area to maintain situational awareness and to respond promptly to potential security risks.</w:t>
            </w:r>
          </w:p>
          <w:p w:rsidR="00000000" w:rsidRPr="00132AEB" w:rsidP="00132AEB">
            <w:pPr>
              <w:pStyle w:val="BodyText"/>
            </w:pPr>
            <w:r w:rsidRPr="00132AEB">
              <w:t>3.4</w:t>
            </w:r>
            <w:r w:rsidRPr="00132AEB">
              <w:tab/>
            </w:r>
            <w:r w:rsidRPr="00132AEB">
              <w:t>Record results of screening using ETD equipment using workplace documentation.</w:t>
            </w:r>
          </w:p>
        </w:tc>
      </w:tr>
    </w:tbl>
    <w:p w:rsidR="00000000" w:rsidRPr="00132AEB" w:rsidP="00132AEB">
      <w:pPr>
        <w:pStyle w:val="BodyText"/>
      </w:pPr>
    </w:p>
    <w:p w:rsidR="00000000" w:rsidRPr="00132AEB" w:rsidP="00132AEB">
      <w:pPr>
        <w:pStyle w:val="AllowPageBreak"/>
      </w:pPr>
    </w:p>
    <w:p w:rsidR="00000000" w:rsidRPr="00132AEB" w:rsidP="00132AEB">
      <w:pPr>
        <w:pStyle w:val="Heading1"/>
      </w:pPr>
      <w:bookmarkStart w:id="6" w:name="O_1009493"/>
      <w:bookmarkEnd w:id="6"/>
      <w:r w:rsidRPr="00132AEB">
        <w:t>Foundation Skills</w:t>
      </w:r>
    </w:p>
    <w:p w:rsidR="00000000" w:rsidRPr="00132AEB" w:rsidP="002904CA">
      <w:pPr>
        <w:pStyle w:val="BodyText"/>
      </w:pPr>
      <w:r w:rsidRPr="00132AEB">
        <w:t>This section describes the language, literacy, numeracy and employment skills essential to performance in this unit but not explicit in th</w:t>
      </w:r>
      <w:r w:rsidRPr="00132AEB">
        <w:t>e performance criteria:</w:t>
      </w:r>
    </w:p>
    <w:p w:rsidR="00000000" w:rsidRPr="00132AEB" w:rsidP="00132AEB">
      <w:pPr>
        <w:pStyle w:val="ListBullet"/>
      </w:pPr>
      <w:r w:rsidRPr="00132AEB">
        <w:t>language skills to:</w:t>
      </w:r>
    </w:p>
    <w:p w:rsidR="00000000" w:rsidRPr="00132AEB" w:rsidP="00132AEB">
      <w:pPr>
        <w:pStyle w:val="ListBullet2"/>
      </w:pPr>
      <w:r w:rsidRPr="00132AEB">
        <w:t>provide information or advice using structure and language to suit the audience and engage minority groups</w:t>
      </w:r>
    </w:p>
    <w:p w:rsidR="00000000" w:rsidRPr="00132AEB" w:rsidP="00132AEB">
      <w:pPr>
        <w:pStyle w:val="ListBullet2"/>
      </w:pPr>
      <w:r w:rsidRPr="00132AEB">
        <w:t xml:space="preserve">use strategies to overcome language barriers </w:t>
      </w:r>
    </w:p>
    <w:p w:rsidR="00000000" w:rsidRPr="00132AEB" w:rsidP="00132AEB">
      <w:pPr>
        <w:pStyle w:val="ListBullet"/>
      </w:pPr>
      <w:r w:rsidRPr="00132AEB">
        <w:t xml:space="preserve">reading skills to interpret: </w:t>
      </w:r>
    </w:p>
    <w:p w:rsidR="00000000" w:rsidRPr="00132AEB" w:rsidP="00132AEB">
      <w:pPr>
        <w:pStyle w:val="ListBullet2"/>
      </w:pPr>
      <w:r w:rsidRPr="00132AEB">
        <w:t>procedures and policies that clarify legal rights and responsibilities</w:t>
      </w:r>
    </w:p>
    <w:p w:rsidR="00000000" w:rsidRPr="00132AEB" w:rsidP="00132AEB">
      <w:pPr>
        <w:pStyle w:val="ListBullet2"/>
      </w:pPr>
      <w:r w:rsidRPr="00132AEB">
        <w:t>manufacturers’ instructions and equipment labels when checking, testing, calibrating and operating ETD equipment</w:t>
      </w:r>
    </w:p>
    <w:p w:rsidR="00000000" w:rsidRPr="00132AEB" w:rsidP="00132AEB">
      <w:pPr>
        <w:pStyle w:val="ListBullet"/>
      </w:pPr>
      <w:r w:rsidRPr="00132AEB">
        <w:t>speaking and listening skills to:</w:t>
      </w:r>
    </w:p>
    <w:p w:rsidR="00000000" w:rsidRPr="00132AEB" w:rsidP="00132AEB">
      <w:pPr>
        <w:pStyle w:val="ListBullet2"/>
      </w:pPr>
      <w:r w:rsidRPr="00132AEB">
        <w:t>give clear, sequenced instructions w</w:t>
      </w:r>
      <w:r w:rsidRPr="00132AEB">
        <w:t>hen assisting people through the screening process</w:t>
      </w:r>
    </w:p>
    <w:p w:rsidR="00000000" w:rsidRPr="00132AEB" w:rsidP="00132AEB">
      <w:pPr>
        <w:pStyle w:val="ListBullet2"/>
      </w:pPr>
      <w:r w:rsidRPr="00132AEB">
        <w:t>use questions to clarify understanding when receiving spoken information</w:t>
      </w:r>
    </w:p>
    <w:p w:rsidR="00000000" w:rsidRPr="00132AEB" w:rsidP="00132AEB">
      <w:pPr>
        <w:pStyle w:val="ListBullet"/>
      </w:pPr>
      <w:r w:rsidRPr="00132AEB">
        <w:t xml:space="preserve">numeracy skills to estimate time required to complete work tasks </w:t>
      </w:r>
    </w:p>
    <w:p w:rsidR="00000000" w:rsidRPr="00132AEB" w:rsidP="00132AEB">
      <w:pPr>
        <w:pStyle w:val="ListBullet"/>
      </w:pPr>
      <w:r w:rsidRPr="00132AEB">
        <w:t>problem solving skills to:</w:t>
      </w:r>
    </w:p>
    <w:p w:rsidR="00000000" w:rsidRPr="00132AEB" w:rsidP="00132AEB">
      <w:pPr>
        <w:pStyle w:val="ListBullet2"/>
      </w:pPr>
      <w:r w:rsidRPr="00132AEB">
        <w:t>identify equipment faults and malfunc</w:t>
      </w:r>
      <w:r w:rsidRPr="00132AEB">
        <w:t>tions</w:t>
      </w:r>
    </w:p>
    <w:p w:rsidR="00000000" w:rsidRPr="00132AEB" w:rsidP="00132AEB">
      <w:pPr>
        <w:pStyle w:val="ListBullet2"/>
      </w:pPr>
      <w:r w:rsidRPr="00132AEB">
        <w:t>apply contingency measures to respond to a double positive screening results</w:t>
      </w:r>
    </w:p>
    <w:p w:rsidR="00000000" w:rsidRPr="00132AEB" w:rsidP="00132AEB">
      <w:pPr>
        <w:pStyle w:val="ListBullet2"/>
      </w:pPr>
      <w:r w:rsidRPr="00132AEB">
        <w:t>recognise suspicious items and behaviours while applying screening procedures</w:t>
      </w:r>
    </w:p>
    <w:p w:rsidR="00000000" w:rsidRPr="00132AEB" w:rsidP="00132AEB">
      <w:pPr>
        <w:pStyle w:val="ListBullet"/>
      </w:pPr>
      <w:r w:rsidRPr="00132AEB">
        <w:t>teamwork skills to adjust personal communication styles in response to the opinions, values an</w:t>
      </w:r>
      <w:r w:rsidRPr="00132AEB">
        <w:t>d needs of others.</w:t>
      </w:r>
    </w:p>
    <w:p w:rsidR="00000000" w:rsidRPr="00132AEB" w:rsidP="00132AEB">
      <w:pPr>
        <w:pStyle w:val="AllowPageBreak"/>
      </w:pPr>
    </w:p>
    <w:p w:rsidR="00000000" w:rsidRPr="00132AEB" w:rsidP="00132AEB">
      <w:pPr>
        <w:pStyle w:val="Heading1"/>
      </w:pPr>
      <w:bookmarkStart w:id="7" w:name="O_1009492"/>
      <w:bookmarkEnd w:id="7"/>
      <w:r w:rsidRPr="00132AEB">
        <w:t>Unit Mapping Information</w:t>
      </w:r>
    </w:p>
    <w:p w:rsidR="00000000" w:rsidRPr="00132AEB" w:rsidP="002904CA">
      <w:pPr>
        <w:pStyle w:val="BodyText"/>
      </w:pPr>
      <w:r w:rsidRPr="00132AEB">
        <w:t>Supersedes and is equivalent to CPPSEC1009A Apply Explosive Trace Detection (ETD) procedures.</w:t>
      </w:r>
    </w:p>
    <w:p w:rsidR="00000000" w:rsidRPr="00132AEB" w:rsidP="00132AEB">
      <w:pPr>
        <w:pStyle w:val="Heading1"/>
      </w:pPr>
      <w:bookmarkStart w:id="8" w:name="O_1009485"/>
      <w:bookmarkEnd w:id="8"/>
      <w:r w:rsidRPr="00132AEB">
        <w:t>Links</w:t>
      </w:r>
    </w:p>
    <w:p w:rsidR="00000000" w:rsidRPr="00132AEB" w:rsidP="002904CA">
      <w:pPr>
        <w:pStyle w:val="BodyText"/>
      </w:pPr>
      <w:r w:rsidRPr="00132A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96E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32AEB" w:rsidP="00132AEB"/>
    <w:sectPr w:rsidSect="00132A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EB" w:rsidRPr="002904CA" w:rsidP="00290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CA" w:rsidP="00132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4CA" w:rsidP="00132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904CA" w:rsidP="00132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AEB" w:rsidRPr="002904CA" w:rsidP="00290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CA" w:rsidRPr="002D2AF8" w:rsidP="00132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CPPSEC3129 Conduct security screening using explosive trace detection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904CA" w:rsidP="00132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E82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61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5E9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AEB"/>
  </w:style>
  <w:style w:type="character" w:customStyle="1" w:styleId="Heading1Char">
    <w:name w:val="Heading 1 Char"/>
    <w:basedOn w:val="DefaultParagraphFont"/>
    <w:link w:val="Heading1"/>
    <w:rsid w:val="00132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A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2A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2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2AEB"/>
    <w:rPr>
      <w:b/>
      <w:spacing w:val="0"/>
    </w:rPr>
  </w:style>
  <w:style w:type="paragraph" w:customStyle="1" w:styleId="SuperTitle">
    <w:name w:val="SuperTitle"/>
    <w:basedOn w:val="Title"/>
    <w:rsid w:val="00132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2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AEB"/>
    <w:rPr>
      <w:i/>
    </w:rPr>
  </w:style>
  <w:style w:type="paragraph" w:styleId="Caption">
    <w:name w:val="caption"/>
    <w:basedOn w:val="BodyText"/>
    <w:next w:val="Normal"/>
    <w:qFormat/>
    <w:rsid w:val="00132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AEB"/>
  </w:style>
  <w:style w:type="paragraph" w:styleId="TableofFigures">
    <w:name w:val="table of figures"/>
    <w:basedOn w:val="Normal"/>
    <w:next w:val="Normal"/>
    <w:semiHidden/>
    <w:rsid w:val="00132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A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2AEB"/>
    <w:rPr>
      <w:rFonts w:ascii="Wingdings" w:hAnsi="Wingdings"/>
    </w:rPr>
  </w:style>
  <w:style w:type="paragraph" w:customStyle="1" w:styleId="TableHeading">
    <w:name w:val="Table Heading"/>
    <w:basedOn w:val="HeadingBase"/>
    <w:rsid w:val="00132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AEB"/>
    <w:rPr>
      <w:color w:val="0033CC"/>
      <w:u w:val="none"/>
    </w:rPr>
  </w:style>
  <w:style w:type="paragraph" w:customStyle="1" w:styleId="BodyTextRight">
    <w:name w:val="Body Text Right"/>
    <w:basedOn w:val="BodyText"/>
    <w:rsid w:val="00132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AEB"/>
    <w:rPr>
      <w:sz w:val="32"/>
    </w:rPr>
  </w:style>
  <w:style w:type="paragraph" w:customStyle="1" w:styleId="HeadingProcedure">
    <w:name w:val="Heading Procedure"/>
    <w:basedOn w:val="HeadingBase"/>
    <w:next w:val="Normal"/>
    <w:rsid w:val="00132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AEB"/>
    <w:pPr>
      <w:spacing w:before="60" w:after="60"/>
    </w:pPr>
  </w:style>
  <w:style w:type="paragraph" w:styleId="ListContinue">
    <w:name w:val="List Continue"/>
    <w:basedOn w:val="List"/>
    <w:rsid w:val="00132AEB"/>
    <w:pPr>
      <w:ind w:firstLine="0"/>
    </w:pPr>
  </w:style>
  <w:style w:type="paragraph" w:customStyle="1" w:styleId="ListNote">
    <w:name w:val="List Note"/>
    <w:basedOn w:val="List"/>
    <w:rsid w:val="00132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AEB"/>
    <w:rPr>
      <w:rFonts w:ascii="Courier New" w:hAnsi="Courier New"/>
    </w:rPr>
  </w:style>
  <w:style w:type="paragraph" w:customStyle="1" w:styleId="NoteBullet">
    <w:name w:val="Note Bullet"/>
    <w:basedOn w:val="Note"/>
    <w:rsid w:val="00132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A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2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AEB"/>
    <w:rPr>
      <w:b/>
      <w:smallCaps/>
    </w:rPr>
  </w:style>
  <w:style w:type="paragraph" w:customStyle="1" w:styleId="TableListNumber">
    <w:name w:val="Table List Number"/>
    <w:basedOn w:val="ListNumber"/>
    <w:rsid w:val="00132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AEB"/>
    <w:pPr>
      <w:numPr>
        <w:numId w:val="9"/>
      </w:numPr>
    </w:pPr>
  </w:style>
  <w:style w:type="paragraph" w:customStyle="1" w:styleId="ListAlpha2">
    <w:name w:val="List Alpha 2"/>
    <w:basedOn w:val="List2"/>
    <w:rsid w:val="00132AEB"/>
    <w:pPr>
      <w:numPr>
        <w:numId w:val="8"/>
      </w:numPr>
    </w:pPr>
  </w:style>
  <w:style w:type="paragraph" w:styleId="List2">
    <w:name w:val="List 2"/>
    <w:basedOn w:val="BodyText"/>
    <w:rsid w:val="00132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A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A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2AEB"/>
    <w:pPr>
      <w:numPr>
        <w:numId w:val="4"/>
      </w:numPr>
    </w:pPr>
  </w:style>
  <w:style w:type="paragraph" w:styleId="ListContinue2">
    <w:name w:val="List Continue 2"/>
    <w:basedOn w:val="List2"/>
    <w:rsid w:val="00132AEB"/>
    <w:pPr>
      <w:ind w:firstLine="0"/>
    </w:pPr>
  </w:style>
  <w:style w:type="paragraph" w:styleId="ListContinue3">
    <w:name w:val="List Continue 3"/>
    <w:basedOn w:val="List3"/>
    <w:rsid w:val="00132AEB"/>
    <w:pPr>
      <w:ind w:left="1021" w:firstLine="0"/>
    </w:pPr>
  </w:style>
  <w:style w:type="paragraph" w:styleId="ListContinue4">
    <w:name w:val="List Continue 4"/>
    <w:basedOn w:val="List4"/>
    <w:rsid w:val="00132AEB"/>
    <w:pPr>
      <w:ind w:firstLine="0"/>
    </w:pPr>
  </w:style>
  <w:style w:type="paragraph" w:styleId="ListContinue5">
    <w:name w:val="List Continue 5"/>
    <w:basedOn w:val="List5"/>
    <w:rsid w:val="00132AEB"/>
    <w:pPr>
      <w:ind w:firstLine="0"/>
    </w:pPr>
  </w:style>
  <w:style w:type="paragraph" w:styleId="ListNumber3">
    <w:name w:val="List Number 3"/>
    <w:basedOn w:val="List3"/>
    <w:rsid w:val="00132AEB"/>
    <w:pPr>
      <w:numPr>
        <w:numId w:val="5"/>
      </w:numPr>
    </w:pPr>
  </w:style>
  <w:style w:type="paragraph" w:styleId="ListNumber4">
    <w:name w:val="List Number 4"/>
    <w:basedOn w:val="List4"/>
    <w:rsid w:val="00132AEB"/>
    <w:pPr>
      <w:numPr>
        <w:numId w:val="6"/>
      </w:numPr>
    </w:pPr>
  </w:style>
  <w:style w:type="paragraph" w:styleId="ListNumber5">
    <w:name w:val="List Number 5"/>
    <w:basedOn w:val="List5"/>
    <w:rsid w:val="00132AEB"/>
    <w:pPr>
      <w:numPr>
        <w:numId w:val="7"/>
      </w:numPr>
    </w:pPr>
  </w:style>
  <w:style w:type="paragraph" w:styleId="BlockText">
    <w:name w:val="Block Text"/>
    <w:basedOn w:val="Normal"/>
    <w:rsid w:val="00132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AEB"/>
    <w:rPr>
      <w:sz w:val="16"/>
      <w:vertAlign w:val="superscript"/>
    </w:rPr>
  </w:style>
  <w:style w:type="character" w:customStyle="1" w:styleId="Symbols">
    <w:name w:val="Symbols"/>
    <w:basedOn w:val="DefaultParagraphFont"/>
    <w:rsid w:val="00132AEB"/>
    <w:rPr>
      <w:rFonts w:ascii="Symbol" w:hAnsi="Symbol"/>
    </w:rPr>
  </w:style>
  <w:style w:type="character" w:customStyle="1" w:styleId="MenuOptions">
    <w:name w:val="Menu Options"/>
    <w:basedOn w:val="DefaultParagraphFont"/>
    <w:rsid w:val="00132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AEB"/>
    <w:rPr>
      <w:b/>
    </w:rPr>
  </w:style>
  <w:style w:type="character" w:customStyle="1" w:styleId="Underlined">
    <w:name w:val="Underlined"/>
    <w:basedOn w:val="DefaultParagraphFont"/>
    <w:rsid w:val="00132AEB"/>
    <w:rPr>
      <w:u w:val="single"/>
    </w:rPr>
  </w:style>
  <w:style w:type="paragraph" w:customStyle="1" w:styleId="TableBodyTextRight">
    <w:name w:val="Table Body Text Right"/>
    <w:basedOn w:val="TableBodyText"/>
    <w:rsid w:val="00132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AEB"/>
    <w:rPr>
      <w:sz w:val="18"/>
    </w:rPr>
  </w:style>
  <w:style w:type="paragraph" w:customStyle="1" w:styleId="BodySmallRight">
    <w:name w:val="Body Small Right"/>
    <w:basedOn w:val="BodyTextRight"/>
    <w:rsid w:val="00132AEB"/>
    <w:rPr>
      <w:sz w:val="18"/>
      <w:szCs w:val="18"/>
    </w:rPr>
  </w:style>
  <w:style w:type="paragraph" w:customStyle="1" w:styleId="MarginEdition">
    <w:name w:val="Margin Edition"/>
    <w:basedOn w:val="MarginNote"/>
    <w:rsid w:val="00132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AEB"/>
    <w:rPr>
      <w:sz w:val="2"/>
      <w:szCs w:val="2"/>
    </w:rPr>
  </w:style>
  <w:style w:type="character" w:customStyle="1" w:styleId="Small">
    <w:name w:val="Small"/>
    <w:basedOn w:val="DefaultParagraphFont"/>
    <w:rsid w:val="00132AEB"/>
    <w:rPr>
      <w:sz w:val="16"/>
    </w:rPr>
  </w:style>
  <w:style w:type="paragraph" w:customStyle="1" w:styleId="WideTable">
    <w:name w:val="Wide Table"/>
    <w:basedOn w:val="Normal"/>
    <w:rsid w:val="00132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AEB"/>
  </w:style>
  <w:style w:type="paragraph" w:styleId="Quote">
    <w:name w:val="Quote"/>
    <w:basedOn w:val="Heading1"/>
    <w:link w:val="QuoteChar"/>
    <w:qFormat/>
    <w:rsid w:val="00132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AEB"/>
    <w:pPr>
      <w:pageBreakBefore/>
    </w:pPr>
  </w:style>
  <w:style w:type="paragraph" w:customStyle="1" w:styleId="Border">
    <w:name w:val="Border"/>
    <w:basedOn w:val="Normal"/>
    <w:qFormat/>
    <w:rsid w:val="00132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AEB"/>
    <w:rPr>
      <w:u w:val="single"/>
    </w:rPr>
  </w:style>
  <w:style w:type="character" w:customStyle="1" w:styleId="BoldandItalics">
    <w:name w:val="Bold and Italics"/>
    <w:qFormat/>
    <w:rsid w:val="00132AEB"/>
    <w:rPr>
      <w:b/>
      <w:i/>
      <w:u w:val="none"/>
    </w:rPr>
  </w:style>
  <w:style w:type="paragraph" w:styleId="BalloonText">
    <w:name w:val="Balloon Text"/>
    <w:basedOn w:val="Normal"/>
    <w:link w:val="BalloonTextChar"/>
    <w:rsid w:val="00132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AEB"/>
    <w:pPr>
      <w:spacing w:before="0" w:after="0"/>
    </w:pPr>
  </w:style>
  <w:style w:type="paragraph" w:customStyle="1" w:styleId="BodyTextBold">
    <w:name w:val="Body Text Bold"/>
    <w:basedOn w:val="BodyText"/>
    <w:qFormat/>
    <w:rsid w:val="00132AEB"/>
    <w:rPr>
      <w:b/>
    </w:rPr>
  </w:style>
  <w:style w:type="character" w:styleId="Hyperlink">
    <w:name w:val="Hyperlink"/>
    <w:basedOn w:val="DefaultParagraphFont"/>
    <w:uiPriority w:val="99"/>
    <w:unhideWhenUsed/>
    <w:rsid w:val="00290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3831</Characters>
  <Application>Microsoft Office Word</Application>
  <DocSecurity>0</DocSecurity>
  <Lines>106</Lines>
  <Paragraphs>67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CPPSEC3129 Conduct security screening using explosive trace detection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