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6CB" w:rsidP="007606CB">
      <w:pPr>
        <w:pStyle w:val="Title"/>
      </w:pPr>
      <w:r>
        <w:fldChar w:fldCharType="begin"/>
      </w:r>
      <w:r>
        <w:instrText xml:space="preserve"> TITLE   \* MERGEFORMAT </w:instrText>
      </w:r>
      <w:r>
        <w:fldChar w:fldCharType="separate"/>
      </w:r>
      <w:r>
        <w:t>CPPSEC3129 Conduct security screening using explosive trace detection equipment</w:t>
      </w:r>
      <w:r>
        <w:fldChar w:fldCharType="end"/>
      </w:r>
    </w:p>
    <w:p w:rsidR="007606CB" w:rsidP="007606CB">
      <w:pPr>
        <w:pStyle w:val="Version"/>
        <w:sectPr w:rsidSect="006A2C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CFC" w:rsidP="006A2CFC">
      <w:pPr>
        <w:pStyle w:val="SuperHeading"/>
      </w:pPr>
      <w:r w:rsidRPr="006A2CFC">
        <w:t>CPPSEC3129 Conduct security screening using explosive trace detection equipment</w:t>
      </w:r>
    </w:p>
    <w:p w:rsidR="00000000" w:rsidRPr="006A2CFC" w:rsidP="006A2CFC">
      <w:pPr>
        <w:pStyle w:val="Heading1"/>
      </w:pPr>
      <w:bookmarkStart w:id="1" w:name="O_1009491"/>
      <w:bookmarkEnd w:id="1"/>
      <w:r w:rsidRPr="006A2CFC">
        <w:t>Modification History</w:t>
      </w:r>
    </w:p>
    <w:p w:rsidR="00000000" w:rsidRPr="006A2CFC" w:rsidP="007606CB">
      <w:pPr>
        <w:pStyle w:val="BodyText"/>
      </w:pPr>
      <w:r w:rsidRPr="006A2CFC">
        <w:t>Release 1.</w:t>
      </w:r>
    </w:p>
    <w:p w:rsidR="00000000" w:rsidRPr="006A2CFC" w:rsidP="007606CB">
      <w:pPr>
        <w:pStyle w:val="BodyText"/>
      </w:pPr>
      <w:r w:rsidRPr="006A2CFC">
        <w:t>Supersedes and is equivalent to CPPSEC1009A Apply Explosive Trace Detection (ETD) procedures.</w:t>
      </w:r>
    </w:p>
    <w:p w:rsidR="00000000" w:rsidRPr="006A2CFC" w:rsidP="007606CB">
      <w:pPr>
        <w:pStyle w:val="BodyText"/>
      </w:pPr>
      <w:r w:rsidRPr="006A2CFC">
        <w:t>Updated to meet the Standards for Training Packages.</w:t>
      </w:r>
    </w:p>
    <w:p w:rsidR="00000000" w:rsidRPr="006A2CFC" w:rsidP="007606CB">
      <w:pPr>
        <w:pStyle w:val="BodyText"/>
      </w:pPr>
      <w:r w:rsidRPr="006A2CFC">
        <w:t>This version first released with CPP Property Services Training Package Version 7.0.</w:t>
      </w:r>
    </w:p>
    <w:p w:rsidR="00000000" w:rsidRPr="006A2CFC" w:rsidP="006A2CFC">
      <w:pPr>
        <w:pStyle w:val="Heading1"/>
      </w:pPr>
      <w:bookmarkStart w:id="2" w:name="O_1009497"/>
      <w:bookmarkEnd w:id="2"/>
      <w:r w:rsidRPr="006A2CFC">
        <w:t>Application</w:t>
      </w:r>
    </w:p>
    <w:p w:rsidR="00000000" w:rsidRPr="006A2CFC" w:rsidP="007606CB">
      <w:pPr>
        <w:pStyle w:val="BodyText"/>
      </w:pPr>
      <w:r w:rsidRPr="006A2CFC">
        <w:t xml:space="preserve">This unit specifies the skills and knowledge required to conduct security screening of </w:t>
      </w:r>
      <w:r w:rsidRPr="006A2CFC">
        <w:t>people using explosive trace detection (ETD) equipment.  ETD equipment can detect and indicate by means of an alarm, the presence of a target amount of explosive material.</w:t>
      </w:r>
    </w:p>
    <w:p w:rsidR="00000000" w:rsidRPr="006A2CFC" w:rsidP="007606CB">
      <w:pPr>
        <w:pStyle w:val="BodyText"/>
      </w:pPr>
      <w:r w:rsidRPr="006A2CFC">
        <w:t xml:space="preserve">It includes: </w:t>
      </w:r>
    </w:p>
    <w:p w:rsidR="00000000" w:rsidRPr="006A2CFC" w:rsidP="006A2CFC">
      <w:pPr>
        <w:pStyle w:val="ListBullet"/>
      </w:pPr>
      <w:r w:rsidRPr="006A2CFC">
        <w:t>checking, calibrating and operating EDT equipment following manufactu</w:t>
      </w:r>
      <w:r w:rsidRPr="006A2CFC">
        <w:t>rers’ specifications</w:t>
      </w:r>
    </w:p>
    <w:p w:rsidR="00000000" w:rsidRPr="006A2CFC" w:rsidP="006A2CFC">
      <w:pPr>
        <w:pStyle w:val="ListBullet"/>
      </w:pPr>
      <w:r w:rsidRPr="006A2CFC">
        <w:t>using sensitive spoken communication techniques to prepare people for ETD sampling, and using correct techniques to screen people and items using ETD equipment</w:t>
      </w:r>
    </w:p>
    <w:p w:rsidR="00000000" w:rsidRPr="006A2CFC" w:rsidP="006A2CFC">
      <w:pPr>
        <w:pStyle w:val="ListBullet"/>
      </w:pPr>
      <w:r w:rsidRPr="006A2CFC">
        <w:t xml:space="preserve">maintaining situational awareness and responding quickly to security risks </w:t>
      </w:r>
      <w:r w:rsidRPr="006A2CFC">
        <w:t>and positive and negative ETD results.</w:t>
      </w:r>
    </w:p>
    <w:p w:rsidR="00000000" w:rsidRPr="006A2CFC" w:rsidP="007606CB">
      <w:pPr>
        <w:pStyle w:val="BodyText"/>
      </w:pPr>
      <w:r w:rsidRPr="006A2CFC">
        <w:t>It applies to people working independently or under limited supervision as members of a security team.</w:t>
      </w:r>
    </w:p>
    <w:p w:rsidR="00000000" w:rsidRPr="006A2CFC" w:rsidP="007606CB">
      <w:pPr>
        <w:pStyle w:val="BodyText"/>
      </w:pPr>
      <w:r w:rsidRPr="006A2CFC">
        <w:t>This unit may form part of the licensing requirements for people engaged in security operations in those states an</w:t>
      </w:r>
      <w:r w:rsidRPr="006A2CFC">
        <w:t>d territories where these are regulated activities.</w:t>
      </w:r>
    </w:p>
    <w:p w:rsidR="00000000" w:rsidRPr="006A2CFC" w:rsidP="006A2CFC">
      <w:pPr>
        <w:pStyle w:val="Heading1"/>
      </w:pPr>
      <w:bookmarkStart w:id="3" w:name="O_1009496"/>
      <w:bookmarkEnd w:id="3"/>
      <w:r w:rsidRPr="006A2CFC">
        <w:t>Pre-requisite Unit</w:t>
      </w:r>
    </w:p>
    <w:p w:rsidR="00000000" w:rsidRPr="006A2CFC" w:rsidP="007606CB">
      <w:pPr>
        <w:pStyle w:val="BodyText"/>
      </w:pPr>
      <w:r w:rsidRPr="006A2CFC">
        <w:t>Nil</w:t>
      </w:r>
    </w:p>
    <w:p w:rsidR="00000000" w:rsidRPr="006A2CFC" w:rsidP="006A2CFC">
      <w:pPr>
        <w:pStyle w:val="Heading1"/>
      </w:pPr>
      <w:bookmarkStart w:id="4" w:name="O_1009495"/>
      <w:bookmarkEnd w:id="4"/>
      <w:r w:rsidRPr="006A2CFC">
        <w:t>Unit Sector</w:t>
      </w:r>
    </w:p>
    <w:p w:rsidR="00000000" w:rsidRPr="006A2CFC" w:rsidP="007606CB">
      <w:pPr>
        <w:pStyle w:val="BodyText"/>
      </w:pPr>
      <w:r w:rsidRPr="006A2CFC">
        <w:t>Security operations</w:t>
      </w:r>
    </w:p>
    <w:p w:rsidR="00000000" w:rsidRPr="006A2CFC" w:rsidP="006A2CFC">
      <w:pPr>
        <w:pStyle w:val="Heading1"/>
      </w:pPr>
      <w:bookmarkStart w:id="5" w:name="O_1009494"/>
      <w:bookmarkEnd w:id="5"/>
      <w:r w:rsidRPr="006A2CFC">
        <w:t>Elements and Performance Criteria</w:t>
      </w:r>
    </w:p>
    <w:tbl>
      <w:tblPr>
        <w:tblW w:w="0" w:type="auto"/>
        <w:tblLayout w:type="fixed"/>
        <w:tblCellMar>
          <w:left w:w="62" w:type="dxa"/>
          <w:right w:w="62" w:type="dxa"/>
        </w:tblCellMar>
        <w:tblLook w:val="0000"/>
      </w:tblPr>
      <w:tblGrid>
        <w:gridCol w:w="2380"/>
        <w:gridCol w:w="6615"/>
      </w:tblGrid>
      <w:tr w:rsidTr="006A2CFC">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CFC">
            <w:pPr>
              <w:pStyle w:val="BodyText"/>
              <w:rPr>
                <w:lang w:val="en-NZ"/>
              </w:rPr>
            </w:pPr>
            <w:r w:rsidRPr="006A2CFC">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CFC">
            <w:pPr>
              <w:pStyle w:val="BodyText"/>
              <w:rPr>
                <w:lang w:val="en-NZ"/>
              </w:rPr>
            </w:pPr>
            <w:r w:rsidRPr="006A2CFC">
              <w:t>Performance criteria describe what needs to be done to demonstrate achievement of the element.</w:t>
            </w:r>
          </w:p>
        </w:tc>
      </w:tr>
      <w:tr w:rsidTr="006A2CFC">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2CFC">
            <w:pPr>
              <w:pStyle w:val="BodyText"/>
              <w:rPr>
                <w:lang w:val="en-NZ"/>
              </w:rPr>
            </w:pPr>
            <w:r w:rsidRPr="006A2CFC">
              <w:t>1.</w:t>
            </w:r>
            <w:r w:rsidRPr="006A2CFC">
              <w:tab/>
              <w:t>Prepare for screening using ETD equipment.</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A2CFC" w:rsidP="006A2CFC">
            <w:pPr>
              <w:pStyle w:val="BodyText"/>
            </w:pPr>
            <w:r w:rsidRPr="006A2CFC">
              <w:t>1.1</w:t>
            </w:r>
            <w:r w:rsidRPr="006A2CFC">
              <w:tab/>
              <w:t>Review workplace procedures and policies to ensure compliance with legal rights and responsibilities when cond</w:t>
            </w:r>
            <w:r w:rsidRPr="006A2CFC">
              <w:t>ucting security screening using ETD equipment.</w:t>
            </w:r>
          </w:p>
          <w:p w:rsidR="00000000" w:rsidP="006A2CFC">
            <w:pPr>
              <w:pStyle w:val="BodyText"/>
              <w:rPr>
                <w:lang w:val="en-NZ"/>
              </w:rPr>
            </w:pPr>
            <w:r w:rsidRPr="006A2CFC">
              <w:t>1.2</w:t>
            </w:r>
            <w:r w:rsidRPr="006A2CFC">
              <w:tab/>
              <w:t>Follow manufacturers’ instructions to prepare, check and calibrate ETD equipment, and rectify or report problems to relevant persons.</w:t>
            </w:r>
          </w:p>
        </w:tc>
      </w:tr>
      <w:tr w:rsidTr="006A2CFC">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2CFC">
            <w:pPr>
              <w:pStyle w:val="BodyText"/>
              <w:rPr>
                <w:lang w:val="en-NZ"/>
              </w:rPr>
            </w:pPr>
            <w:r w:rsidRPr="006A2CFC">
              <w:t>2.</w:t>
            </w:r>
            <w:r w:rsidRPr="006A2CFC">
              <w:tab/>
              <w:t>Conduct ETD sampling and testing.</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A2CFC" w:rsidP="006A2CFC">
            <w:pPr>
              <w:pStyle w:val="BodyText"/>
            </w:pPr>
            <w:r w:rsidRPr="006A2CFC">
              <w:t>2.1</w:t>
            </w:r>
            <w:r w:rsidRPr="006A2CFC">
              <w:tab/>
              <w:t>Select person and items for E</w:t>
            </w:r>
            <w:r w:rsidRPr="006A2CFC">
              <w:t xml:space="preserve">TD screening, and explain EDT screening procedures using interpersonal techniques and communication that accounts for individual social and cultural differences. </w:t>
            </w:r>
          </w:p>
          <w:p w:rsidR="00000000" w:rsidRPr="006A2CFC" w:rsidP="006A2CFC">
            <w:pPr>
              <w:pStyle w:val="BodyText"/>
            </w:pPr>
            <w:r w:rsidRPr="006A2CFC">
              <w:t>2.2</w:t>
            </w:r>
            <w:r w:rsidRPr="006A2CFC">
              <w:tab/>
              <w:t>Use an ETD wand to screen person and items following workplace procedures.</w:t>
            </w:r>
          </w:p>
          <w:p w:rsidR="00000000" w:rsidP="006A2CFC">
            <w:pPr>
              <w:pStyle w:val="BodyText"/>
              <w:rPr>
                <w:lang w:val="en-NZ"/>
              </w:rPr>
            </w:pPr>
            <w:r w:rsidRPr="006A2CFC">
              <w:t>2.3</w:t>
            </w:r>
            <w:r w:rsidRPr="006A2CFC">
              <w:tab/>
              <w:t>Test sampl</w:t>
            </w:r>
            <w:r w:rsidRPr="006A2CFC">
              <w:t>e using ETD equipment following workplace procedures.</w:t>
            </w:r>
          </w:p>
        </w:tc>
      </w:tr>
      <w:tr w:rsidTr="006A2CFC">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CFC">
            <w:pPr>
              <w:pStyle w:val="BodyText"/>
              <w:rPr>
                <w:lang w:val="en-NZ"/>
              </w:rPr>
            </w:pPr>
            <w:r w:rsidRPr="006A2CFC">
              <w:t>3.</w:t>
            </w:r>
            <w:r w:rsidRPr="006A2CFC">
              <w:tab/>
              <w:t>Respond to sample results and potential security risks.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CFC" w:rsidP="006A2CFC">
            <w:pPr>
              <w:pStyle w:val="BodyText"/>
            </w:pPr>
            <w:r w:rsidRPr="006A2CFC">
              <w:t>3.1</w:t>
            </w:r>
            <w:r w:rsidRPr="006A2CFC">
              <w:tab/>
              <w:t>Recognise positive and negative results and repeat testing following workplace procedures.</w:t>
            </w:r>
          </w:p>
          <w:p w:rsidR="00000000" w:rsidRPr="006A2CFC" w:rsidP="006A2CFC">
            <w:pPr>
              <w:pStyle w:val="BodyText"/>
            </w:pPr>
            <w:r w:rsidRPr="006A2CFC">
              <w:t>3.2</w:t>
            </w:r>
            <w:r w:rsidRPr="006A2CFC">
              <w:tab/>
            </w:r>
            <w:r w:rsidRPr="006A2CFC">
              <w:t>Take appropriate action to respond to a double positive result, and request assistance from relevant persons.</w:t>
            </w:r>
          </w:p>
          <w:p w:rsidR="00000000" w:rsidRPr="006A2CFC" w:rsidP="006A2CFC">
            <w:pPr>
              <w:pStyle w:val="BodyText"/>
            </w:pPr>
            <w:r w:rsidRPr="006A2CFC">
              <w:t>3.3</w:t>
            </w:r>
            <w:r w:rsidRPr="006A2CFC">
              <w:tab/>
              <w:t>Monitor persons and items in the screening area to maintain situational awareness and to respond promptly to potential security risks.</w:t>
            </w:r>
          </w:p>
          <w:p w:rsidR="00000000" w:rsidRPr="006A2CFC" w:rsidP="006A2CFC">
            <w:pPr>
              <w:pStyle w:val="BodyText"/>
            </w:pPr>
            <w:r w:rsidRPr="006A2CFC">
              <w:t>3.4</w:t>
            </w:r>
            <w:r w:rsidRPr="006A2CFC">
              <w:tab/>
              <w:t>Rec</w:t>
            </w:r>
            <w:r w:rsidRPr="006A2CFC">
              <w:t>ord results of screening using ETD equipment using workplace documentation.</w:t>
            </w:r>
          </w:p>
        </w:tc>
      </w:tr>
    </w:tbl>
    <w:p w:rsidR="00000000" w:rsidRPr="006A2CFC" w:rsidP="006A2CFC">
      <w:pPr>
        <w:pStyle w:val="BodyText"/>
      </w:pPr>
    </w:p>
    <w:p w:rsidR="00000000" w:rsidRPr="006A2CFC" w:rsidP="006A2CFC">
      <w:pPr>
        <w:pStyle w:val="AllowPageBreak"/>
      </w:pPr>
    </w:p>
    <w:p w:rsidR="00000000" w:rsidRPr="006A2CFC" w:rsidP="006A2CFC">
      <w:pPr>
        <w:pStyle w:val="Heading1"/>
      </w:pPr>
      <w:bookmarkStart w:id="6" w:name="O_1009493"/>
      <w:bookmarkEnd w:id="6"/>
      <w:r w:rsidRPr="006A2CFC">
        <w:t>Foundation Skills</w:t>
      </w:r>
    </w:p>
    <w:p w:rsidR="00000000" w:rsidRPr="006A2CFC" w:rsidP="007606CB">
      <w:pPr>
        <w:pStyle w:val="BodyText"/>
      </w:pPr>
      <w:r w:rsidRPr="006A2CFC">
        <w:t>This section describes the language, literacy, numeracy and employment skills essential to performance in this unit but not explicit in the p</w:t>
      </w:r>
      <w:r w:rsidRPr="006A2CFC">
        <w:t>erformance criteria:</w:t>
      </w:r>
    </w:p>
    <w:p w:rsidR="00000000" w:rsidRPr="006A2CFC" w:rsidP="006A2CFC">
      <w:pPr>
        <w:pStyle w:val="ListBullet"/>
      </w:pPr>
      <w:r w:rsidRPr="006A2CFC">
        <w:t>language skills to:</w:t>
      </w:r>
    </w:p>
    <w:p w:rsidR="00000000" w:rsidRPr="006A2CFC" w:rsidP="006A2CFC">
      <w:pPr>
        <w:pStyle w:val="ListBullet2"/>
      </w:pPr>
      <w:r w:rsidRPr="006A2CFC">
        <w:t>provide information or advice using structure and language to suit the audience and engage minority groups</w:t>
      </w:r>
    </w:p>
    <w:p w:rsidR="00000000" w:rsidRPr="006A2CFC" w:rsidP="006A2CFC">
      <w:pPr>
        <w:pStyle w:val="ListBullet2"/>
      </w:pPr>
      <w:r w:rsidRPr="006A2CFC">
        <w:t xml:space="preserve">use strategies to overcome language barriers </w:t>
      </w:r>
    </w:p>
    <w:p w:rsidR="00000000" w:rsidRPr="006A2CFC" w:rsidP="006A2CFC">
      <w:pPr>
        <w:pStyle w:val="ListBullet"/>
      </w:pPr>
      <w:r w:rsidRPr="006A2CFC">
        <w:t xml:space="preserve">reading skills to interpret: </w:t>
      </w:r>
    </w:p>
    <w:p w:rsidR="00000000" w:rsidRPr="006A2CFC" w:rsidP="006A2CFC">
      <w:pPr>
        <w:pStyle w:val="ListBullet2"/>
      </w:pPr>
      <w:r w:rsidRPr="006A2CFC">
        <w:t>procedures and policies that clarify legal rights and responsibilities</w:t>
      </w:r>
    </w:p>
    <w:p w:rsidR="00000000" w:rsidRPr="006A2CFC" w:rsidP="006A2CFC">
      <w:pPr>
        <w:pStyle w:val="ListBullet2"/>
      </w:pPr>
      <w:r w:rsidRPr="006A2CFC">
        <w:t>manufacturers’ instructions and equipment labels when checking, testing, calibrating and operating ETD equipment</w:t>
      </w:r>
    </w:p>
    <w:p w:rsidR="00000000" w:rsidRPr="006A2CFC" w:rsidP="006A2CFC">
      <w:pPr>
        <w:pStyle w:val="ListBullet"/>
      </w:pPr>
      <w:r w:rsidRPr="006A2CFC">
        <w:t>speaking and listening skills to:</w:t>
      </w:r>
    </w:p>
    <w:p w:rsidR="00000000" w:rsidRPr="006A2CFC" w:rsidP="006A2CFC">
      <w:pPr>
        <w:pStyle w:val="ListBullet2"/>
      </w:pPr>
      <w:r w:rsidRPr="006A2CFC">
        <w:t>give clear, sequenced instructions w</w:t>
      </w:r>
      <w:r w:rsidRPr="006A2CFC">
        <w:t>hen assisting people through the screening process</w:t>
      </w:r>
    </w:p>
    <w:p w:rsidR="00000000" w:rsidRPr="006A2CFC" w:rsidP="006A2CFC">
      <w:pPr>
        <w:pStyle w:val="ListBullet2"/>
      </w:pPr>
      <w:r w:rsidRPr="006A2CFC">
        <w:t>use questions to clarify understanding when receiving spoken information</w:t>
      </w:r>
    </w:p>
    <w:p w:rsidR="00000000" w:rsidRPr="006A2CFC" w:rsidP="006A2CFC">
      <w:pPr>
        <w:pStyle w:val="ListBullet"/>
      </w:pPr>
      <w:r w:rsidRPr="006A2CFC">
        <w:t xml:space="preserve">numeracy skills to estimate time required to complete work tasks </w:t>
      </w:r>
    </w:p>
    <w:p w:rsidR="00000000" w:rsidRPr="006A2CFC" w:rsidP="006A2CFC">
      <w:pPr>
        <w:pStyle w:val="ListBullet"/>
      </w:pPr>
      <w:r w:rsidRPr="006A2CFC">
        <w:t>problem solving skills to:</w:t>
      </w:r>
    </w:p>
    <w:p w:rsidR="00000000" w:rsidRPr="006A2CFC" w:rsidP="006A2CFC">
      <w:pPr>
        <w:pStyle w:val="ListBullet2"/>
      </w:pPr>
      <w:r w:rsidRPr="006A2CFC">
        <w:t>identify equipment faults and malfunc</w:t>
      </w:r>
      <w:r w:rsidRPr="006A2CFC">
        <w:t>tions</w:t>
      </w:r>
    </w:p>
    <w:p w:rsidR="00000000" w:rsidRPr="006A2CFC" w:rsidP="006A2CFC">
      <w:pPr>
        <w:pStyle w:val="ListBullet2"/>
      </w:pPr>
      <w:r w:rsidRPr="006A2CFC">
        <w:t>apply contingency measures to respond to a double positive screening results</w:t>
      </w:r>
    </w:p>
    <w:p w:rsidR="00000000" w:rsidRPr="006A2CFC" w:rsidP="006A2CFC">
      <w:pPr>
        <w:pStyle w:val="ListBullet2"/>
      </w:pPr>
      <w:r w:rsidRPr="006A2CFC">
        <w:t>recognise suspicious items and behaviours while applying screening procedures</w:t>
      </w:r>
    </w:p>
    <w:p w:rsidR="00000000" w:rsidRPr="006A2CFC" w:rsidP="006A2CFC">
      <w:pPr>
        <w:pStyle w:val="ListBullet"/>
      </w:pPr>
      <w:r w:rsidRPr="006A2CFC">
        <w:t>teamwork skills to adjust perso</w:t>
      </w:r>
      <w:r w:rsidRPr="006A2CFC">
        <w:t>nal communication styles in response to the opinions, values and needs of others.</w:t>
      </w:r>
    </w:p>
    <w:p w:rsidR="00000000" w:rsidRPr="006A2CFC" w:rsidP="006A2CFC">
      <w:pPr>
        <w:pStyle w:val="AllowPageBreak"/>
      </w:pPr>
    </w:p>
    <w:p w:rsidR="00000000" w:rsidRPr="006A2CFC" w:rsidP="006A2CFC">
      <w:pPr>
        <w:pStyle w:val="Heading1"/>
      </w:pPr>
      <w:bookmarkStart w:id="7" w:name="O_1009492"/>
      <w:bookmarkEnd w:id="7"/>
      <w:r w:rsidRPr="006A2CFC">
        <w:t>Unit Mapping Information</w:t>
      </w:r>
    </w:p>
    <w:p w:rsidR="00000000" w:rsidRPr="006A2CFC" w:rsidP="007606CB">
      <w:pPr>
        <w:pStyle w:val="BodyText"/>
      </w:pPr>
      <w:r w:rsidRPr="006A2CFC">
        <w:t>Supersedes and is equivalent to CPPSEC1009A Apply Explosive Trace Detection (ETD) procedures.</w:t>
      </w:r>
    </w:p>
    <w:p w:rsidR="00000000" w:rsidRPr="006A2CFC" w:rsidP="006A2CFC">
      <w:pPr>
        <w:pStyle w:val="Heading1"/>
      </w:pPr>
      <w:bookmarkStart w:id="8" w:name="O_1009485"/>
      <w:bookmarkEnd w:id="8"/>
      <w:r w:rsidRPr="006A2CFC">
        <w:t>Links</w:t>
      </w:r>
    </w:p>
    <w:p w:rsidR="00000000" w:rsidRPr="006A2CFC" w:rsidP="007606CB">
      <w:pPr>
        <w:pStyle w:val="BodyText"/>
      </w:pPr>
      <w:r w:rsidRPr="006A2CFC">
        <w:t>Companion v</w:t>
      </w:r>
      <w:r w:rsidRPr="006A2CFC">
        <w:t xml:space="preserve">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44A75">
        <w:rPr>
          <w:rStyle w:val="Hyperlink"/>
        </w:rPr>
        <w:t>https://vetnet.gov.au/Pages/TrainingDocs.aspx?q=6f3f9672-30e8-4835-b348-205dfcf13d9b</w:t>
      </w:r>
      <w:r>
        <w:fldChar w:fldCharType="end"/>
      </w:r>
    </w:p>
    <w:p w:rsidR="00000000" w:rsidRPr="006A2CFC" w:rsidP="007606CB">
      <w:pPr>
        <w:pStyle w:val="BodyText"/>
        <w:sectPr w:rsidSect="006A2CFC">
          <w:headerReference w:type="default" r:id="rId10"/>
          <w:footerReference w:type="default" r:id="rId11"/>
          <w:pgSz w:w="11908" w:h="16833"/>
          <w:pgMar w:top="1702" w:right="1418" w:bottom="1702" w:left="1418" w:header="992" w:footer="992" w:gutter="0"/>
          <w:cols w:space="720"/>
          <w:noEndnote/>
          <w:docGrid w:linePitch="299"/>
        </w:sectPr>
      </w:pPr>
    </w:p>
    <w:p w:rsidR="00000000" w:rsidRPr="006A2CFC" w:rsidP="006A2CFC">
      <w:pPr>
        <w:pStyle w:val="SuperHeading"/>
      </w:pPr>
      <w:r w:rsidRPr="006A2CFC">
        <w:t>Assessment Requirements for CPPSEC3129 Conduct securit</w:t>
      </w:r>
      <w:r w:rsidRPr="006A2CFC">
        <w:t>y screening using explosive trace detection equipment</w:t>
      </w:r>
    </w:p>
    <w:p w:rsidR="00000000" w:rsidRPr="006A2CFC" w:rsidP="006A2CFC">
      <w:pPr>
        <w:pStyle w:val="Heading1"/>
      </w:pPr>
      <w:bookmarkStart w:id="9" w:name="O_1009487"/>
      <w:bookmarkEnd w:id="9"/>
      <w:r w:rsidRPr="006A2CFC">
        <w:t>Modification History</w:t>
      </w:r>
    </w:p>
    <w:p w:rsidR="00000000" w:rsidRPr="006A2CFC" w:rsidP="007606CB">
      <w:pPr>
        <w:pStyle w:val="BodyText"/>
      </w:pPr>
      <w:r w:rsidRPr="006A2CFC">
        <w:t>Release 1.</w:t>
      </w:r>
    </w:p>
    <w:p w:rsidR="00000000" w:rsidRPr="006A2CFC" w:rsidP="007606CB">
      <w:pPr>
        <w:pStyle w:val="BodyText"/>
      </w:pPr>
      <w:r w:rsidRPr="006A2CFC">
        <w:t>Supersedes and is equivalent to CPPSEC1009A Apply Explosive Trace Detection (ETD) procedures.</w:t>
      </w:r>
    </w:p>
    <w:p w:rsidR="00000000" w:rsidRPr="006A2CFC" w:rsidP="007606CB">
      <w:pPr>
        <w:pStyle w:val="BodyText"/>
      </w:pPr>
      <w:r w:rsidRPr="006A2CFC">
        <w:t>Updated to meet the Standards for Training Packages.</w:t>
      </w:r>
    </w:p>
    <w:p w:rsidR="00000000" w:rsidRPr="006A2CFC" w:rsidP="007606CB">
      <w:pPr>
        <w:pStyle w:val="BodyText"/>
      </w:pPr>
      <w:r w:rsidRPr="006A2CFC">
        <w:t>This version first released with CPP Property Services Training Package Version 7.0.</w:t>
      </w:r>
    </w:p>
    <w:p w:rsidR="00000000" w:rsidRPr="006A2CFC" w:rsidP="006A2CFC">
      <w:pPr>
        <w:pStyle w:val="Heading1"/>
      </w:pPr>
      <w:bookmarkStart w:id="10" w:name="O_1009490"/>
      <w:bookmarkEnd w:id="10"/>
      <w:r w:rsidRPr="006A2CFC">
        <w:t>Performance Evidence</w:t>
      </w:r>
    </w:p>
    <w:p w:rsidR="00000000" w:rsidRPr="006A2CFC" w:rsidP="007606CB">
      <w:pPr>
        <w:pStyle w:val="BodyText"/>
      </w:pPr>
      <w:r w:rsidRPr="006A2CFC">
        <w:t>To demonstrate competency in this unit, a person must on two separate occasions, conduct security screening using explosive trace d</w:t>
      </w:r>
      <w:r w:rsidRPr="006A2CFC">
        <w:t>etection (ETD) equipment, involving, on each occasion:</w:t>
      </w:r>
    </w:p>
    <w:p w:rsidR="00000000" w:rsidRPr="006A2CFC" w:rsidP="006A2CFC">
      <w:pPr>
        <w:pStyle w:val="ListBullet"/>
      </w:pPr>
      <w:r w:rsidRPr="006A2CFC">
        <w:t>giving clear spoken instructions to direct the person for ETD sampling and screening</w:t>
      </w:r>
    </w:p>
    <w:p w:rsidR="00000000" w:rsidRPr="006A2CFC" w:rsidP="006A2CFC">
      <w:pPr>
        <w:pStyle w:val="ListBullet"/>
      </w:pPr>
      <w:r w:rsidRPr="006A2CFC">
        <w:t>responding to one double-positive and one positive-negative result and implementing appropriate responses for each.</w:t>
      </w:r>
    </w:p>
    <w:p w:rsidR="00000000" w:rsidRPr="006A2CFC" w:rsidP="007606CB">
      <w:pPr>
        <w:pStyle w:val="BodyText"/>
      </w:pPr>
      <w:r w:rsidRPr="006A2CFC">
        <w:t>In doing this, the person must meet the performance criteria for this unit.</w:t>
      </w:r>
    </w:p>
    <w:p w:rsidR="00000000" w:rsidRPr="006A2CFC" w:rsidP="006A2CFC">
      <w:pPr>
        <w:pStyle w:val="Heading1"/>
      </w:pPr>
      <w:bookmarkStart w:id="11" w:name="O_1009489"/>
      <w:bookmarkEnd w:id="11"/>
      <w:r w:rsidRPr="006A2CFC">
        <w:t>Knowledge Evidence</w:t>
      </w:r>
    </w:p>
    <w:p w:rsidR="00000000" w:rsidRPr="006A2CFC" w:rsidP="007606CB">
      <w:pPr>
        <w:pStyle w:val="BodyText"/>
      </w:pPr>
      <w:r w:rsidRPr="006A2CFC">
        <w:t>To be competent in this unit, a person must demonstrate knowledge of:</w:t>
      </w:r>
    </w:p>
    <w:p w:rsidR="00000000" w:rsidRPr="006A2CFC" w:rsidP="006A2CFC">
      <w:pPr>
        <w:pStyle w:val="ListBullet"/>
      </w:pPr>
      <w:r w:rsidRPr="006A2CFC">
        <w:t>standard operating procedures and workplace policies that ensure compl</w:t>
      </w:r>
      <w:r w:rsidRPr="006A2CFC">
        <w:t>iance with legislative and regulatory requirements when conducting security screening using explosive trace detection equipment:</w:t>
      </w:r>
    </w:p>
    <w:p w:rsidR="00000000" w:rsidRPr="006A2CFC" w:rsidP="006A2CFC">
      <w:pPr>
        <w:pStyle w:val="ListBullet2"/>
      </w:pPr>
      <w:r w:rsidRPr="006A2CFC">
        <w:t>anti-discrimination and diversity</w:t>
      </w:r>
    </w:p>
    <w:p w:rsidR="00000000" w:rsidRPr="006A2CFC" w:rsidP="006A2CFC">
      <w:pPr>
        <w:pStyle w:val="ListBullet2"/>
      </w:pPr>
      <w:r w:rsidRPr="006A2CFC">
        <w:t>counter terrorism</w:t>
      </w:r>
    </w:p>
    <w:p w:rsidR="00000000" w:rsidRPr="006A2CFC" w:rsidP="006A2CFC">
      <w:pPr>
        <w:pStyle w:val="ListBullet2"/>
      </w:pPr>
      <w:r w:rsidRPr="006A2CFC">
        <w:t>dangerous goods</w:t>
      </w:r>
    </w:p>
    <w:p w:rsidR="00000000" w:rsidRPr="006A2CFC" w:rsidP="006A2CFC">
      <w:pPr>
        <w:pStyle w:val="ListBullet2"/>
      </w:pPr>
      <w:r w:rsidRPr="006A2CFC">
        <w:t>duty of care</w:t>
      </w:r>
    </w:p>
    <w:p w:rsidR="00000000" w:rsidRPr="006A2CFC" w:rsidP="006A2CFC">
      <w:pPr>
        <w:pStyle w:val="ListBullet2"/>
      </w:pPr>
      <w:r w:rsidRPr="006A2CFC">
        <w:t>limits of own authority</w:t>
      </w:r>
    </w:p>
    <w:p w:rsidR="00000000" w:rsidRPr="006A2CFC" w:rsidP="006A2CFC">
      <w:pPr>
        <w:pStyle w:val="ListBullet2"/>
      </w:pPr>
      <w:r w:rsidRPr="006A2CFC">
        <w:t>workplace health and safety (WHS)</w:t>
      </w:r>
    </w:p>
    <w:p w:rsidR="00000000" w:rsidRPr="006A2CFC" w:rsidP="006A2CFC">
      <w:pPr>
        <w:pStyle w:val="ListBullet"/>
      </w:pPr>
      <w:r w:rsidRPr="006A2CFC">
        <w:t>client service standards for requesting ETD sampling and explaining screening procedures</w:t>
      </w:r>
    </w:p>
    <w:p w:rsidR="00000000" w:rsidRPr="006A2CFC" w:rsidP="006A2CFC">
      <w:pPr>
        <w:pStyle w:val="ListBullet"/>
      </w:pPr>
      <w:r w:rsidRPr="006A2CFC">
        <w:t>current national terrorism threat level and context</w:t>
      </w:r>
    </w:p>
    <w:p w:rsidR="00000000" w:rsidRPr="006A2CFC" w:rsidP="006A2CFC">
      <w:pPr>
        <w:pStyle w:val="ListBullet"/>
      </w:pPr>
      <w:r w:rsidRPr="006A2CFC">
        <w:t>methods and techniques involved in sampling and screening people and items using</w:t>
      </w:r>
      <w:r w:rsidRPr="006A2CFC">
        <w:t xml:space="preserve"> ETD equipment </w:t>
      </w:r>
    </w:p>
    <w:p w:rsidR="00000000" w:rsidRPr="006A2CFC" w:rsidP="006A2CFC">
      <w:pPr>
        <w:pStyle w:val="ListBullet"/>
      </w:pPr>
      <w:r w:rsidRPr="006A2CFC">
        <w:t>potential hazards, risks and security risk situations that can arise when screening people and personal effects using ETD equipment</w:t>
      </w:r>
    </w:p>
    <w:p w:rsidR="00000000" w:rsidRPr="006A2CFC" w:rsidP="006A2CFC">
      <w:pPr>
        <w:pStyle w:val="ListBullet"/>
      </w:pPr>
      <w:r w:rsidRPr="006A2CFC">
        <w:t>procedures for checking, testing, calibrating and operating ETD equipment</w:t>
      </w:r>
    </w:p>
    <w:p w:rsidR="00000000" w:rsidRPr="006A2CFC" w:rsidP="006A2CFC">
      <w:pPr>
        <w:pStyle w:val="ListBullet"/>
      </w:pPr>
      <w:r w:rsidRPr="006A2CFC">
        <w:t>procedures for conducting ETD swab</w:t>
      </w:r>
      <w:r w:rsidRPr="006A2CFC">
        <w:t xml:space="preserve"> testing and analysis</w:t>
      </w:r>
    </w:p>
    <w:p w:rsidR="00000000" w:rsidRPr="006A2CFC" w:rsidP="006A2CFC">
      <w:pPr>
        <w:pStyle w:val="ListBullet"/>
      </w:pPr>
      <w:r w:rsidRPr="006A2CFC">
        <w:t>procedures for obtaining verbal consent to ETD sampling</w:t>
      </w:r>
    </w:p>
    <w:p w:rsidR="00000000" w:rsidRPr="006A2CFC" w:rsidP="006A2CFC">
      <w:pPr>
        <w:pStyle w:val="ListBullet"/>
      </w:pPr>
      <w:r w:rsidRPr="006A2CFC">
        <w:t>procedures for reporting the detection of explosive material and other security risks</w:t>
      </w:r>
    </w:p>
    <w:p w:rsidR="00000000" w:rsidRPr="006A2CFC" w:rsidP="006A2CFC">
      <w:pPr>
        <w:pStyle w:val="ListBullet"/>
      </w:pPr>
      <w:r w:rsidRPr="006A2CFC">
        <w:t>procedures for responding to double-positive ETD detection</w:t>
      </w:r>
    </w:p>
    <w:p w:rsidR="00000000" w:rsidRPr="006A2CFC" w:rsidP="006A2CFC">
      <w:pPr>
        <w:pStyle w:val="ListBullet"/>
      </w:pPr>
      <w:r w:rsidRPr="006A2CFC">
        <w:t>procedures for when people do not consent to ETD sampling</w:t>
      </w:r>
    </w:p>
    <w:p w:rsidR="00000000" w:rsidRPr="006A2CFC" w:rsidP="006A2CFC">
      <w:pPr>
        <w:pStyle w:val="ListBullet"/>
      </w:pPr>
      <w:r w:rsidRPr="006A2CFC">
        <w:t>purpose of Australia</w:t>
      </w:r>
      <w:r>
        <w:t>’</w:t>
      </w:r>
      <w:r w:rsidRPr="006A2CFC">
        <w:t xml:space="preserve">s </w:t>
      </w:r>
      <w:r w:rsidRPr="006A2CFC">
        <w:rPr>
          <w:rStyle w:val="Emphasis"/>
        </w:rPr>
        <w:t>Strategy for Protecting Crowded Places from Terrorism</w:t>
      </w:r>
      <w:r w:rsidRPr="006A2CFC">
        <w:t xml:space="preserve"> and understanding of:</w:t>
      </w:r>
    </w:p>
    <w:p w:rsidR="00000000" w:rsidRPr="006A2CFC" w:rsidP="006A2CFC">
      <w:pPr>
        <w:pStyle w:val="ListBullet2"/>
      </w:pPr>
      <w:r w:rsidRPr="006A2CFC">
        <w:t>definition of crowded places</w:t>
      </w:r>
    </w:p>
    <w:p w:rsidR="00000000" w:rsidRPr="006A2CFC" w:rsidP="006A2CFC">
      <w:pPr>
        <w:pStyle w:val="ListBullet2"/>
      </w:pPr>
      <w:r w:rsidRPr="006A2CFC">
        <w:t>key security issues for crowded places</w:t>
      </w:r>
    </w:p>
    <w:p w:rsidR="00000000" w:rsidRPr="006A2CFC" w:rsidP="006A2CFC">
      <w:pPr>
        <w:pStyle w:val="ListBullet2"/>
      </w:pPr>
      <w:r w:rsidRPr="006A2CFC">
        <w:t>objectives, characteristics an</w:t>
      </w:r>
      <w:r w:rsidRPr="006A2CFC">
        <w:t>d identification of active armed offenders</w:t>
      </w:r>
    </w:p>
    <w:p w:rsidR="00000000" w:rsidRPr="006A2CFC" w:rsidP="006A2CFC">
      <w:pPr>
        <w:pStyle w:val="ListBullet2"/>
      </w:pPr>
      <w:r w:rsidRPr="006A2CFC">
        <w:t>definition of hostile vehicles and methods of attack</w:t>
      </w:r>
    </w:p>
    <w:p w:rsidR="00000000" w:rsidRPr="006A2CFC" w:rsidP="006A2CFC">
      <w:pPr>
        <w:pStyle w:val="ListBullet2"/>
      </w:pPr>
      <w:r w:rsidRPr="006A2CFC">
        <w:t>signs of chemical weapons attack and recommended response</w:t>
      </w:r>
    </w:p>
    <w:p w:rsidR="00000000" w:rsidRPr="006A2CFC" w:rsidP="006A2CFC">
      <w:pPr>
        <w:pStyle w:val="ListBullet2"/>
      </w:pPr>
      <w:r w:rsidRPr="006A2CFC">
        <w:t>general features of improvised explosive devices and recommended incident response</w:t>
      </w:r>
    </w:p>
    <w:p w:rsidR="00000000" w:rsidRPr="006A2CFC" w:rsidP="006A2CFC">
      <w:pPr>
        <w:pStyle w:val="ListBullet"/>
      </w:pPr>
      <w:r w:rsidRPr="006A2CFC">
        <w:t>site emergency and</w:t>
      </w:r>
      <w:r w:rsidRPr="006A2CFC">
        <w:t xml:space="preserve"> evacuation plans and procedures</w:t>
      </w:r>
    </w:p>
    <w:p w:rsidR="00000000" w:rsidRPr="006A2CFC" w:rsidP="006A2CFC">
      <w:pPr>
        <w:pStyle w:val="ListBullet"/>
      </w:pPr>
      <w:r w:rsidRPr="006A2CFC">
        <w:t>situations requiring assistance when screening people and items using ETD equipment</w:t>
      </w:r>
    </w:p>
    <w:p w:rsidR="00000000" w:rsidRPr="006A2CFC" w:rsidP="006A2CFC">
      <w:pPr>
        <w:pStyle w:val="ListBullet"/>
      </w:pPr>
      <w:r w:rsidRPr="006A2CFC">
        <w:t>surveillance techniques for monitoring security of the screening point</w:t>
      </w:r>
    </w:p>
    <w:p w:rsidR="00000000" w:rsidRPr="006A2CFC" w:rsidP="006A2CFC">
      <w:pPr>
        <w:pStyle w:val="ListBullet"/>
      </w:pPr>
      <w:r w:rsidRPr="006A2CFC">
        <w:t>techniques for overcoming language barriers to ensure correct inform</w:t>
      </w:r>
      <w:r w:rsidRPr="006A2CFC">
        <w:t>ation exchange</w:t>
      </w:r>
    </w:p>
    <w:p w:rsidR="00000000" w:rsidRPr="006A2CFC" w:rsidP="006A2CFC">
      <w:pPr>
        <w:pStyle w:val="ListBullet"/>
      </w:pPr>
      <w:r w:rsidRPr="006A2CFC">
        <w:t>types of behavioural anomalies and suspect behaviours that can indicate criminal activity, hostile reconnaissance or the potential for terrorist activity</w:t>
      </w:r>
    </w:p>
    <w:p w:rsidR="00000000" w:rsidRPr="006A2CFC" w:rsidP="006A2CFC">
      <w:pPr>
        <w:pStyle w:val="ListBullet"/>
      </w:pPr>
      <w:r w:rsidRPr="006A2CFC">
        <w:t>ways that individual and social cultural differences may be expressed.</w:t>
      </w:r>
    </w:p>
    <w:p w:rsidR="00000000" w:rsidRPr="006A2CFC" w:rsidP="006A2CFC">
      <w:pPr>
        <w:pStyle w:val="AllowPageBreak"/>
      </w:pPr>
    </w:p>
    <w:p w:rsidR="00000000" w:rsidRPr="006A2CFC" w:rsidP="006A2CFC">
      <w:pPr>
        <w:pStyle w:val="Heading1"/>
      </w:pPr>
      <w:bookmarkStart w:id="12" w:name="O_1009488"/>
      <w:bookmarkEnd w:id="12"/>
      <w:r w:rsidRPr="006A2CFC">
        <w:t>Assessment Conditions</w:t>
      </w:r>
    </w:p>
    <w:p w:rsidR="00000000" w:rsidRPr="006A2CFC" w:rsidP="007606CB">
      <w:pPr>
        <w:pStyle w:val="BodyText"/>
      </w:pPr>
      <w:r w:rsidRPr="006A2CFC">
        <w:t>Assessors must satisfy the requirements for assessors contained in the Standards for Registered Training Organisations (RTOs).  All individuals engaged by a licensed RTO for security licensing purposes must hold both a securi</w:t>
      </w:r>
      <w:r w:rsidRPr="006A2CFC">
        <w:t xml:space="preserve">ty trainer’s licence (where such a licence exists within the relevant jurisdiction) and a security operative licence that authorises the security activities about which the individual is training/assessing.  Regulators may impose other assessor conditions </w:t>
      </w:r>
      <w:r w:rsidRPr="006A2CFC">
        <w:t>to meet jurisdictional assessment requirements.</w:t>
      </w:r>
    </w:p>
    <w:p w:rsidR="00000000" w:rsidRPr="006A2CFC" w:rsidP="007606CB">
      <w:pPr>
        <w:pStyle w:val="BodyText"/>
      </w:pPr>
      <w:r w:rsidRPr="006A2CFC">
        <w:t>Assessment of performance must be undertaken in a simulated workplace environment. Tasks are to be performed to the level of proficiency and within the time limits that would be expected in a workplace.</w:t>
      </w:r>
    </w:p>
    <w:p w:rsidR="00000000" w:rsidRPr="006A2CFC" w:rsidP="007606CB">
      <w:pPr>
        <w:pStyle w:val="BodyText"/>
      </w:pPr>
      <w:r w:rsidRPr="006A2CFC">
        <w:t>The a</w:t>
      </w:r>
      <w:r w:rsidRPr="006A2CFC">
        <w:t>ssessment of performance evidence must be done by direct observation of the learner by an assessor, either by an assessor observing the learner physically or by an assessor observing the learner via audio and visual media.</w:t>
      </w:r>
    </w:p>
    <w:p w:rsidR="00000000" w:rsidRPr="006A2CFC" w:rsidP="007606CB">
      <w:pPr>
        <w:pStyle w:val="BodyText"/>
      </w:pPr>
      <w:r w:rsidRPr="006A2CFC">
        <w:t>Assessment of performance evidenc</w:t>
      </w:r>
      <w:r w:rsidRPr="006A2CFC">
        <w:t xml:space="preserve">e is only valid where the learner has been assessed performing the role of a security officer. </w:t>
      </w:r>
    </w:p>
    <w:p w:rsidR="00000000" w:rsidRPr="006A2CFC" w:rsidP="007606CB">
      <w:pPr>
        <w:pStyle w:val="BodyText"/>
      </w:pPr>
      <w:r w:rsidRPr="006A2CFC">
        <w:t>Assessors are responsible for ensuring that the person demonstrating competency has access to:</w:t>
      </w:r>
    </w:p>
    <w:p w:rsidR="00000000" w:rsidRPr="006A2CFC" w:rsidP="006A2CFC">
      <w:pPr>
        <w:pStyle w:val="ListBullet"/>
      </w:pPr>
      <w:r w:rsidRPr="006A2CFC">
        <w:t>specifications of assessment tasks to conduct security screening</w:t>
      </w:r>
      <w:r w:rsidRPr="006A2CFC">
        <w:t xml:space="preserve"> using ETD equipment</w:t>
      </w:r>
    </w:p>
    <w:p w:rsidR="00000000" w:rsidRPr="006A2CFC" w:rsidP="006A2CFC">
      <w:pPr>
        <w:pStyle w:val="ListBullet"/>
      </w:pPr>
      <w:r w:rsidRPr="006A2CFC">
        <w:t>appropriate documents, materials, equipment and personal protective equipment (PPE) currently used in industry including operational ETD equipment and scenarios to allow achievement of the performance evidence</w:t>
      </w:r>
    </w:p>
    <w:p w:rsidR="00000000" w:rsidRPr="006A2CFC" w:rsidP="006A2CFC">
      <w:pPr>
        <w:pStyle w:val="ListBullet"/>
      </w:pPr>
      <w:r w:rsidRPr="006A2CFC">
        <w:t>standard operating proced</w:t>
      </w:r>
      <w:r w:rsidRPr="006A2CFC">
        <w:t>ures and workplace policies related to the security work role and which specify requirements for complying with industry legislation and regulations.</w:t>
      </w:r>
    </w:p>
    <w:p w:rsidR="00000000" w:rsidRPr="006A2CFC" w:rsidP="006A2CFC">
      <w:pPr>
        <w:pStyle w:val="AllowPageBreak"/>
      </w:pPr>
    </w:p>
    <w:p w:rsidR="00000000" w:rsidRPr="006A2CFC" w:rsidP="006A2CFC">
      <w:pPr>
        <w:pStyle w:val="Heading1"/>
      </w:pPr>
      <w:bookmarkStart w:id="13" w:name="O_1009486"/>
      <w:bookmarkEnd w:id="13"/>
      <w:r w:rsidRPr="006A2CFC">
        <w:t>Links</w:t>
      </w:r>
    </w:p>
    <w:p w:rsidR="00000000" w:rsidRPr="006A2CFC" w:rsidP="007606CB">
      <w:pPr>
        <w:pStyle w:val="BodyText"/>
      </w:pPr>
      <w:r w:rsidRPr="006A2CF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44A75">
        <w:rPr>
          <w:rStyle w:val="Hyperlink"/>
        </w:rPr>
        <w:t>https://vetnet.gov.au/Pages/TrainingDocs.aspx?q=6f3f9672-30e8-4835-b348-205dfcf13d9b</w:t>
      </w:r>
      <w:r>
        <w:fldChar w:fldCharType="end"/>
      </w:r>
    </w:p>
    <w:p w:rsidR="00000000" w:rsidRPr="006A2CFC" w:rsidP="006A2CFC"/>
    <w:sectPr w:rsidSect="006A2C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FC" w:rsidRPr="007606CB" w:rsidP="007606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CB" w:rsidP="006A2C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06CB" w:rsidP="006A2C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606CB" w:rsidP="006A2C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FC" w:rsidP="006A2CFC">
    <w:pPr>
      <w:pStyle w:val="Footer"/>
      <w:framePr w:wrap="around"/>
    </w:pPr>
    <w:r>
      <w:fldChar w:fldCharType="begin"/>
    </w:r>
    <w:r>
      <w:instrText xml:space="preserve"> DOCPROPERTY  Subject  \* MERGEFORMAT </w:instrText>
    </w:r>
    <w:r>
      <w:fldChar w:fldCharType="separate"/>
    </w:r>
    <w:r w:rsidR="007606CB">
      <w:t>Approved</w:t>
    </w:r>
    <w:r w:rsidR="007606CB">
      <w:fldChar w:fldCharType="end"/>
    </w:r>
    <w:r>
      <w:tab/>
      <w:t xml:space="preserve">Page </w:t>
    </w:r>
    <w:r>
      <w:fldChar w:fldCharType="begin"/>
    </w:r>
    <w:r>
      <w:instrText xml:space="preserve"> PAGE  \* Arabic  \* MERGEFORMAT </w:instrText>
    </w:r>
    <w:r>
      <w:fldChar w:fldCharType="separate"/>
    </w:r>
    <w:r w:rsidR="007606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06CB">
      <w:rPr>
        <w:noProof/>
      </w:rPr>
      <w:t>4</w:t>
    </w:r>
    <w:r>
      <w:rPr>
        <w:noProof/>
      </w:rPr>
      <w:fldChar w:fldCharType="end"/>
    </w:r>
  </w:p>
  <w:p w:rsidR="006A2CFC" w:rsidP="006A2CFC">
    <w:pPr>
      <w:pStyle w:val="Footer"/>
      <w:framePr w:wrap="around"/>
    </w:pPr>
    <w:r>
      <w:t xml:space="preserve">© Commonwealth of Australia, </w:t>
    </w:r>
    <w:r>
      <w:fldChar w:fldCharType="begin"/>
    </w:r>
    <w:r>
      <w:instrText xml:space="preserve"> DATE  \@ "yyyy"  \* MERGEFORMAT </w:instrText>
    </w:r>
    <w:r>
      <w:fldChar w:fldCharType="separate"/>
    </w:r>
    <w:r w:rsidR="007606CB">
      <w:rPr>
        <w:noProof/>
      </w:rPr>
      <w:t>2025</w:t>
    </w:r>
    <w:r>
      <w:fldChar w:fldCharType="end"/>
    </w:r>
    <w:r>
      <w:tab/>
    </w:r>
    <w:r>
      <w:fldChar w:fldCharType="begin"/>
    </w:r>
    <w:r>
      <w:instrText xml:space="preserve"> DOCPROPERTY  Author  \* MERGEFORMAT </w:instrText>
    </w:r>
    <w:r>
      <w:fldChar w:fldCharType="separate"/>
    </w:r>
    <w:r w:rsidR="007606CB">
      <w:t>BuildSkills Australia</w:t>
    </w:r>
    <w:r w:rsidR="007606CB">
      <w:fldChar w:fldCharType="end"/>
    </w:r>
  </w:p>
  <w:p w:rsidR="006A2CFC" w:rsidP="006A2C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CFC" w:rsidRPr="007606CB" w:rsidP="007606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CB" w:rsidRPr="002D2AF8" w:rsidP="006A2CFC">
    <w:pPr>
      <w:pStyle w:val="Header"/>
      <w:framePr w:wrap="around"/>
    </w:pPr>
    <w:r>
      <w:fldChar w:fldCharType="begin"/>
    </w:r>
    <w:r>
      <w:instrText xml:space="preserve"> TITLE   \* MERGEFORMAT </w:instrText>
    </w:r>
    <w:r>
      <w:fldChar w:fldCharType="separate"/>
    </w:r>
    <w:r>
      <w:t>CPPSEC3129 Conduct security screening using explosive trace detection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06CB" w:rsidP="006A2C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FC" w:rsidRPr="002D2AF8" w:rsidP="006A2CFC">
    <w:pPr>
      <w:pStyle w:val="Header"/>
      <w:framePr w:wrap="around"/>
    </w:pPr>
    <w:r>
      <w:fldChar w:fldCharType="begin"/>
    </w:r>
    <w:r>
      <w:instrText xml:space="preserve"> TITLE   \* MERGEFORMAT </w:instrText>
    </w:r>
    <w:r>
      <w:fldChar w:fldCharType="separate"/>
    </w:r>
    <w:r w:rsidR="007606CB">
      <w:t>CPPSEC3129 Conduct security screening using explosive trace detection equipment</w:t>
    </w:r>
    <w:r w:rsidR="007606CB">
      <w:fldChar w:fldCharType="end"/>
    </w:r>
    <w:r>
      <w:tab/>
      <w:t xml:space="preserve">Date this document was generated: </w:t>
    </w:r>
    <w:r>
      <w:fldChar w:fldCharType="begin"/>
    </w:r>
    <w:r>
      <w:instrText xml:space="preserve"> CREATEDATE  \@ "d MMMM yyyy"  \* MERGEFORMAT </w:instrText>
    </w:r>
    <w:r>
      <w:fldChar w:fldCharType="separate"/>
    </w:r>
    <w:r w:rsidR="007606CB">
      <w:rPr>
        <w:noProof/>
      </w:rPr>
      <w:t>2 March 2025</w:t>
    </w:r>
    <w:r>
      <w:fldChar w:fldCharType="end"/>
    </w:r>
  </w:p>
  <w:p w:rsidR="006A2CFC" w:rsidP="006A2C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548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546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143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C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CFC"/>
    <w:pPr>
      <w:spacing w:before="360" w:after="60"/>
      <w:outlineLvl w:val="0"/>
    </w:pPr>
    <w:rPr>
      <w:sz w:val="32"/>
    </w:rPr>
  </w:style>
  <w:style w:type="paragraph" w:styleId="Heading2">
    <w:name w:val="heading 2"/>
    <w:basedOn w:val="HeadingBase"/>
    <w:next w:val="BodyText"/>
    <w:link w:val="Heading2Char"/>
    <w:qFormat/>
    <w:rsid w:val="006A2CFC"/>
    <w:pPr>
      <w:keepLines/>
      <w:spacing w:before="240" w:after="120"/>
      <w:outlineLvl w:val="1"/>
    </w:pPr>
    <w:rPr>
      <w:sz w:val="28"/>
      <w:szCs w:val="40"/>
    </w:rPr>
  </w:style>
  <w:style w:type="paragraph" w:styleId="Heading3">
    <w:name w:val="heading 3"/>
    <w:basedOn w:val="HeadingBase"/>
    <w:next w:val="BodyText"/>
    <w:link w:val="Heading3Char"/>
    <w:qFormat/>
    <w:rsid w:val="006A2CFC"/>
    <w:pPr>
      <w:spacing w:before="180" w:after="120"/>
      <w:outlineLvl w:val="2"/>
    </w:pPr>
    <w:rPr>
      <w:spacing w:val="-10"/>
      <w:kern w:val="32"/>
    </w:rPr>
  </w:style>
  <w:style w:type="paragraph" w:styleId="Heading4">
    <w:name w:val="heading 4"/>
    <w:basedOn w:val="HeadingBase"/>
    <w:next w:val="BodyText"/>
    <w:link w:val="Heading4Char"/>
    <w:qFormat/>
    <w:rsid w:val="006A2CFC"/>
    <w:pPr>
      <w:spacing w:before="160" w:after="120"/>
      <w:outlineLvl w:val="3"/>
    </w:pPr>
    <w:rPr>
      <w:sz w:val="22"/>
    </w:rPr>
  </w:style>
  <w:style w:type="paragraph" w:styleId="Heading5">
    <w:name w:val="heading 5"/>
    <w:basedOn w:val="HeadingBase"/>
    <w:next w:val="Normal"/>
    <w:link w:val="Heading5Char"/>
    <w:qFormat/>
    <w:rsid w:val="006A2CFC"/>
    <w:pPr>
      <w:spacing w:before="80"/>
      <w:outlineLvl w:val="4"/>
    </w:pPr>
    <w:rPr>
      <w:color w:val="918585"/>
      <w:sz w:val="20"/>
    </w:rPr>
  </w:style>
  <w:style w:type="paragraph" w:styleId="Heading6">
    <w:name w:val="heading 6"/>
    <w:basedOn w:val="HeadingBase"/>
    <w:next w:val="Normal"/>
    <w:link w:val="Heading6Char"/>
    <w:qFormat/>
    <w:rsid w:val="006A2CFC"/>
    <w:pPr>
      <w:spacing w:before="60"/>
      <w:outlineLvl w:val="5"/>
    </w:pPr>
    <w:rPr>
      <w:color w:val="918585"/>
      <w:sz w:val="20"/>
    </w:rPr>
  </w:style>
  <w:style w:type="paragraph" w:styleId="Heading7">
    <w:name w:val="heading 7"/>
    <w:basedOn w:val="Normal"/>
    <w:next w:val="Normal"/>
    <w:link w:val="Heading7Char"/>
    <w:qFormat/>
    <w:rsid w:val="006A2CFC"/>
    <w:pPr>
      <w:ind w:left="720"/>
      <w:outlineLvl w:val="6"/>
    </w:pPr>
    <w:rPr>
      <w:i/>
    </w:rPr>
  </w:style>
  <w:style w:type="paragraph" w:styleId="Heading8">
    <w:name w:val="heading 8"/>
    <w:basedOn w:val="Normal"/>
    <w:next w:val="Normal"/>
    <w:link w:val="Heading8Char"/>
    <w:qFormat/>
    <w:rsid w:val="006A2CFC"/>
    <w:pPr>
      <w:ind w:left="720"/>
      <w:outlineLvl w:val="7"/>
    </w:pPr>
    <w:rPr>
      <w:i/>
    </w:rPr>
  </w:style>
  <w:style w:type="paragraph" w:styleId="Heading9">
    <w:name w:val="heading 9"/>
    <w:basedOn w:val="Normal"/>
    <w:next w:val="Normal"/>
    <w:link w:val="Heading9Char"/>
    <w:qFormat/>
    <w:rsid w:val="006A2CFC"/>
    <w:pPr>
      <w:ind w:left="720"/>
      <w:outlineLvl w:val="8"/>
    </w:pPr>
    <w:rPr>
      <w:i/>
    </w:rPr>
  </w:style>
  <w:style w:type="character" w:default="1" w:styleId="DefaultParagraphFont">
    <w:name w:val="Default Paragraph Font"/>
    <w:uiPriority w:val="1"/>
    <w:unhideWhenUsed/>
    <w:rsid w:val="006A2C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CFC"/>
  </w:style>
  <w:style w:type="character" w:customStyle="1" w:styleId="Heading1Char">
    <w:name w:val="Heading 1 Char"/>
    <w:basedOn w:val="DefaultParagraphFont"/>
    <w:link w:val="Heading1"/>
    <w:rsid w:val="006A2CFC"/>
    <w:rPr>
      <w:rFonts w:ascii="Times New Roman" w:eastAsia="Times New Roman" w:hAnsi="Times New Roman" w:cs="Times New Roman"/>
      <w:b/>
      <w:sz w:val="32"/>
      <w:szCs w:val="20"/>
      <w:lang w:eastAsia="en-US"/>
    </w:rPr>
  </w:style>
  <w:style w:type="paragraph" w:styleId="BodyText">
    <w:name w:val="Body Text"/>
    <w:basedOn w:val="Normal"/>
    <w:link w:val="BodyTextChar"/>
    <w:rsid w:val="006A2C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CFC"/>
    <w:rPr>
      <w:rFonts w:ascii="Times New Roman" w:eastAsia="Times New Roman" w:hAnsi="Times New Roman" w:cs="Times New Roman"/>
      <w:sz w:val="24"/>
      <w:lang w:eastAsia="en-US"/>
    </w:rPr>
  </w:style>
  <w:style w:type="paragraph" w:styleId="ListBullet">
    <w:name w:val="List Bullet"/>
    <w:basedOn w:val="List"/>
    <w:rsid w:val="006A2CFC"/>
    <w:pPr>
      <w:numPr>
        <w:numId w:val="12"/>
      </w:numPr>
      <w:tabs>
        <w:tab w:val="clear" w:pos="340"/>
      </w:tabs>
      <w:spacing w:before="40" w:after="40"/>
    </w:pPr>
  </w:style>
  <w:style w:type="paragraph" w:styleId="ListBullet2">
    <w:name w:val="List Bullet 2"/>
    <w:basedOn w:val="List2"/>
    <w:rsid w:val="006A2CFC"/>
    <w:pPr>
      <w:numPr>
        <w:numId w:val="13"/>
      </w:numPr>
      <w:tabs>
        <w:tab w:val="clear" w:pos="680"/>
      </w:tabs>
    </w:pPr>
  </w:style>
  <w:style w:type="character" w:styleId="Emphasis">
    <w:name w:val="Emphasis"/>
    <w:basedOn w:val="DefaultParagraphFont"/>
    <w:qFormat/>
    <w:rsid w:val="006A2CFC"/>
    <w:rPr>
      <w:i/>
    </w:rPr>
  </w:style>
  <w:style w:type="paragraph" w:customStyle="1" w:styleId="SuperHeading">
    <w:name w:val="SuperHeading"/>
    <w:basedOn w:val="Normal"/>
    <w:rsid w:val="006A2CFC"/>
    <w:pPr>
      <w:spacing w:before="240" w:after="120"/>
      <w:outlineLvl w:val="0"/>
    </w:pPr>
    <w:rPr>
      <w:rFonts w:ascii="Times New Roman" w:hAnsi="Times New Roman"/>
      <w:b/>
      <w:sz w:val="32"/>
    </w:rPr>
  </w:style>
  <w:style w:type="paragraph" w:customStyle="1" w:styleId="AllowPageBreak">
    <w:name w:val="AllowPageBreak"/>
    <w:rsid w:val="006A2C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C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C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C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C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C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C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C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CFC"/>
    <w:rPr>
      <w:rFonts w:ascii="Courier New" w:eastAsia="Times New Roman" w:hAnsi="Courier New" w:cs="Times New Roman"/>
      <w:i/>
      <w:szCs w:val="20"/>
      <w:lang w:eastAsia="en-US"/>
    </w:rPr>
  </w:style>
  <w:style w:type="paragraph" w:customStyle="1" w:styleId="HeadingBase">
    <w:name w:val="Heading Base"/>
    <w:rsid w:val="006A2C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CFC"/>
    <w:pPr>
      <w:tabs>
        <w:tab w:val="right" w:leader="dot" w:pos="9072"/>
      </w:tabs>
      <w:ind w:left="567"/>
    </w:pPr>
    <w:rPr>
      <w:szCs w:val="22"/>
    </w:rPr>
  </w:style>
  <w:style w:type="paragraph" w:customStyle="1" w:styleId="TOCBase">
    <w:name w:val="TOC Base"/>
    <w:rsid w:val="006A2C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CFC"/>
    <w:pPr>
      <w:tabs>
        <w:tab w:val="right" w:leader="dot" w:pos="9072"/>
      </w:tabs>
      <w:spacing w:before="40" w:after="40"/>
      <w:ind w:left="284"/>
    </w:pPr>
    <w:rPr>
      <w:rFonts w:ascii="Times New Roman" w:hAnsi="Times New Roman"/>
    </w:rPr>
  </w:style>
  <w:style w:type="paragraph" w:styleId="TOC1">
    <w:name w:val="toc 1"/>
    <w:basedOn w:val="TOCBase"/>
    <w:next w:val="Normal"/>
    <w:rsid w:val="006A2C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C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CFC"/>
    <w:rPr>
      <w:rFonts w:ascii="Times New Roman" w:eastAsia="Times New Roman" w:hAnsi="Times New Roman" w:cs="Times New Roman"/>
      <w:sz w:val="16"/>
      <w:lang w:eastAsia="en-US"/>
    </w:rPr>
  </w:style>
  <w:style w:type="paragraph" w:styleId="Title">
    <w:name w:val="Title"/>
    <w:basedOn w:val="HeadingBase"/>
    <w:link w:val="TitleChar"/>
    <w:qFormat/>
    <w:rsid w:val="006A2CFC"/>
    <w:pPr>
      <w:spacing w:before="5040"/>
      <w:jc w:val="center"/>
    </w:pPr>
    <w:rPr>
      <w:sz w:val="48"/>
      <w:szCs w:val="72"/>
      <w:lang w:val="en-US"/>
    </w:rPr>
  </w:style>
  <w:style w:type="character" w:customStyle="1" w:styleId="TitleChar">
    <w:name w:val="Title Char"/>
    <w:basedOn w:val="DefaultParagraphFont"/>
    <w:link w:val="Title"/>
    <w:rsid w:val="006A2C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CFC"/>
    <w:pPr>
      <w:tabs>
        <w:tab w:val="left" w:pos="3600"/>
        <w:tab w:val="left" w:pos="3958"/>
      </w:tabs>
    </w:pPr>
  </w:style>
  <w:style w:type="paragraph" w:styleId="List">
    <w:name w:val="List"/>
    <w:basedOn w:val="BodyText"/>
    <w:next w:val="BodyText"/>
    <w:rsid w:val="006A2CFC"/>
    <w:pPr>
      <w:tabs>
        <w:tab w:val="left" w:pos="340"/>
      </w:tabs>
      <w:spacing w:before="60" w:after="60"/>
      <w:ind w:left="340" w:hanging="340"/>
    </w:pPr>
  </w:style>
  <w:style w:type="paragraph" w:customStyle="1" w:styleId="Note">
    <w:name w:val="Note"/>
    <w:basedOn w:val="BodyText"/>
    <w:rsid w:val="006A2C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2CFC"/>
    <w:rPr>
      <w:b/>
      <w:spacing w:val="0"/>
    </w:rPr>
  </w:style>
  <w:style w:type="paragraph" w:customStyle="1" w:styleId="SuperTitle">
    <w:name w:val="SuperTitle"/>
    <w:basedOn w:val="Title"/>
    <w:rsid w:val="006A2CFC"/>
    <w:pPr>
      <w:framePr w:wrap="auto" w:hAnchor="text" w:y="6049"/>
    </w:pPr>
    <w:rPr>
      <w:color w:val="000000"/>
      <w:sz w:val="40"/>
    </w:rPr>
  </w:style>
  <w:style w:type="paragraph" w:customStyle="1" w:styleId="TOCTitle">
    <w:name w:val="TOCTitle"/>
    <w:basedOn w:val="Heading1"/>
    <w:rsid w:val="006A2CFC"/>
    <w:pPr>
      <w:spacing w:after="240"/>
      <w:jc w:val="center"/>
      <w:outlineLvl w:val="9"/>
    </w:pPr>
    <w:rPr>
      <w:caps/>
    </w:rPr>
  </w:style>
  <w:style w:type="paragraph" w:customStyle="1" w:styleId="Version">
    <w:name w:val="Version"/>
    <w:rsid w:val="006A2C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CFC"/>
    <w:pPr>
      <w:keepNext w:val="0"/>
      <w:tabs>
        <w:tab w:val="right" w:pos="4176"/>
      </w:tabs>
      <w:ind w:left="198" w:hanging="198"/>
    </w:pPr>
    <w:rPr>
      <w:rFonts w:ascii="Garamond" w:hAnsi="Garamond"/>
    </w:rPr>
  </w:style>
  <w:style w:type="paragraph" w:styleId="IndexHeading">
    <w:name w:val="index heading"/>
    <w:basedOn w:val="Normal"/>
    <w:next w:val="Index1"/>
    <w:semiHidden/>
    <w:rsid w:val="006A2CFC"/>
    <w:pPr>
      <w:spacing w:before="120" w:after="120"/>
    </w:pPr>
    <w:rPr>
      <w:rFonts w:ascii="Arial" w:hAnsi="Arial"/>
      <w:b/>
      <w:color w:val="918585"/>
      <w:sz w:val="24"/>
    </w:rPr>
  </w:style>
  <w:style w:type="paragraph" w:styleId="Header">
    <w:name w:val="header"/>
    <w:basedOn w:val="Normal"/>
    <w:link w:val="HeaderChar"/>
    <w:rsid w:val="006A2C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CFC"/>
    <w:rPr>
      <w:rFonts w:ascii="Times New Roman" w:eastAsia="Times New Roman" w:hAnsi="Times New Roman" w:cs="Times New Roman"/>
      <w:sz w:val="16"/>
      <w:szCs w:val="20"/>
      <w:lang w:val="en-GB" w:eastAsia="en-US"/>
    </w:rPr>
  </w:style>
  <w:style w:type="paragraph" w:customStyle="1" w:styleId="Chapter">
    <w:name w:val="Chapter"/>
    <w:basedOn w:val="Normal"/>
    <w:rsid w:val="006A2CFC"/>
    <w:pPr>
      <w:spacing w:before="240"/>
    </w:pPr>
    <w:rPr>
      <w:rFonts w:ascii="Times New Roman" w:hAnsi="Times New Roman"/>
      <w:smallCaps/>
      <w:spacing w:val="80"/>
      <w:sz w:val="28"/>
    </w:rPr>
  </w:style>
  <w:style w:type="paragraph" w:customStyle="1" w:styleId="InChapter">
    <w:name w:val="InChapter"/>
    <w:basedOn w:val="Heading3"/>
    <w:rsid w:val="006A2CFC"/>
    <w:pPr>
      <w:spacing w:after="240"/>
      <w:outlineLvl w:val="9"/>
    </w:pPr>
    <w:rPr>
      <w:noProof/>
    </w:rPr>
  </w:style>
  <w:style w:type="paragraph" w:styleId="Index2">
    <w:name w:val="index 2"/>
    <w:basedOn w:val="Normal"/>
    <w:next w:val="Normal"/>
    <w:semiHidden/>
    <w:rsid w:val="006A2CFC"/>
    <w:pPr>
      <w:tabs>
        <w:tab w:val="right" w:pos="4176"/>
      </w:tabs>
      <w:ind w:left="568" w:hanging="284"/>
    </w:pPr>
    <w:rPr>
      <w:rFonts w:ascii="Garamond" w:hAnsi="Garamond"/>
    </w:rPr>
  </w:style>
  <w:style w:type="paragraph" w:customStyle="1" w:styleId="Byline">
    <w:name w:val="Byline"/>
    <w:rsid w:val="006A2C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CFC"/>
    <w:pPr>
      <w:tabs>
        <w:tab w:val="clear" w:pos="3600"/>
        <w:tab w:val="clear" w:pos="3958"/>
      </w:tabs>
      <w:jc w:val="right"/>
    </w:pPr>
  </w:style>
  <w:style w:type="paragraph" w:styleId="Caption">
    <w:name w:val="caption"/>
    <w:basedOn w:val="BodyText"/>
    <w:next w:val="Normal"/>
    <w:qFormat/>
    <w:rsid w:val="006A2CFC"/>
    <w:pPr>
      <w:framePr w:w="2268" w:hSpace="181" w:vSpace="181" w:wrap="around" w:vAnchor="text" w:hAnchor="page" w:x="1135" w:y="285" w:anchorLock="1"/>
    </w:pPr>
    <w:rPr>
      <w:i/>
    </w:rPr>
  </w:style>
  <w:style w:type="paragraph" w:customStyle="1" w:styleId="MiniTOCTitle">
    <w:name w:val="MiniTOCTitle"/>
    <w:basedOn w:val="Heading4"/>
    <w:rsid w:val="006A2CFC"/>
    <w:pPr>
      <w:spacing w:before="240"/>
      <w:outlineLvl w:val="9"/>
    </w:pPr>
    <w:rPr>
      <w:noProof/>
      <w:sz w:val="24"/>
    </w:rPr>
  </w:style>
  <w:style w:type="paragraph" w:customStyle="1" w:styleId="MiniTOCItem">
    <w:name w:val="MiniTOCItem"/>
    <w:basedOn w:val="ListBullet"/>
    <w:rsid w:val="006A2CFC"/>
    <w:pPr>
      <w:numPr>
        <w:numId w:val="0"/>
      </w:numPr>
      <w:tabs>
        <w:tab w:val="right" w:leader="dot" w:pos="6521"/>
      </w:tabs>
      <w:spacing w:before="0" w:after="0"/>
    </w:pPr>
  </w:style>
  <w:style w:type="paragraph" w:customStyle="1" w:styleId="TOFTitle">
    <w:name w:val="TOFTitle"/>
    <w:basedOn w:val="TOCTitle"/>
    <w:rsid w:val="006A2CFC"/>
  </w:style>
  <w:style w:type="paragraph" w:styleId="TableofFigures">
    <w:name w:val="table of figures"/>
    <w:basedOn w:val="Normal"/>
    <w:next w:val="Normal"/>
    <w:semiHidden/>
    <w:rsid w:val="006A2CFC"/>
    <w:pPr>
      <w:tabs>
        <w:tab w:val="right" w:leader="dot" w:pos="9072"/>
      </w:tabs>
      <w:ind w:left="970" w:hanging="403"/>
    </w:pPr>
    <w:rPr>
      <w:rFonts w:ascii="Times New Roman" w:hAnsi="Times New Roman"/>
      <w:b/>
    </w:rPr>
  </w:style>
  <w:style w:type="paragraph" w:styleId="ListNumber">
    <w:name w:val="List Number"/>
    <w:basedOn w:val="List"/>
    <w:rsid w:val="006A2CFC"/>
    <w:pPr>
      <w:numPr>
        <w:numId w:val="15"/>
      </w:numPr>
      <w:tabs>
        <w:tab w:val="clear" w:pos="340"/>
      </w:tabs>
    </w:pPr>
  </w:style>
  <w:style w:type="character" w:customStyle="1" w:styleId="WingdingSymbols">
    <w:name w:val="Wingding Symbols"/>
    <w:rsid w:val="006A2CFC"/>
    <w:rPr>
      <w:rFonts w:ascii="Wingdings" w:hAnsi="Wingdings"/>
    </w:rPr>
  </w:style>
  <w:style w:type="paragraph" w:customStyle="1" w:styleId="TableHeading">
    <w:name w:val="Table Heading"/>
    <w:basedOn w:val="HeadingBase"/>
    <w:rsid w:val="006A2CFC"/>
    <w:pPr>
      <w:keepLines/>
      <w:pBdr>
        <w:bottom w:val="single" w:sz="6" w:space="1" w:color="918585"/>
      </w:pBdr>
      <w:spacing w:before="240"/>
    </w:pPr>
  </w:style>
  <w:style w:type="character" w:customStyle="1" w:styleId="HotSpot">
    <w:name w:val="HotSpot"/>
    <w:rsid w:val="006A2CFC"/>
    <w:rPr>
      <w:color w:val="0033CC"/>
      <w:u w:val="none"/>
    </w:rPr>
  </w:style>
  <w:style w:type="paragraph" w:customStyle="1" w:styleId="BodyTextRight">
    <w:name w:val="Body Text Right"/>
    <w:basedOn w:val="BodyText"/>
    <w:rsid w:val="006A2CFC"/>
    <w:pPr>
      <w:spacing w:before="0" w:after="0"/>
      <w:jc w:val="right"/>
    </w:pPr>
  </w:style>
  <w:style w:type="paragraph" w:styleId="Index3">
    <w:name w:val="index 3"/>
    <w:basedOn w:val="ListNumber2"/>
    <w:next w:val="Normal"/>
    <w:semiHidden/>
    <w:rsid w:val="006A2CFC"/>
    <w:pPr>
      <w:numPr>
        <w:numId w:val="0"/>
      </w:numPr>
      <w:tabs>
        <w:tab w:val="right" w:leader="dot" w:pos="4176"/>
      </w:tabs>
    </w:pPr>
  </w:style>
  <w:style w:type="paragraph" w:styleId="ListNumber2">
    <w:name w:val="List Number 2"/>
    <w:basedOn w:val="List2"/>
    <w:rsid w:val="006A2CFC"/>
    <w:pPr>
      <w:numPr>
        <w:numId w:val="10"/>
      </w:numPr>
      <w:tabs>
        <w:tab w:val="clear" w:pos="1060"/>
      </w:tabs>
    </w:pPr>
  </w:style>
  <w:style w:type="paragraph" w:customStyle="1" w:styleId="MarginNote">
    <w:name w:val="Margin Note"/>
    <w:basedOn w:val="BodyText"/>
    <w:rsid w:val="006A2C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C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C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CFC"/>
    <w:rPr>
      <w:sz w:val="32"/>
    </w:rPr>
  </w:style>
  <w:style w:type="paragraph" w:customStyle="1" w:styleId="HeadingProcedure">
    <w:name w:val="Heading Procedure"/>
    <w:basedOn w:val="HeadingBase"/>
    <w:next w:val="Normal"/>
    <w:rsid w:val="006A2CFC"/>
    <w:pPr>
      <w:tabs>
        <w:tab w:val="left" w:pos="0"/>
      </w:tabs>
      <w:spacing w:before="120" w:after="60"/>
    </w:pPr>
    <w:rPr>
      <w:i/>
      <w:color w:val="918585"/>
      <w:sz w:val="22"/>
    </w:rPr>
  </w:style>
  <w:style w:type="paragraph" w:customStyle="1" w:styleId="TableBodyText">
    <w:name w:val="Table Body Text"/>
    <w:basedOn w:val="BodyText"/>
    <w:rsid w:val="006A2CFC"/>
    <w:pPr>
      <w:spacing w:before="60" w:after="60"/>
    </w:pPr>
  </w:style>
  <w:style w:type="paragraph" w:styleId="ListContinue">
    <w:name w:val="List Continue"/>
    <w:basedOn w:val="List"/>
    <w:rsid w:val="006A2CFC"/>
    <w:pPr>
      <w:ind w:firstLine="0"/>
    </w:pPr>
  </w:style>
  <w:style w:type="paragraph" w:customStyle="1" w:styleId="ListNote">
    <w:name w:val="List Note"/>
    <w:basedOn w:val="List"/>
    <w:rsid w:val="006A2CFC"/>
    <w:pPr>
      <w:pBdr>
        <w:top w:val="single" w:sz="6" w:space="2" w:color="918585"/>
        <w:bottom w:val="single" w:sz="6" w:space="2" w:color="918585"/>
      </w:pBdr>
      <w:tabs>
        <w:tab w:val="left" w:pos="1021"/>
      </w:tabs>
      <w:ind w:firstLine="0"/>
    </w:pPr>
  </w:style>
  <w:style w:type="paragraph" w:customStyle="1" w:styleId="Warning">
    <w:name w:val="Warning"/>
    <w:basedOn w:val="BodyText"/>
    <w:rsid w:val="006A2CFC"/>
    <w:pPr>
      <w:shd w:val="clear" w:color="auto" w:fill="D9D9D9"/>
      <w:tabs>
        <w:tab w:val="left" w:pos="992"/>
      </w:tabs>
      <w:ind w:left="119" w:right="119"/>
    </w:pPr>
    <w:rPr>
      <w:sz w:val="20"/>
    </w:rPr>
  </w:style>
  <w:style w:type="paragraph" w:customStyle="1" w:styleId="MarginIcons">
    <w:name w:val="Margin Icons"/>
    <w:basedOn w:val="BodyText"/>
    <w:rsid w:val="006A2C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CFC"/>
    <w:rPr>
      <w:rFonts w:ascii="Courier New" w:hAnsi="Courier New"/>
    </w:rPr>
  </w:style>
  <w:style w:type="paragraph" w:customStyle="1" w:styleId="NoteBullet">
    <w:name w:val="Note Bullet"/>
    <w:basedOn w:val="Note"/>
    <w:rsid w:val="006A2CFC"/>
    <w:pPr>
      <w:tabs>
        <w:tab w:val="clear" w:pos="680"/>
      </w:tabs>
      <w:spacing w:before="60" w:after="60"/>
    </w:pPr>
  </w:style>
  <w:style w:type="paragraph" w:customStyle="1" w:styleId="SubHeading2">
    <w:name w:val="SubHeading2"/>
    <w:basedOn w:val="HeadingBase"/>
    <w:rsid w:val="006A2CFC"/>
    <w:pPr>
      <w:spacing w:before="240" w:after="60"/>
    </w:pPr>
    <w:rPr>
      <w:sz w:val="20"/>
    </w:rPr>
  </w:style>
  <w:style w:type="paragraph" w:customStyle="1" w:styleId="SubHeading1">
    <w:name w:val="SubHeading1"/>
    <w:basedOn w:val="HeadingBase"/>
    <w:rsid w:val="006A2CFC"/>
    <w:pPr>
      <w:spacing w:before="240" w:after="60"/>
    </w:pPr>
    <w:rPr>
      <w:color w:val="918585"/>
      <w:sz w:val="22"/>
    </w:rPr>
  </w:style>
  <w:style w:type="paragraph" w:customStyle="1" w:styleId="SideHeading">
    <w:name w:val="Side Heading"/>
    <w:basedOn w:val="HeadingBase"/>
    <w:rsid w:val="006A2C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CFC"/>
    <w:pPr>
      <w:tabs>
        <w:tab w:val="num" w:pos="360"/>
      </w:tabs>
    </w:pPr>
  </w:style>
  <w:style w:type="paragraph" w:styleId="PlainText">
    <w:name w:val="Plain Text"/>
    <w:basedOn w:val="Normal"/>
    <w:link w:val="PlainTextChar"/>
    <w:rsid w:val="006A2CFC"/>
    <w:rPr>
      <w:sz w:val="20"/>
    </w:rPr>
  </w:style>
  <w:style w:type="character" w:customStyle="1" w:styleId="PlainTextChar">
    <w:name w:val="Plain Text Char"/>
    <w:basedOn w:val="DefaultParagraphFont"/>
    <w:link w:val="PlainText"/>
    <w:rsid w:val="006A2CFC"/>
    <w:rPr>
      <w:rFonts w:ascii="Courier New" w:eastAsia="Times New Roman" w:hAnsi="Courier New" w:cs="Times New Roman"/>
      <w:sz w:val="20"/>
      <w:szCs w:val="20"/>
      <w:lang w:eastAsia="en-US"/>
    </w:rPr>
  </w:style>
  <w:style w:type="character" w:customStyle="1" w:styleId="MenuOption">
    <w:name w:val="Menu Option"/>
    <w:basedOn w:val="DefaultParagraphFont"/>
    <w:rsid w:val="006A2CFC"/>
    <w:rPr>
      <w:b/>
      <w:smallCaps/>
    </w:rPr>
  </w:style>
  <w:style w:type="paragraph" w:customStyle="1" w:styleId="TableListNumber">
    <w:name w:val="Table List Number"/>
    <w:basedOn w:val="ListNumber"/>
    <w:rsid w:val="006A2CFC"/>
    <w:pPr>
      <w:numPr>
        <w:numId w:val="0"/>
      </w:numPr>
    </w:pPr>
  </w:style>
  <w:style w:type="paragraph" w:styleId="TOC4">
    <w:name w:val="toc 4"/>
    <w:basedOn w:val="TOCBase"/>
    <w:next w:val="Normal"/>
    <w:semiHidden/>
    <w:rsid w:val="006A2CFC"/>
    <w:pPr>
      <w:tabs>
        <w:tab w:val="right" w:leader="dot" w:pos="9071"/>
      </w:tabs>
      <w:ind w:left="1701"/>
    </w:pPr>
  </w:style>
  <w:style w:type="paragraph" w:customStyle="1" w:styleId="ListAlpha">
    <w:name w:val="List Alpha"/>
    <w:basedOn w:val="List"/>
    <w:rsid w:val="006A2CFC"/>
    <w:pPr>
      <w:numPr>
        <w:numId w:val="9"/>
      </w:numPr>
    </w:pPr>
  </w:style>
  <w:style w:type="paragraph" w:customStyle="1" w:styleId="ListAlpha2">
    <w:name w:val="List Alpha 2"/>
    <w:basedOn w:val="List2"/>
    <w:rsid w:val="006A2CFC"/>
    <w:pPr>
      <w:numPr>
        <w:numId w:val="8"/>
      </w:numPr>
    </w:pPr>
  </w:style>
  <w:style w:type="paragraph" w:styleId="List2">
    <w:name w:val="List 2"/>
    <w:basedOn w:val="BodyText"/>
    <w:rsid w:val="006A2CFC"/>
    <w:pPr>
      <w:tabs>
        <w:tab w:val="left" w:pos="680"/>
      </w:tabs>
      <w:spacing w:before="60" w:after="60"/>
      <w:ind w:left="680" w:hanging="340"/>
    </w:pPr>
  </w:style>
  <w:style w:type="paragraph" w:styleId="List3">
    <w:name w:val="List 3"/>
    <w:basedOn w:val="BodyText"/>
    <w:rsid w:val="006A2CFC"/>
    <w:pPr>
      <w:tabs>
        <w:tab w:val="left" w:pos="1021"/>
      </w:tabs>
      <w:spacing w:before="60" w:after="60"/>
      <w:ind w:left="1020" w:hanging="340"/>
    </w:pPr>
  </w:style>
  <w:style w:type="paragraph" w:styleId="List4">
    <w:name w:val="List 4"/>
    <w:basedOn w:val="BodyText"/>
    <w:rsid w:val="006A2CFC"/>
    <w:pPr>
      <w:tabs>
        <w:tab w:val="left" w:pos="1361"/>
      </w:tabs>
      <w:spacing w:before="60" w:after="60"/>
      <w:ind w:left="1361" w:hanging="340"/>
    </w:pPr>
  </w:style>
  <w:style w:type="paragraph" w:styleId="List5">
    <w:name w:val="List 5"/>
    <w:basedOn w:val="BodyText"/>
    <w:rsid w:val="006A2CFC"/>
    <w:pPr>
      <w:tabs>
        <w:tab w:val="left" w:pos="1701"/>
      </w:tabs>
      <w:spacing w:before="60" w:after="60"/>
      <w:ind w:left="1701" w:hanging="340"/>
    </w:pPr>
  </w:style>
  <w:style w:type="paragraph" w:styleId="ListBullet3">
    <w:name w:val="List Bullet 3"/>
    <w:basedOn w:val="List3"/>
    <w:rsid w:val="006A2CFC"/>
    <w:pPr>
      <w:numPr>
        <w:numId w:val="14"/>
      </w:numPr>
      <w:tabs>
        <w:tab w:val="clear" w:pos="1021"/>
      </w:tabs>
      <w:ind w:left="1037" w:hanging="357"/>
    </w:pPr>
  </w:style>
  <w:style w:type="paragraph" w:styleId="ListBullet4">
    <w:name w:val="List Bullet 4"/>
    <w:basedOn w:val="List4"/>
    <w:rsid w:val="006A2CFC"/>
    <w:pPr>
      <w:numPr>
        <w:numId w:val="3"/>
      </w:numPr>
      <w:tabs>
        <w:tab w:val="clear" w:pos="1361"/>
      </w:tabs>
    </w:pPr>
  </w:style>
  <w:style w:type="paragraph" w:styleId="ListBullet5">
    <w:name w:val="List Bullet 5"/>
    <w:basedOn w:val="List5"/>
    <w:rsid w:val="006A2CFC"/>
    <w:pPr>
      <w:numPr>
        <w:numId w:val="4"/>
      </w:numPr>
    </w:pPr>
  </w:style>
  <w:style w:type="paragraph" w:styleId="ListContinue2">
    <w:name w:val="List Continue 2"/>
    <w:basedOn w:val="List2"/>
    <w:rsid w:val="006A2CFC"/>
    <w:pPr>
      <w:ind w:firstLine="0"/>
    </w:pPr>
  </w:style>
  <w:style w:type="paragraph" w:styleId="ListContinue3">
    <w:name w:val="List Continue 3"/>
    <w:basedOn w:val="List3"/>
    <w:rsid w:val="006A2CFC"/>
    <w:pPr>
      <w:ind w:left="1021" w:firstLine="0"/>
    </w:pPr>
  </w:style>
  <w:style w:type="paragraph" w:styleId="ListContinue4">
    <w:name w:val="List Continue 4"/>
    <w:basedOn w:val="List4"/>
    <w:rsid w:val="006A2CFC"/>
    <w:pPr>
      <w:ind w:firstLine="0"/>
    </w:pPr>
  </w:style>
  <w:style w:type="paragraph" w:styleId="ListContinue5">
    <w:name w:val="List Continue 5"/>
    <w:basedOn w:val="List5"/>
    <w:rsid w:val="006A2CFC"/>
    <w:pPr>
      <w:ind w:firstLine="0"/>
    </w:pPr>
  </w:style>
  <w:style w:type="paragraph" w:styleId="ListNumber3">
    <w:name w:val="List Number 3"/>
    <w:basedOn w:val="List3"/>
    <w:rsid w:val="006A2CFC"/>
    <w:pPr>
      <w:numPr>
        <w:numId w:val="5"/>
      </w:numPr>
    </w:pPr>
  </w:style>
  <w:style w:type="paragraph" w:styleId="ListNumber4">
    <w:name w:val="List Number 4"/>
    <w:basedOn w:val="List4"/>
    <w:rsid w:val="006A2CFC"/>
    <w:pPr>
      <w:numPr>
        <w:numId w:val="6"/>
      </w:numPr>
    </w:pPr>
  </w:style>
  <w:style w:type="paragraph" w:styleId="ListNumber5">
    <w:name w:val="List Number 5"/>
    <w:basedOn w:val="List5"/>
    <w:rsid w:val="006A2CFC"/>
    <w:pPr>
      <w:numPr>
        <w:numId w:val="7"/>
      </w:numPr>
    </w:pPr>
  </w:style>
  <w:style w:type="paragraph" w:styleId="BlockText">
    <w:name w:val="Block Text"/>
    <w:basedOn w:val="Normal"/>
    <w:rsid w:val="006A2CFC"/>
    <w:pPr>
      <w:spacing w:after="120"/>
      <w:ind w:left="1440" w:right="1440"/>
    </w:pPr>
  </w:style>
  <w:style w:type="character" w:customStyle="1" w:styleId="Subscript">
    <w:name w:val="Subscript"/>
    <w:basedOn w:val="DefaultParagraphFont"/>
    <w:rsid w:val="006A2CFC"/>
    <w:rPr>
      <w:sz w:val="16"/>
      <w:vertAlign w:val="subscript"/>
    </w:rPr>
  </w:style>
  <w:style w:type="character" w:customStyle="1" w:styleId="Superscript">
    <w:name w:val="Superscript"/>
    <w:basedOn w:val="DefaultParagraphFont"/>
    <w:rsid w:val="006A2CFC"/>
    <w:rPr>
      <w:sz w:val="16"/>
      <w:vertAlign w:val="superscript"/>
    </w:rPr>
  </w:style>
  <w:style w:type="character" w:customStyle="1" w:styleId="Symbols">
    <w:name w:val="Symbols"/>
    <w:basedOn w:val="DefaultParagraphFont"/>
    <w:rsid w:val="006A2CFC"/>
    <w:rPr>
      <w:rFonts w:ascii="Symbol" w:hAnsi="Symbol"/>
    </w:rPr>
  </w:style>
  <w:style w:type="character" w:customStyle="1" w:styleId="MenuOptions">
    <w:name w:val="Menu Options"/>
    <w:basedOn w:val="DefaultParagraphFont"/>
    <w:rsid w:val="006A2CFC"/>
    <w:rPr>
      <w:rFonts w:ascii="Arial Narrow" w:hAnsi="Arial Narrow"/>
      <w:smallCaps/>
    </w:rPr>
  </w:style>
  <w:style w:type="character" w:customStyle="1" w:styleId="Buttons">
    <w:name w:val="Buttons"/>
    <w:basedOn w:val="DefaultParagraphFont"/>
    <w:rsid w:val="006A2CFC"/>
    <w:rPr>
      <w:b/>
    </w:rPr>
  </w:style>
  <w:style w:type="character" w:customStyle="1" w:styleId="Underlined">
    <w:name w:val="Underlined"/>
    <w:basedOn w:val="DefaultParagraphFont"/>
    <w:rsid w:val="006A2CFC"/>
    <w:rPr>
      <w:u w:val="single"/>
    </w:rPr>
  </w:style>
  <w:style w:type="paragraph" w:customStyle="1" w:styleId="TableBodyTextRight">
    <w:name w:val="Table Body Text Right"/>
    <w:basedOn w:val="TableBodyText"/>
    <w:rsid w:val="006A2CFC"/>
    <w:pPr>
      <w:widowControl w:val="0"/>
      <w:autoSpaceDE w:val="0"/>
      <w:autoSpaceDN w:val="0"/>
      <w:adjustRightInd w:val="0"/>
      <w:jc w:val="right"/>
    </w:pPr>
    <w:rPr>
      <w:rFonts w:cs="Arial"/>
      <w:szCs w:val="18"/>
    </w:rPr>
  </w:style>
  <w:style w:type="paragraph" w:customStyle="1" w:styleId="CopyrightText">
    <w:name w:val="Copyright Text"/>
    <w:basedOn w:val="BodyText"/>
    <w:rsid w:val="006A2CFC"/>
    <w:rPr>
      <w:sz w:val="18"/>
    </w:rPr>
  </w:style>
  <w:style w:type="paragraph" w:customStyle="1" w:styleId="BodySmallRight">
    <w:name w:val="Body Small Right"/>
    <w:basedOn w:val="BodyTextRight"/>
    <w:rsid w:val="006A2CFC"/>
    <w:rPr>
      <w:sz w:val="18"/>
      <w:szCs w:val="18"/>
    </w:rPr>
  </w:style>
  <w:style w:type="paragraph" w:customStyle="1" w:styleId="MarginEdition">
    <w:name w:val="Margin Edition"/>
    <w:basedOn w:val="MarginNote"/>
    <w:rsid w:val="006A2CFC"/>
    <w:pPr>
      <w:spacing w:before="0" w:after="0"/>
    </w:pPr>
    <w:rPr>
      <w:rFonts w:ascii="Times New Roman" w:hAnsi="Times New Roman"/>
      <w:color w:val="999999"/>
    </w:rPr>
  </w:style>
  <w:style w:type="paragraph" w:customStyle="1" w:styleId="Spacer">
    <w:name w:val="Spacer"/>
    <w:basedOn w:val="Normal"/>
    <w:rsid w:val="006A2CFC"/>
    <w:rPr>
      <w:sz w:val="2"/>
      <w:szCs w:val="2"/>
    </w:rPr>
  </w:style>
  <w:style w:type="character" w:customStyle="1" w:styleId="Small">
    <w:name w:val="Small"/>
    <w:basedOn w:val="DefaultParagraphFont"/>
    <w:rsid w:val="006A2CFC"/>
    <w:rPr>
      <w:sz w:val="16"/>
    </w:rPr>
  </w:style>
  <w:style w:type="paragraph" w:customStyle="1" w:styleId="WideTable">
    <w:name w:val="Wide Table"/>
    <w:basedOn w:val="Normal"/>
    <w:rsid w:val="006A2CFC"/>
    <w:pPr>
      <w:ind w:left="-1418"/>
    </w:pPr>
    <w:rPr>
      <w:sz w:val="2"/>
      <w:szCs w:val="2"/>
    </w:rPr>
  </w:style>
  <w:style w:type="character" w:styleId="PageNumber">
    <w:name w:val="page number"/>
    <w:basedOn w:val="DefaultParagraphFont"/>
    <w:rsid w:val="006A2CFC"/>
  </w:style>
  <w:style w:type="paragraph" w:styleId="Quote">
    <w:name w:val="Quote"/>
    <w:basedOn w:val="Heading1"/>
    <w:link w:val="QuoteChar"/>
    <w:qFormat/>
    <w:rsid w:val="006A2CFC"/>
    <w:rPr>
      <w:b w:val="0"/>
      <w:sz w:val="72"/>
      <w:szCs w:val="72"/>
      <w:lang w:val="en-NZ"/>
    </w:rPr>
  </w:style>
  <w:style w:type="character" w:customStyle="1" w:styleId="QuoteChar">
    <w:name w:val="Quote Char"/>
    <w:basedOn w:val="DefaultParagraphFont"/>
    <w:link w:val="Quote"/>
    <w:rsid w:val="006A2C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CFC"/>
    <w:pPr>
      <w:pageBreakBefore/>
    </w:pPr>
  </w:style>
  <w:style w:type="paragraph" w:customStyle="1" w:styleId="Border">
    <w:name w:val="Border"/>
    <w:basedOn w:val="Normal"/>
    <w:qFormat/>
    <w:rsid w:val="006A2C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CFC"/>
    <w:rPr>
      <w:b/>
      <w:bCs/>
      <w:i/>
      <w:iCs/>
      <w:color w:val="auto"/>
    </w:rPr>
  </w:style>
  <w:style w:type="paragraph" w:styleId="IntenseQuote">
    <w:name w:val="Intense Quote"/>
    <w:basedOn w:val="Normal"/>
    <w:next w:val="Normal"/>
    <w:link w:val="IntenseQuoteChar"/>
    <w:uiPriority w:val="30"/>
    <w:qFormat/>
    <w:rsid w:val="006A2C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C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CFC"/>
    <w:rPr>
      <w:smallCaps/>
      <w:color w:val="auto"/>
      <w:u w:val="single"/>
    </w:rPr>
  </w:style>
  <w:style w:type="character" w:styleId="IntenseReference">
    <w:name w:val="Intense Reference"/>
    <w:basedOn w:val="DefaultParagraphFont"/>
    <w:uiPriority w:val="32"/>
    <w:qFormat/>
    <w:rsid w:val="006A2CFC"/>
    <w:rPr>
      <w:b/>
      <w:bCs/>
      <w:smallCaps/>
      <w:color w:val="auto"/>
      <w:spacing w:val="5"/>
      <w:u w:val="single"/>
    </w:rPr>
  </w:style>
  <w:style w:type="paragraph" w:customStyle="1" w:styleId="2ColumnHeading">
    <w:name w:val="2Column Heading"/>
    <w:basedOn w:val="BodyText"/>
    <w:qFormat/>
    <w:rsid w:val="006A2CFC"/>
    <w:pPr>
      <w:spacing w:after="60"/>
      <w:ind w:left="-2268"/>
    </w:pPr>
    <w:rPr>
      <w:b/>
    </w:rPr>
  </w:style>
  <w:style w:type="paragraph" w:customStyle="1" w:styleId="Heading1TOC">
    <w:name w:val="Heading1 TOC"/>
    <w:basedOn w:val="Normal"/>
    <w:qFormat/>
    <w:rsid w:val="006A2CFC"/>
    <w:pPr>
      <w:spacing w:before="240" w:after="120"/>
    </w:pPr>
    <w:rPr>
      <w:rFonts w:ascii="Times New Roman" w:hAnsi="Times New Roman"/>
      <w:b/>
      <w:sz w:val="32"/>
    </w:rPr>
  </w:style>
  <w:style w:type="paragraph" w:customStyle="1" w:styleId="Heading2TOC">
    <w:name w:val="Heading2 TOC"/>
    <w:basedOn w:val="Normal"/>
    <w:qFormat/>
    <w:rsid w:val="006A2CFC"/>
    <w:pPr>
      <w:spacing w:before="240" w:after="60"/>
    </w:pPr>
    <w:rPr>
      <w:rFonts w:ascii="Times New Roman" w:hAnsi="Times New Roman"/>
      <w:b/>
      <w:sz w:val="28"/>
    </w:rPr>
  </w:style>
  <w:style w:type="character" w:customStyle="1" w:styleId="Underline">
    <w:name w:val="Underline"/>
    <w:basedOn w:val="DefaultParagraphFont"/>
    <w:qFormat/>
    <w:rsid w:val="006A2CFC"/>
    <w:rPr>
      <w:u w:val="single"/>
    </w:rPr>
  </w:style>
  <w:style w:type="character" w:customStyle="1" w:styleId="BoldandItalics">
    <w:name w:val="Bold and Italics"/>
    <w:qFormat/>
    <w:rsid w:val="006A2CFC"/>
    <w:rPr>
      <w:b/>
      <w:i/>
      <w:u w:val="none"/>
    </w:rPr>
  </w:style>
  <w:style w:type="paragraph" w:styleId="BalloonText">
    <w:name w:val="Balloon Text"/>
    <w:basedOn w:val="Normal"/>
    <w:link w:val="BalloonTextChar"/>
    <w:rsid w:val="006A2CFC"/>
    <w:rPr>
      <w:rFonts w:ascii="Tahoma" w:hAnsi="Tahoma" w:cs="Tahoma"/>
      <w:sz w:val="16"/>
      <w:szCs w:val="16"/>
    </w:rPr>
  </w:style>
  <w:style w:type="character" w:customStyle="1" w:styleId="BalloonTextChar">
    <w:name w:val="Balloon Text Char"/>
    <w:basedOn w:val="DefaultParagraphFont"/>
    <w:link w:val="BalloonText"/>
    <w:rsid w:val="006A2C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C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C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CFC"/>
    <w:rPr>
      <w:b/>
      <w:color w:val="660033"/>
      <w:spacing w:val="0"/>
    </w:rPr>
  </w:style>
  <w:style w:type="paragraph" w:customStyle="1" w:styleId="Nameditemlist">
    <w:name w:val="Named item list"/>
    <w:basedOn w:val="BodyText"/>
    <w:qFormat/>
    <w:rsid w:val="006A2CFC"/>
    <w:pPr>
      <w:tabs>
        <w:tab w:val="left" w:pos="2835"/>
      </w:tabs>
      <w:ind w:left="2835" w:hanging="2835"/>
    </w:pPr>
  </w:style>
  <w:style w:type="paragraph" w:customStyle="1" w:styleId="BodyTextnopadding">
    <w:name w:val="Body Text no padding"/>
    <w:basedOn w:val="BodyText"/>
    <w:qFormat/>
    <w:rsid w:val="006A2CFC"/>
    <w:pPr>
      <w:spacing w:before="0" w:after="0"/>
    </w:pPr>
  </w:style>
  <w:style w:type="paragraph" w:customStyle="1" w:styleId="BodyTextBold">
    <w:name w:val="Body Text Bold"/>
    <w:basedOn w:val="BodyText"/>
    <w:qFormat/>
    <w:rsid w:val="006A2CFC"/>
    <w:rPr>
      <w:b/>
    </w:rPr>
  </w:style>
  <w:style w:type="character" w:styleId="Hyperlink">
    <w:name w:val="Hyperlink"/>
    <w:basedOn w:val="DefaultParagraphFont"/>
    <w:uiPriority w:val="99"/>
    <w:unhideWhenUsed/>
    <w:rsid w:val="007606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1259</Words>
  <Characters>8110</Characters>
  <Application>Microsoft Office Word</Application>
  <DocSecurity>0</DocSecurity>
  <Lines>193</Lines>
  <Paragraphs>130</Paragraphs>
  <ScaleCrop>false</ScaleCrop>
  <Company>Author-it Software Corporation Ltd.</Company>
  <LinksUpToDate>false</LinksUpToDate>
  <CharactersWithSpaces>9239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CPPSEC3129 Conduct security screening using explosive trace detection equipment</dc:title>
  <dc:subject>Approved</dc:subject>
  <dc:creator>BuildSkills Australia</dc:creator>
  <cp:keywords>Release: 1</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