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5A39B1" w:rsidP="005A39B1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CPPSEC3129 Conduct security screening using explosive trace detection equipment</w:t>
      </w:r>
      <w:r>
        <w:fldChar w:fldCharType="end"/>
      </w:r>
    </w:p>
    <w:p w:rsidR="005A39B1" w:rsidP="005A39B1">
      <w:pPr>
        <w:pStyle w:val="Version"/>
        <w:sectPr w:rsidSect="008246EC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8246EC" w:rsidP="008246EC">
      <w:pPr>
        <w:pStyle w:val="SuperHeading"/>
      </w:pPr>
      <w:r w:rsidRPr="008246EC">
        <w:t>Assessment Requirements for CPPSEC3129 Conduct security screening using explosive trace detection equipment</w:t>
      </w:r>
    </w:p>
    <w:p w:rsidR="00000000" w:rsidRPr="008246EC" w:rsidP="008246EC">
      <w:pPr>
        <w:pStyle w:val="Heading1"/>
      </w:pPr>
      <w:bookmarkStart w:id="1" w:name="O_1009487"/>
      <w:bookmarkEnd w:id="1"/>
      <w:r w:rsidRPr="008246EC">
        <w:t>Modification History</w:t>
      </w:r>
    </w:p>
    <w:p w:rsidR="00000000" w:rsidRPr="008246EC" w:rsidP="005A39B1">
      <w:pPr>
        <w:pStyle w:val="BodyText"/>
      </w:pPr>
      <w:r w:rsidRPr="008246EC">
        <w:t>Release 1.</w:t>
      </w:r>
    </w:p>
    <w:p w:rsidR="00000000" w:rsidRPr="008246EC" w:rsidP="005A39B1">
      <w:pPr>
        <w:pStyle w:val="BodyText"/>
      </w:pPr>
      <w:r w:rsidRPr="008246EC">
        <w:t>Supersedes and is equivalent to CPPSEC1009A Apply Explosive Trace Detection (ETD) procedures.</w:t>
      </w:r>
    </w:p>
    <w:p w:rsidR="00000000" w:rsidRPr="008246EC" w:rsidP="005A39B1">
      <w:pPr>
        <w:pStyle w:val="BodyText"/>
      </w:pPr>
      <w:r w:rsidRPr="008246EC">
        <w:t>Updated to meet the Standards for Training Packages.</w:t>
      </w:r>
    </w:p>
    <w:p w:rsidR="00000000" w:rsidRPr="008246EC" w:rsidP="005A39B1">
      <w:pPr>
        <w:pStyle w:val="BodyText"/>
      </w:pPr>
      <w:r w:rsidRPr="008246EC">
        <w:t>This version first released with CPP Property Services Training Package Version 7.0.</w:t>
      </w:r>
    </w:p>
    <w:p w:rsidR="00000000" w:rsidRPr="008246EC" w:rsidP="008246EC">
      <w:pPr>
        <w:pStyle w:val="Heading1"/>
      </w:pPr>
      <w:bookmarkStart w:id="2" w:name="O_1009490"/>
      <w:bookmarkEnd w:id="2"/>
      <w:r w:rsidRPr="008246EC">
        <w:t>Performance Evidence</w:t>
      </w:r>
    </w:p>
    <w:p w:rsidR="00000000" w:rsidRPr="008246EC" w:rsidP="005A39B1">
      <w:pPr>
        <w:pStyle w:val="BodyText"/>
      </w:pPr>
      <w:r w:rsidRPr="008246EC">
        <w:t>To demonstrate competency in this unit, a person must on two separate occasion</w:t>
      </w:r>
      <w:r w:rsidRPr="008246EC">
        <w:t>s, conduct security screening using explosive trace detection (ETD) equipment, involving, on each occasion:</w:t>
      </w:r>
    </w:p>
    <w:p w:rsidR="00000000" w:rsidRPr="008246EC" w:rsidP="008246EC">
      <w:pPr>
        <w:pStyle w:val="ListBullet"/>
      </w:pPr>
      <w:r w:rsidRPr="008246EC">
        <w:t>giving clear spoken instructions to direct the person for ETD sampling and screening</w:t>
      </w:r>
    </w:p>
    <w:p w:rsidR="00000000" w:rsidRPr="008246EC" w:rsidP="008246EC">
      <w:pPr>
        <w:pStyle w:val="ListBullet"/>
      </w:pPr>
      <w:r w:rsidRPr="008246EC">
        <w:t>responding to one double-positive and one positive-negative re</w:t>
      </w:r>
      <w:r w:rsidRPr="008246EC">
        <w:t>sult and implementing appropriate responses for each.</w:t>
      </w:r>
    </w:p>
    <w:p w:rsidR="00000000" w:rsidRPr="008246EC" w:rsidP="005A39B1">
      <w:pPr>
        <w:pStyle w:val="BodyText"/>
      </w:pPr>
      <w:r w:rsidRPr="008246EC">
        <w:t>In doing this, the person must meet the performance criteria for this unit.</w:t>
      </w:r>
    </w:p>
    <w:p w:rsidR="00000000" w:rsidRPr="008246EC" w:rsidP="008246EC">
      <w:pPr>
        <w:pStyle w:val="Heading1"/>
      </w:pPr>
      <w:bookmarkStart w:id="3" w:name="O_1009489"/>
      <w:bookmarkEnd w:id="3"/>
      <w:r w:rsidRPr="008246EC">
        <w:t>Knowledge Evidence</w:t>
      </w:r>
    </w:p>
    <w:p w:rsidR="00000000" w:rsidRPr="008246EC" w:rsidP="005A39B1">
      <w:pPr>
        <w:pStyle w:val="BodyText"/>
      </w:pPr>
      <w:r w:rsidRPr="008246EC">
        <w:t>To be competent in this unit, a person must demonstrate knowledge of:</w:t>
      </w:r>
    </w:p>
    <w:p w:rsidR="00000000" w:rsidRPr="008246EC" w:rsidP="008246EC">
      <w:pPr>
        <w:pStyle w:val="ListBullet"/>
      </w:pPr>
      <w:r w:rsidRPr="008246EC">
        <w:t>standard operatin</w:t>
      </w:r>
      <w:r w:rsidRPr="008246EC">
        <w:t>g procedures and workplace policies that ensure compliance with legislative and regulatory requirements when conducting security screening using explosive trace detection equipment:</w:t>
      </w:r>
    </w:p>
    <w:p w:rsidR="00000000" w:rsidRPr="008246EC" w:rsidP="008246EC">
      <w:pPr>
        <w:pStyle w:val="ListBullet2"/>
      </w:pPr>
      <w:r w:rsidRPr="008246EC">
        <w:t>anti-discrimination and diversity</w:t>
      </w:r>
    </w:p>
    <w:p w:rsidR="00000000" w:rsidRPr="008246EC" w:rsidP="008246EC">
      <w:pPr>
        <w:pStyle w:val="ListBullet2"/>
      </w:pPr>
      <w:r w:rsidRPr="008246EC">
        <w:t>counter terrorism</w:t>
      </w:r>
    </w:p>
    <w:p w:rsidR="00000000" w:rsidRPr="008246EC" w:rsidP="008246EC">
      <w:pPr>
        <w:pStyle w:val="ListBullet2"/>
      </w:pPr>
      <w:r w:rsidRPr="008246EC">
        <w:t>dangerous goods</w:t>
      </w:r>
    </w:p>
    <w:p w:rsidR="00000000" w:rsidRPr="008246EC" w:rsidP="008246EC">
      <w:pPr>
        <w:pStyle w:val="ListBullet2"/>
      </w:pPr>
      <w:r w:rsidRPr="008246EC">
        <w:t>duty of care</w:t>
      </w:r>
    </w:p>
    <w:p w:rsidR="00000000" w:rsidRPr="008246EC" w:rsidP="008246EC">
      <w:pPr>
        <w:pStyle w:val="ListBullet2"/>
      </w:pPr>
      <w:r w:rsidRPr="008246EC">
        <w:t>limits of own authority</w:t>
      </w:r>
    </w:p>
    <w:p w:rsidR="00000000" w:rsidRPr="008246EC" w:rsidP="008246EC">
      <w:pPr>
        <w:pStyle w:val="ListBullet2"/>
      </w:pPr>
      <w:r w:rsidRPr="008246EC">
        <w:t>workplace health and safety (WHS)</w:t>
      </w:r>
    </w:p>
    <w:p w:rsidR="00000000" w:rsidRPr="008246EC" w:rsidP="008246EC">
      <w:pPr>
        <w:pStyle w:val="ListBullet"/>
      </w:pPr>
      <w:r w:rsidRPr="008246EC">
        <w:t>client service standards for requesting ETD sampling and explaining screening procedures</w:t>
      </w:r>
    </w:p>
    <w:p w:rsidR="00000000" w:rsidRPr="008246EC" w:rsidP="008246EC">
      <w:pPr>
        <w:pStyle w:val="ListBullet"/>
      </w:pPr>
      <w:r w:rsidRPr="008246EC">
        <w:t>current national terrorism threat level and context</w:t>
      </w:r>
    </w:p>
    <w:p w:rsidR="00000000" w:rsidRPr="008246EC" w:rsidP="008246EC">
      <w:pPr>
        <w:pStyle w:val="ListBullet"/>
      </w:pPr>
      <w:r w:rsidRPr="008246EC">
        <w:t>methods and techniques involved in sampling</w:t>
      </w:r>
      <w:r w:rsidRPr="008246EC">
        <w:t xml:space="preserve"> and screening people and items using ETD equipment </w:t>
      </w:r>
    </w:p>
    <w:p w:rsidR="00000000" w:rsidRPr="008246EC" w:rsidP="008246EC">
      <w:pPr>
        <w:pStyle w:val="ListBullet"/>
      </w:pPr>
      <w:r w:rsidRPr="008246EC">
        <w:t>potential hazards, risks and security risk situations that can arise when screening people and personal effects using ETD equipment</w:t>
      </w:r>
    </w:p>
    <w:p w:rsidR="00000000" w:rsidRPr="008246EC" w:rsidP="008246EC">
      <w:pPr>
        <w:pStyle w:val="ListBullet"/>
      </w:pPr>
      <w:r w:rsidRPr="008246EC">
        <w:t>procedures for checking, testing, calibrating and operating ETD equipme</w:t>
      </w:r>
      <w:r w:rsidRPr="008246EC">
        <w:t>nt</w:t>
      </w:r>
    </w:p>
    <w:p w:rsidR="00000000" w:rsidRPr="008246EC" w:rsidP="008246EC">
      <w:pPr>
        <w:pStyle w:val="ListBullet"/>
      </w:pPr>
      <w:r w:rsidRPr="008246EC">
        <w:t>procedures for conducting ETD swab testing and analysis</w:t>
      </w:r>
    </w:p>
    <w:p w:rsidR="00000000" w:rsidRPr="008246EC" w:rsidP="008246EC">
      <w:pPr>
        <w:pStyle w:val="ListBullet"/>
      </w:pPr>
      <w:r w:rsidRPr="008246EC">
        <w:t>procedures for obtaining verbal consent to ETD sampling</w:t>
      </w:r>
    </w:p>
    <w:p w:rsidR="00000000" w:rsidRPr="008246EC" w:rsidP="008246EC">
      <w:pPr>
        <w:pStyle w:val="ListBullet"/>
      </w:pPr>
      <w:r w:rsidRPr="008246EC">
        <w:t>procedures for reporting the detection of explosive material and other security risks</w:t>
      </w:r>
    </w:p>
    <w:p w:rsidR="00000000" w:rsidRPr="008246EC" w:rsidP="008246EC">
      <w:pPr>
        <w:pStyle w:val="ListBullet"/>
      </w:pPr>
      <w:r w:rsidRPr="008246EC">
        <w:t>procedures for responding to double-positive ETD detect</w:t>
      </w:r>
      <w:r w:rsidRPr="008246EC">
        <w:t>ion</w:t>
      </w:r>
    </w:p>
    <w:p w:rsidR="00000000" w:rsidRPr="008246EC" w:rsidP="008246EC">
      <w:pPr>
        <w:pStyle w:val="ListBullet"/>
      </w:pPr>
      <w:r w:rsidRPr="008246EC">
        <w:t>procedures for when people do not consent to ETD sampling</w:t>
      </w:r>
    </w:p>
    <w:p w:rsidR="00000000" w:rsidRPr="008246EC" w:rsidP="008246EC">
      <w:pPr>
        <w:pStyle w:val="ListBullet"/>
      </w:pPr>
      <w:r w:rsidRPr="008246EC">
        <w:t>purpose of Australia</w:t>
      </w:r>
      <w:r>
        <w:t>’</w:t>
      </w:r>
      <w:r w:rsidRPr="008246EC">
        <w:t xml:space="preserve">s </w:t>
      </w:r>
      <w:r w:rsidRPr="008246EC">
        <w:rPr>
          <w:rStyle w:val="Emphasis"/>
        </w:rPr>
        <w:t>Strategy for Protecting Crowded Places from Terrorism</w:t>
      </w:r>
      <w:r w:rsidRPr="008246EC">
        <w:t xml:space="preserve"> and understanding of:</w:t>
      </w:r>
    </w:p>
    <w:p w:rsidR="00000000" w:rsidRPr="008246EC" w:rsidP="008246EC">
      <w:pPr>
        <w:pStyle w:val="ListBullet2"/>
      </w:pPr>
      <w:r w:rsidRPr="008246EC">
        <w:t>definition of crowded places</w:t>
      </w:r>
    </w:p>
    <w:p w:rsidR="00000000" w:rsidRPr="008246EC" w:rsidP="008246EC">
      <w:pPr>
        <w:pStyle w:val="ListBullet2"/>
      </w:pPr>
      <w:r w:rsidRPr="008246EC">
        <w:t>key security issues for crowded places</w:t>
      </w:r>
    </w:p>
    <w:p w:rsidR="00000000" w:rsidRPr="008246EC" w:rsidP="008246EC">
      <w:pPr>
        <w:pStyle w:val="ListBullet2"/>
      </w:pPr>
      <w:r w:rsidRPr="008246EC">
        <w:t>objectives, characteristics and identification of active armed offenders</w:t>
      </w:r>
    </w:p>
    <w:p w:rsidR="00000000" w:rsidRPr="008246EC" w:rsidP="008246EC">
      <w:pPr>
        <w:pStyle w:val="ListBullet2"/>
      </w:pPr>
      <w:r w:rsidRPr="008246EC">
        <w:t>definition of hostile vehicles and methods of attack</w:t>
      </w:r>
    </w:p>
    <w:p w:rsidR="00000000" w:rsidRPr="008246EC" w:rsidP="008246EC">
      <w:pPr>
        <w:pStyle w:val="ListBullet2"/>
      </w:pPr>
      <w:r w:rsidRPr="008246EC">
        <w:t>signs of chemical weapons attack and recommended response</w:t>
      </w:r>
    </w:p>
    <w:p w:rsidR="00000000" w:rsidRPr="008246EC" w:rsidP="008246EC">
      <w:pPr>
        <w:pStyle w:val="ListBullet2"/>
      </w:pPr>
      <w:r w:rsidRPr="008246EC">
        <w:t>general features of improvised explosive devices and recommended inciden</w:t>
      </w:r>
      <w:r w:rsidRPr="008246EC">
        <w:t>t response</w:t>
      </w:r>
    </w:p>
    <w:p w:rsidR="00000000" w:rsidRPr="008246EC" w:rsidP="008246EC">
      <w:pPr>
        <w:pStyle w:val="ListBullet"/>
      </w:pPr>
      <w:r w:rsidRPr="008246EC">
        <w:t>site emergency and evacuation plans and procedures</w:t>
      </w:r>
    </w:p>
    <w:p w:rsidR="00000000" w:rsidRPr="008246EC" w:rsidP="008246EC">
      <w:pPr>
        <w:pStyle w:val="ListBullet"/>
      </w:pPr>
      <w:r w:rsidRPr="008246EC">
        <w:t>situations requiring assistance when screening people and items using ETD equipment</w:t>
      </w:r>
    </w:p>
    <w:p w:rsidR="00000000" w:rsidRPr="008246EC" w:rsidP="008246EC">
      <w:pPr>
        <w:pStyle w:val="ListBullet"/>
      </w:pPr>
      <w:r w:rsidRPr="008246EC">
        <w:t>surveillance techniques for monitoring security of the screening point</w:t>
      </w:r>
    </w:p>
    <w:p w:rsidR="00000000" w:rsidRPr="008246EC" w:rsidP="008246EC">
      <w:pPr>
        <w:pStyle w:val="ListBullet"/>
      </w:pPr>
      <w:r w:rsidRPr="008246EC">
        <w:t>techniques for overcoming language bar</w:t>
      </w:r>
      <w:r w:rsidRPr="008246EC">
        <w:t>riers to ensure correct information exchange</w:t>
      </w:r>
    </w:p>
    <w:p w:rsidR="00000000" w:rsidRPr="008246EC" w:rsidP="008246EC">
      <w:pPr>
        <w:pStyle w:val="ListBullet"/>
      </w:pPr>
      <w:r w:rsidRPr="008246EC">
        <w:t>types of behavioural anomalies and suspect behaviours that can indicate criminal activity, hostile reconnaissance or the potential for terrorist activity</w:t>
      </w:r>
    </w:p>
    <w:p w:rsidR="00000000" w:rsidRPr="008246EC" w:rsidP="008246EC">
      <w:pPr>
        <w:pStyle w:val="ListBullet"/>
      </w:pPr>
      <w:r w:rsidRPr="008246EC">
        <w:t xml:space="preserve">ways that individual and social cultural differences may </w:t>
      </w:r>
      <w:r w:rsidRPr="008246EC">
        <w:t>be expressed.</w:t>
      </w:r>
    </w:p>
    <w:p w:rsidR="00000000" w:rsidRPr="008246EC" w:rsidP="008246EC">
      <w:pPr>
        <w:pStyle w:val="AllowPageBreak"/>
      </w:pPr>
    </w:p>
    <w:p w:rsidR="00000000" w:rsidRPr="008246EC" w:rsidP="008246EC">
      <w:pPr>
        <w:pStyle w:val="Heading1"/>
      </w:pPr>
      <w:bookmarkStart w:id="4" w:name="O_1009488"/>
      <w:bookmarkEnd w:id="4"/>
      <w:r w:rsidRPr="008246EC">
        <w:t>Assessment Conditions</w:t>
      </w:r>
    </w:p>
    <w:p w:rsidR="00000000" w:rsidRPr="008246EC" w:rsidP="005A39B1">
      <w:pPr>
        <w:pStyle w:val="BodyText"/>
      </w:pPr>
      <w:r w:rsidRPr="008246EC">
        <w:t xml:space="preserve">Assessors must satisfy the requirements for assessors contained in the Standards for Registered Training Organisations (RTOs).  All individuals engaged </w:t>
      </w:r>
      <w:r w:rsidRPr="008246EC">
        <w:t>by a licensed RTO for security licensing purposes must hold both a security trainer’s licence (where such a licence exists within the relevant jurisdiction) and a security operative licence that authorises the security activities about which the individual</w:t>
      </w:r>
      <w:r w:rsidRPr="008246EC">
        <w:t xml:space="preserve"> is training/assessing.  Regulators may impose other assessor conditions to meet jurisdictional assessment requirements.</w:t>
      </w:r>
    </w:p>
    <w:p w:rsidR="00000000" w:rsidRPr="008246EC" w:rsidP="005A39B1">
      <w:pPr>
        <w:pStyle w:val="BodyText"/>
      </w:pPr>
      <w:r w:rsidRPr="008246EC">
        <w:t>Assessment of performance must be undertaken in a simulated workplace environment. Tasks are to be performed to the level of proficienc</w:t>
      </w:r>
      <w:r w:rsidRPr="008246EC">
        <w:t>y and within the time limits that would be expected in a workplace.</w:t>
      </w:r>
    </w:p>
    <w:p w:rsidR="00000000" w:rsidRPr="008246EC" w:rsidP="005A39B1">
      <w:pPr>
        <w:pStyle w:val="BodyText"/>
      </w:pPr>
      <w:r w:rsidRPr="008246EC">
        <w:t xml:space="preserve">The assessment of performance evidence must be done by direct observation of the learner by an assessor, either by an assessor observing the learner physically or by an assessor observing </w:t>
      </w:r>
      <w:r w:rsidRPr="008246EC">
        <w:t>the learner via audio and visual media.</w:t>
      </w:r>
    </w:p>
    <w:p w:rsidR="00000000" w:rsidRPr="008246EC" w:rsidP="005A39B1">
      <w:pPr>
        <w:pStyle w:val="BodyText"/>
      </w:pPr>
      <w:r w:rsidRPr="008246EC">
        <w:t xml:space="preserve">Assessment of performance evidence is only valid where the learner has been assessed performing the role of a security officer. </w:t>
      </w:r>
    </w:p>
    <w:p w:rsidR="00000000" w:rsidRPr="008246EC" w:rsidP="005A39B1">
      <w:pPr>
        <w:pStyle w:val="BodyText"/>
      </w:pPr>
      <w:r w:rsidRPr="008246EC">
        <w:t>Assessors are responsible for ensuring that the person demonstrating competency has acc</w:t>
      </w:r>
      <w:r w:rsidRPr="008246EC">
        <w:t>ess to:</w:t>
      </w:r>
    </w:p>
    <w:p w:rsidR="00000000" w:rsidRPr="008246EC" w:rsidP="008246EC">
      <w:pPr>
        <w:pStyle w:val="ListBullet"/>
      </w:pPr>
      <w:r w:rsidRPr="008246EC">
        <w:t>specifications of assessment tasks to conduct security screening using ETD equipment</w:t>
      </w:r>
    </w:p>
    <w:p w:rsidR="00000000" w:rsidRPr="008246EC" w:rsidP="008246EC">
      <w:pPr>
        <w:pStyle w:val="ListBullet"/>
      </w:pPr>
      <w:r w:rsidRPr="008246EC">
        <w:t>appropriate documents, materials, equipment and personal protective equipment (PPE) currently used in industry including operational ETD equipment and scenarios t</w:t>
      </w:r>
      <w:r w:rsidRPr="008246EC">
        <w:t>o allow achievement of the performance evidence</w:t>
      </w:r>
    </w:p>
    <w:p w:rsidR="00000000" w:rsidRPr="008246EC" w:rsidP="008246EC">
      <w:pPr>
        <w:pStyle w:val="ListBullet"/>
      </w:pPr>
      <w:r w:rsidRPr="008246EC">
        <w:t>standard operating procedures and workplace policies related to the security work role and which specify requirements for complying with industry legislation and regulations.</w:t>
      </w:r>
    </w:p>
    <w:p w:rsidR="00000000" w:rsidRPr="008246EC" w:rsidP="008246EC">
      <w:pPr>
        <w:pStyle w:val="AllowPageBreak"/>
      </w:pPr>
    </w:p>
    <w:p w:rsidR="00000000" w:rsidRPr="008246EC" w:rsidP="008246EC">
      <w:pPr>
        <w:pStyle w:val="Heading1"/>
      </w:pPr>
      <w:bookmarkStart w:id="5" w:name="O_1009486"/>
      <w:bookmarkEnd w:id="5"/>
      <w:r w:rsidRPr="008246EC">
        <w:t>Links</w:t>
      </w:r>
    </w:p>
    <w:p w:rsidR="00000000" w:rsidRPr="008246EC" w:rsidP="005A39B1">
      <w:pPr>
        <w:pStyle w:val="BodyText"/>
      </w:pPr>
      <w:r w:rsidRPr="008246EC">
        <w:t>Companio</w:t>
      </w:r>
      <w:r w:rsidRPr="008246EC">
        <w:t xml:space="preserve">n volumes to this training package are available at the VETNet website - </w:t>
      </w:r>
      <w:r>
        <w:fldChar w:fldCharType="begin"/>
      </w:r>
      <w:r>
        <w:instrText xml:space="preserve"> HYPERLINK "https://vetnet.gov.au/Pages/TrainingDocs.aspx?q=6f3f9672-30e8-4835-b348-205dfcf13d9b" </w:instrText>
      </w:r>
      <w:r>
        <w:fldChar w:fldCharType="separate"/>
      </w:r>
      <w:r w:rsidRPr="00BF7A21">
        <w:rPr>
          <w:rStyle w:val="Hyperlink"/>
        </w:rPr>
        <w:t>https://vetnet.gov.au/Pages/TrainingDocs.aspx?q=6f3f9672-30e8-4835-b348-205dfcf13d9b</w:t>
      </w:r>
      <w:r>
        <w:fldChar w:fldCharType="end"/>
      </w:r>
    </w:p>
    <w:p w:rsidR="00000000" w:rsidRPr="008246EC" w:rsidP="008246EC"/>
    <w:sectPr w:rsidSect="008246EC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246EC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246EC" w:rsidRPr="005A39B1" w:rsidP="005A39B1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246EC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A39B1" w:rsidP="008246EC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5A39B1" w:rsidP="008246EC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Artibus Innovation</w:t>
    </w:r>
    <w:r>
      <w:fldChar w:fldCharType="end"/>
    </w:r>
  </w:p>
  <w:p w:rsidR="005A39B1" w:rsidP="008246EC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246EC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A39B1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8246EC" w:rsidRPr="005A39B1" w:rsidP="005A39B1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246EC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A39B1" w:rsidRPr="002D2AF8" w:rsidP="008246EC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CPPSEC3129 Conduct security screening using explosive trace detection equipment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19 December 2022</w:t>
    </w:r>
    <w:r>
      <w:fldChar w:fldCharType="end"/>
    </w:r>
  </w:p>
  <w:p w:rsidR="005A39B1" w:rsidP="008246EC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A58EA680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DE34F118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2BFE283C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246EC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8246EC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8246EC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8246EC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8246EC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8246EC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8246EC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8246EC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8246EC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8246EC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8246EC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8246EC"/>
  </w:style>
  <w:style w:type="character" w:customStyle="1" w:styleId="Heading1Char">
    <w:name w:val="Heading 1 Char"/>
    <w:basedOn w:val="DefaultParagraphFont"/>
    <w:link w:val="Heading1"/>
    <w:rsid w:val="008246EC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8246EC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8246EC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8246EC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8246EC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8246EC"/>
    <w:rPr>
      <w:i/>
    </w:rPr>
  </w:style>
  <w:style w:type="paragraph" w:customStyle="1" w:styleId="SuperHeading">
    <w:name w:val="SuperHeading"/>
    <w:basedOn w:val="Normal"/>
    <w:rsid w:val="008246EC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8246EC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8246EC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8246EC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8246EC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8246E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8246E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8246E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8246E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8246EC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8246EC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8246EC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8246EC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8246EC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8246EC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8246EC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8246EC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8246EC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8246EC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8246EC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8246EC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8246EC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8246EC"/>
    <w:rPr>
      <w:b/>
      <w:spacing w:val="0"/>
    </w:rPr>
  </w:style>
  <w:style w:type="paragraph" w:customStyle="1" w:styleId="SuperTitle">
    <w:name w:val="SuperTitle"/>
    <w:basedOn w:val="Title"/>
    <w:rsid w:val="008246EC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8246EC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8246EC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8246EC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8246EC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8246EC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8246EC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8246EC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8246EC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8246EC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8246EC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8246EC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8246EC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8246EC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8246EC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8246EC"/>
  </w:style>
  <w:style w:type="paragraph" w:styleId="TableofFigures">
    <w:name w:val="table of figures"/>
    <w:basedOn w:val="Normal"/>
    <w:next w:val="Normal"/>
    <w:semiHidden/>
    <w:rsid w:val="008246EC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8246EC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8246EC"/>
    <w:rPr>
      <w:rFonts w:ascii="Wingdings" w:hAnsi="Wingdings"/>
    </w:rPr>
  </w:style>
  <w:style w:type="paragraph" w:customStyle="1" w:styleId="TableHeading">
    <w:name w:val="Table Heading"/>
    <w:basedOn w:val="HeadingBase"/>
    <w:rsid w:val="008246EC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8246EC"/>
    <w:rPr>
      <w:color w:val="0033CC"/>
      <w:u w:val="none"/>
    </w:rPr>
  </w:style>
  <w:style w:type="paragraph" w:customStyle="1" w:styleId="BodyTextRight">
    <w:name w:val="Body Text Right"/>
    <w:basedOn w:val="BodyText"/>
    <w:rsid w:val="008246EC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8246EC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8246EC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8246EC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8246EC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8246EC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8246EC"/>
    <w:rPr>
      <w:sz w:val="32"/>
    </w:rPr>
  </w:style>
  <w:style w:type="paragraph" w:customStyle="1" w:styleId="HeadingProcedure">
    <w:name w:val="Heading Procedure"/>
    <w:basedOn w:val="HeadingBase"/>
    <w:next w:val="Normal"/>
    <w:rsid w:val="008246EC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8246EC"/>
    <w:pPr>
      <w:spacing w:before="60" w:after="60"/>
    </w:pPr>
  </w:style>
  <w:style w:type="paragraph" w:styleId="ListContinue">
    <w:name w:val="List Continue"/>
    <w:basedOn w:val="List"/>
    <w:rsid w:val="008246EC"/>
    <w:pPr>
      <w:ind w:firstLine="0"/>
    </w:pPr>
  </w:style>
  <w:style w:type="paragraph" w:customStyle="1" w:styleId="ListNote">
    <w:name w:val="List Note"/>
    <w:basedOn w:val="List"/>
    <w:rsid w:val="008246EC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8246EC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8246EC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8246EC"/>
    <w:rPr>
      <w:rFonts w:ascii="Courier New" w:hAnsi="Courier New"/>
    </w:rPr>
  </w:style>
  <w:style w:type="paragraph" w:customStyle="1" w:styleId="NoteBullet">
    <w:name w:val="Note Bullet"/>
    <w:basedOn w:val="Note"/>
    <w:rsid w:val="008246EC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8246EC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8246EC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8246EC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8246EC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8246EC"/>
    <w:rPr>
      <w:sz w:val="20"/>
    </w:rPr>
  </w:style>
  <w:style w:type="character" w:customStyle="1" w:styleId="PlainTextChar">
    <w:name w:val="Plain Text Char"/>
    <w:basedOn w:val="DefaultParagraphFont"/>
    <w:link w:val="PlainText"/>
    <w:rsid w:val="008246EC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8246EC"/>
    <w:rPr>
      <w:b/>
      <w:smallCaps/>
    </w:rPr>
  </w:style>
  <w:style w:type="paragraph" w:customStyle="1" w:styleId="TableListNumber">
    <w:name w:val="Table List Number"/>
    <w:basedOn w:val="ListNumber"/>
    <w:rsid w:val="008246EC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8246EC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8246EC"/>
    <w:pPr>
      <w:numPr>
        <w:numId w:val="9"/>
      </w:numPr>
    </w:pPr>
  </w:style>
  <w:style w:type="paragraph" w:customStyle="1" w:styleId="ListAlpha2">
    <w:name w:val="List Alpha 2"/>
    <w:basedOn w:val="List2"/>
    <w:rsid w:val="008246EC"/>
    <w:pPr>
      <w:numPr>
        <w:numId w:val="8"/>
      </w:numPr>
    </w:pPr>
  </w:style>
  <w:style w:type="paragraph" w:styleId="List2">
    <w:name w:val="List 2"/>
    <w:basedOn w:val="BodyText"/>
    <w:rsid w:val="008246EC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8246EC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8246EC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8246EC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8246EC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8246EC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8246EC"/>
    <w:pPr>
      <w:numPr>
        <w:numId w:val="4"/>
      </w:numPr>
    </w:pPr>
  </w:style>
  <w:style w:type="paragraph" w:styleId="ListContinue2">
    <w:name w:val="List Continue 2"/>
    <w:basedOn w:val="List2"/>
    <w:rsid w:val="008246EC"/>
    <w:pPr>
      <w:ind w:firstLine="0"/>
    </w:pPr>
  </w:style>
  <w:style w:type="paragraph" w:styleId="ListContinue3">
    <w:name w:val="List Continue 3"/>
    <w:basedOn w:val="List3"/>
    <w:rsid w:val="008246EC"/>
    <w:pPr>
      <w:ind w:left="1021" w:firstLine="0"/>
    </w:pPr>
  </w:style>
  <w:style w:type="paragraph" w:styleId="ListContinue4">
    <w:name w:val="List Continue 4"/>
    <w:basedOn w:val="List4"/>
    <w:rsid w:val="008246EC"/>
    <w:pPr>
      <w:ind w:firstLine="0"/>
    </w:pPr>
  </w:style>
  <w:style w:type="paragraph" w:styleId="ListContinue5">
    <w:name w:val="List Continue 5"/>
    <w:basedOn w:val="List5"/>
    <w:rsid w:val="008246EC"/>
    <w:pPr>
      <w:ind w:firstLine="0"/>
    </w:pPr>
  </w:style>
  <w:style w:type="paragraph" w:styleId="ListNumber3">
    <w:name w:val="List Number 3"/>
    <w:basedOn w:val="List3"/>
    <w:rsid w:val="008246EC"/>
    <w:pPr>
      <w:numPr>
        <w:numId w:val="5"/>
      </w:numPr>
    </w:pPr>
  </w:style>
  <w:style w:type="paragraph" w:styleId="ListNumber4">
    <w:name w:val="List Number 4"/>
    <w:basedOn w:val="List4"/>
    <w:rsid w:val="008246EC"/>
    <w:pPr>
      <w:numPr>
        <w:numId w:val="6"/>
      </w:numPr>
    </w:pPr>
  </w:style>
  <w:style w:type="paragraph" w:styleId="ListNumber5">
    <w:name w:val="List Number 5"/>
    <w:basedOn w:val="List5"/>
    <w:rsid w:val="008246EC"/>
    <w:pPr>
      <w:numPr>
        <w:numId w:val="7"/>
      </w:numPr>
    </w:pPr>
  </w:style>
  <w:style w:type="paragraph" w:styleId="BlockText">
    <w:name w:val="Block Text"/>
    <w:basedOn w:val="Normal"/>
    <w:rsid w:val="008246EC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8246EC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8246EC"/>
    <w:rPr>
      <w:sz w:val="16"/>
      <w:vertAlign w:val="superscript"/>
    </w:rPr>
  </w:style>
  <w:style w:type="character" w:customStyle="1" w:styleId="Symbols">
    <w:name w:val="Symbols"/>
    <w:basedOn w:val="DefaultParagraphFont"/>
    <w:rsid w:val="008246EC"/>
    <w:rPr>
      <w:rFonts w:ascii="Symbol" w:hAnsi="Symbol"/>
    </w:rPr>
  </w:style>
  <w:style w:type="character" w:customStyle="1" w:styleId="MenuOptions">
    <w:name w:val="Menu Options"/>
    <w:basedOn w:val="DefaultParagraphFont"/>
    <w:rsid w:val="008246EC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8246EC"/>
    <w:rPr>
      <w:b/>
    </w:rPr>
  </w:style>
  <w:style w:type="character" w:customStyle="1" w:styleId="Underlined">
    <w:name w:val="Underlined"/>
    <w:basedOn w:val="DefaultParagraphFont"/>
    <w:rsid w:val="008246EC"/>
    <w:rPr>
      <w:u w:val="single"/>
    </w:rPr>
  </w:style>
  <w:style w:type="paragraph" w:customStyle="1" w:styleId="TableBodyTextRight">
    <w:name w:val="Table Body Text Right"/>
    <w:basedOn w:val="TableBodyText"/>
    <w:rsid w:val="008246EC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8246EC"/>
    <w:rPr>
      <w:sz w:val="18"/>
    </w:rPr>
  </w:style>
  <w:style w:type="paragraph" w:customStyle="1" w:styleId="BodySmallRight">
    <w:name w:val="Body Small Right"/>
    <w:basedOn w:val="BodyTextRight"/>
    <w:rsid w:val="008246EC"/>
    <w:rPr>
      <w:sz w:val="18"/>
      <w:szCs w:val="18"/>
    </w:rPr>
  </w:style>
  <w:style w:type="paragraph" w:customStyle="1" w:styleId="MarginEdition">
    <w:name w:val="Margin Edition"/>
    <w:basedOn w:val="MarginNote"/>
    <w:rsid w:val="008246EC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8246EC"/>
    <w:rPr>
      <w:sz w:val="2"/>
      <w:szCs w:val="2"/>
    </w:rPr>
  </w:style>
  <w:style w:type="character" w:customStyle="1" w:styleId="Small">
    <w:name w:val="Small"/>
    <w:basedOn w:val="DefaultParagraphFont"/>
    <w:rsid w:val="008246EC"/>
    <w:rPr>
      <w:sz w:val="16"/>
    </w:rPr>
  </w:style>
  <w:style w:type="paragraph" w:customStyle="1" w:styleId="WideTable">
    <w:name w:val="Wide Table"/>
    <w:basedOn w:val="Normal"/>
    <w:rsid w:val="008246EC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8246EC"/>
  </w:style>
  <w:style w:type="paragraph" w:styleId="Quote">
    <w:name w:val="Quote"/>
    <w:basedOn w:val="Heading1"/>
    <w:link w:val="QuoteChar"/>
    <w:qFormat/>
    <w:rsid w:val="008246EC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8246EC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8246EC"/>
    <w:pPr>
      <w:pageBreakBefore/>
    </w:pPr>
  </w:style>
  <w:style w:type="paragraph" w:customStyle="1" w:styleId="Border">
    <w:name w:val="Border"/>
    <w:basedOn w:val="Normal"/>
    <w:qFormat/>
    <w:rsid w:val="008246EC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8246EC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8246EC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8246EC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8246EC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8246EC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8246EC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8246EC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8246EC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8246EC"/>
    <w:rPr>
      <w:u w:val="single"/>
    </w:rPr>
  </w:style>
  <w:style w:type="character" w:customStyle="1" w:styleId="BoldandItalics">
    <w:name w:val="Bold and Italics"/>
    <w:qFormat/>
    <w:rsid w:val="008246EC"/>
    <w:rPr>
      <w:b/>
      <w:i/>
      <w:u w:val="none"/>
    </w:rPr>
  </w:style>
  <w:style w:type="paragraph" w:styleId="BalloonText">
    <w:name w:val="Balloon Text"/>
    <w:basedOn w:val="Normal"/>
    <w:link w:val="BalloonTextChar"/>
    <w:rsid w:val="008246EC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8246EC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8246EC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8246EC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8246EC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8246EC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8246EC"/>
    <w:pPr>
      <w:spacing w:before="0" w:after="0"/>
    </w:pPr>
  </w:style>
  <w:style w:type="paragraph" w:customStyle="1" w:styleId="BodyTextBold">
    <w:name w:val="Body Text Bold"/>
    <w:basedOn w:val="BodyText"/>
    <w:qFormat/>
    <w:rsid w:val="008246EC"/>
    <w:rPr>
      <w:b/>
    </w:rPr>
  </w:style>
  <w:style w:type="character" w:styleId="Hyperlink">
    <w:name w:val="Hyperlink"/>
    <w:basedOn w:val="DefaultParagraphFont"/>
    <w:uiPriority w:val="99"/>
    <w:unhideWhenUsed/>
    <w:rsid w:val="005A39B1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684</Words>
  <Characters>4445</Characters>
  <Application>Microsoft Office Word</Application>
  <DocSecurity>0</DocSecurity>
  <Lines>92</Lines>
  <Paragraphs>65</Paragraphs>
  <ScaleCrop>false</ScaleCrop>
  <Company>Author-it Software Corporation Ltd.</Company>
  <LinksUpToDate>false</LinksUpToDate>
  <CharactersWithSpaces>5064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CPPSEC3129 Conduct security screening using explosive trace detection equipment</dc:title>
  <dc:subject>Approved</dc:subject>
  <dc:creator>Artibus Innovation</dc:creator>
  <cp:keywords>Release: 1</cp:keywords>
  <dc:description>Review Date: 12 April 2008</dc:description>
  <cp:lastModifiedBy>HSD_TPCMSd.prod</cp:lastModifiedBy>
  <cp:revision>3</cp:revision>
  <dcterms:created xsi:type="dcterms:W3CDTF">2022-12-19T05:54:00Z</dcterms:created>
  <dcterms:modified xsi:type="dcterms:W3CDTF">2022-12-19T05:54:00Z</dcterms:modified>
</cp:coreProperties>
</file>