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138" w:rsidP="00A26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CPPSEC3126 Defend persons using spray</w:t>
      </w:r>
      <w:r>
        <w:fldChar w:fldCharType="end"/>
      </w:r>
    </w:p>
    <w:p w:rsidR="00A26138" w:rsidP="00A26138">
      <w:pPr>
        <w:pStyle w:val="Version"/>
        <w:sectPr w:rsidSect="00E11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8A9" w:rsidP="00E118A9">
      <w:pPr>
        <w:pStyle w:val="SuperHeading"/>
      </w:pPr>
      <w:r w:rsidRPr="00E118A9">
        <w:t>Assessment Requirements for CPPSEC3126 Defend persons using spray</w:t>
      </w:r>
    </w:p>
    <w:p w:rsidR="00000000" w:rsidRPr="00E118A9" w:rsidP="00E118A9">
      <w:pPr>
        <w:pStyle w:val="Heading1"/>
      </w:pPr>
      <w:bookmarkStart w:id="1" w:name="O_1009417"/>
      <w:bookmarkEnd w:id="1"/>
      <w:r w:rsidRPr="00E118A9">
        <w:t>Modification History</w:t>
      </w:r>
    </w:p>
    <w:p w:rsidR="00000000" w:rsidRPr="00E118A9" w:rsidP="00A26138">
      <w:r w:rsidRPr="00E118A9">
        <w:t>Release 1.</w:t>
      </w:r>
    </w:p>
    <w:p w:rsidR="00000000" w:rsidRPr="00E118A9" w:rsidP="00A26138">
      <w:r w:rsidRPr="00E118A9">
        <w:t>Supersedes and equivalent to CPPSEC3016A Defend persons using spray.</w:t>
      </w:r>
    </w:p>
    <w:p w:rsidR="00000000" w:rsidRPr="00E118A9" w:rsidP="00A26138">
      <w:r w:rsidRPr="00E118A9">
        <w:t>Updated to meet the Standards for Training Packages.</w:t>
      </w:r>
    </w:p>
    <w:p w:rsidR="00000000" w:rsidRPr="00E118A9" w:rsidP="00A26138">
      <w:r w:rsidRPr="00E118A9">
        <w:t>This version first released with CPP Property Services Training Package Version 7.0.</w:t>
      </w:r>
    </w:p>
    <w:p w:rsidR="00000000" w:rsidRPr="00E118A9" w:rsidP="00E118A9">
      <w:pPr>
        <w:pStyle w:val="Heading1"/>
      </w:pPr>
      <w:bookmarkStart w:id="2" w:name="O_1009420"/>
      <w:bookmarkEnd w:id="2"/>
      <w:r w:rsidRPr="00E118A9">
        <w:t>Performance Evidence</w:t>
      </w:r>
    </w:p>
    <w:p w:rsidR="00000000" w:rsidRPr="00E118A9" w:rsidP="00A26138">
      <w:pPr>
        <w:pStyle w:val="BodyText"/>
      </w:pPr>
      <w:r w:rsidRPr="00E118A9">
        <w:t>To demonstrate competency in this unit, a person must defend persons using spray in response to three different threat situations i</w:t>
      </w:r>
      <w:r w:rsidRPr="00E118A9">
        <w:t>nvolving subjects holding weapons.</w:t>
      </w:r>
    </w:p>
    <w:p w:rsidR="00000000" w:rsidRPr="00E118A9" w:rsidP="00A26138">
      <w:pPr>
        <w:pStyle w:val="BodyText"/>
      </w:pPr>
      <w:r w:rsidRPr="00E118A9">
        <w:t>In doing this, the person must meet the performance criteria for this unit.</w:t>
      </w:r>
    </w:p>
    <w:p w:rsidR="00000000" w:rsidRPr="00E118A9" w:rsidP="00E118A9">
      <w:pPr>
        <w:pStyle w:val="Heading1"/>
      </w:pPr>
      <w:bookmarkStart w:id="3" w:name="O_1009419"/>
      <w:bookmarkEnd w:id="3"/>
      <w:r w:rsidRPr="00E118A9">
        <w:t>Knowledge Evidence</w:t>
      </w:r>
    </w:p>
    <w:p w:rsidR="00000000" w:rsidRPr="00E118A9" w:rsidP="00A26138">
      <w:pPr>
        <w:pStyle w:val="BodyText"/>
      </w:pPr>
      <w:r w:rsidRPr="00E118A9">
        <w:t>To be competent in this unit, a person must demonstrate knowledge of:</w:t>
      </w:r>
    </w:p>
    <w:p w:rsidR="00000000" w:rsidRPr="00E118A9" w:rsidP="00E118A9">
      <w:pPr>
        <w:pStyle w:val="ListBullet"/>
      </w:pPr>
      <w:r w:rsidRPr="00E118A9">
        <w:t>standard operating procedures and wo</w:t>
      </w:r>
      <w:r w:rsidRPr="00E118A9">
        <w:t>rkplace policies that ensure compliance with legislative and regulatory requirements when defending persons using spray:</w:t>
      </w:r>
    </w:p>
    <w:p w:rsidR="00000000" w:rsidRPr="00E118A9" w:rsidP="00E118A9">
      <w:pPr>
        <w:pStyle w:val="ListBullet2"/>
      </w:pPr>
      <w:r w:rsidRPr="00E118A9">
        <w:t>anti-discrimination and diversity</w:t>
      </w:r>
    </w:p>
    <w:p w:rsidR="00000000" w:rsidRPr="00E118A9" w:rsidP="00E118A9">
      <w:pPr>
        <w:pStyle w:val="ListBullet2"/>
      </w:pPr>
      <w:r w:rsidRPr="00E118A9">
        <w:t>apprehension, arrest and restraint of persons</w:t>
      </w:r>
    </w:p>
    <w:p w:rsidR="00000000" w:rsidRPr="00E118A9" w:rsidP="00E118A9">
      <w:pPr>
        <w:pStyle w:val="ListBullet2"/>
      </w:pPr>
      <w:r w:rsidRPr="00E118A9">
        <w:t>duty of care</w:t>
      </w:r>
    </w:p>
    <w:p w:rsidR="00000000" w:rsidRPr="00E118A9" w:rsidP="00E118A9">
      <w:pPr>
        <w:pStyle w:val="ListBullet2"/>
      </w:pPr>
      <w:r w:rsidRPr="00E118A9">
        <w:t>licensing requirements and limits of own authority</w:t>
      </w:r>
    </w:p>
    <w:p w:rsidR="00000000" w:rsidRPr="00E118A9" w:rsidP="00E118A9">
      <w:pPr>
        <w:pStyle w:val="ListBullet2"/>
      </w:pPr>
      <w:r w:rsidRPr="00E118A9">
        <w:t>use of force</w:t>
      </w:r>
    </w:p>
    <w:p w:rsidR="00000000" w:rsidRPr="00E118A9" w:rsidP="00E118A9">
      <w:pPr>
        <w:pStyle w:val="ListBullet2"/>
      </w:pPr>
      <w:r w:rsidRPr="00E118A9">
        <w:t>workplace health and safety (WHS)</w:t>
      </w:r>
    </w:p>
    <w:p w:rsidR="00000000" w:rsidRPr="00E118A9" w:rsidP="00E118A9">
      <w:pPr>
        <w:pStyle w:val="ListBullet"/>
      </w:pPr>
      <w:r w:rsidRPr="00E118A9">
        <w:t>application methods for spray including how to hold the canister, how to discharge spray, target placement, distance and length of spray</w:t>
      </w:r>
    </w:p>
    <w:p w:rsidR="00000000" w:rsidRPr="00E118A9" w:rsidP="00E118A9">
      <w:pPr>
        <w:pStyle w:val="ListBullet"/>
      </w:pPr>
      <w:r w:rsidRPr="00E118A9">
        <w:t>approved communicati</w:t>
      </w:r>
      <w:r w:rsidRPr="00E118A9">
        <w:t>on terminology, call signs and radio channels used in the security industry</w:t>
      </w:r>
    </w:p>
    <w:p w:rsidR="00000000" w:rsidRPr="00E118A9" w:rsidP="00E118A9">
      <w:pPr>
        <w:pStyle w:val="ListBullet"/>
      </w:pPr>
      <w:r w:rsidRPr="00E118A9">
        <w:t>arrest and control techniques using spray</w:t>
      </w:r>
    </w:p>
    <w:p w:rsidR="00000000" w:rsidRPr="00E118A9" w:rsidP="00E118A9">
      <w:pPr>
        <w:pStyle w:val="ListBullet"/>
      </w:pPr>
      <w:r w:rsidRPr="00E118A9">
        <w:t>basic negotiation techniques</w:t>
      </w:r>
    </w:p>
    <w:p w:rsidR="00000000" w:rsidRPr="00E118A9" w:rsidP="00E118A9">
      <w:pPr>
        <w:pStyle w:val="ListBullet"/>
      </w:pPr>
      <w:r w:rsidRPr="00E118A9">
        <w:t>methods for caring for a spray recipient</w:t>
      </w:r>
    </w:p>
    <w:p w:rsidR="00000000" w:rsidRPr="00E118A9" w:rsidP="00E118A9">
      <w:pPr>
        <w:pStyle w:val="ListBullet"/>
      </w:pPr>
      <w:r w:rsidRPr="00E118A9">
        <w:t>methods for decontamination after exposure to spray</w:t>
      </w:r>
    </w:p>
    <w:p w:rsidR="00000000" w:rsidRPr="00E118A9" w:rsidP="00E118A9">
      <w:pPr>
        <w:pStyle w:val="ListBullet"/>
      </w:pPr>
      <w:r w:rsidRPr="00E118A9">
        <w:t>methods for stor</w:t>
      </w:r>
      <w:r w:rsidRPr="00E118A9">
        <w:t>ing and maintaining spray canisters</w:t>
      </w:r>
    </w:p>
    <w:p w:rsidR="00000000" w:rsidRPr="00E118A9" w:rsidP="00E118A9">
      <w:pPr>
        <w:pStyle w:val="ListBullet"/>
      </w:pPr>
      <w:r w:rsidRPr="00E118A9">
        <w:t>methods of restraint and associated effects, including signs and symptoms of asphyxiation</w:t>
      </w:r>
    </w:p>
    <w:p w:rsidR="00000000" w:rsidRPr="00E118A9" w:rsidP="00E118A9">
      <w:pPr>
        <w:pStyle w:val="ListBullet"/>
      </w:pPr>
      <w:r w:rsidRPr="00E118A9">
        <w:t>procedures for communicating with emergency services personnel</w:t>
      </w:r>
    </w:p>
    <w:p w:rsidR="00000000" w:rsidRPr="00E118A9" w:rsidP="00E118A9">
      <w:pPr>
        <w:pStyle w:val="ListBullet"/>
      </w:pPr>
      <w:r w:rsidRPr="00E118A9">
        <w:t>procedures for effecting an arrest</w:t>
      </w:r>
    </w:p>
    <w:p w:rsidR="00000000" w:rsidRPr="00E118A9" w:rsidP="00E118A9">
      <w:pPr>
        <w:pStyle w:val="ListBullet"/>
      </w:pPr>
      <w:r w:rsidRPr="00E118A9">
        <w:t>process of dynamic risk assessment and how it is applied</w:t>
      </w:r>
    </w:p>
    <w:p w:rsidR="00000000" w:rsidRPr="00E118A9" w:rsidP="00E118A9">
      <w:pPr>
        <w:pStyle w:val="ListBullet"/>
      </w:pPr>
      <w:r w:rsidRPr="00E118A9">
        <w:t>response options using spray that are within specified legal limits</w:t>
      </w:r>
    </w:p>
    <w:p w:rsidR="00000000" w:rsidRPr="00E118A9" w:rsidP="00E118A9">
      <w:pPr>
        <w:pStyle w:val="ListBullet"/>
      </w:pPr>
      <w:r w:rsidRPr="00E118A9">
        <w:t>risks associated with using spray and common physiological effects and symptoms, particularly related to eyes and the respiratory t</w:t>
      </w:r>
      <w:r w:rsidRPr="00E118A9">
        <w:t>ract</w:t>
      </w:r>
    </w:p>
    <w:p w:rsidR="00000000" w:rsidRPr="00E118A9" w:rsidP="00E118A9">
      <w:pPr>
        <w:pStyle w:val="ListBullet"/>
      </w:pPr>
      <w:r w:rsidRPr="00E118A9">
        <w:t>security risk situations that warrant the use of spray and situations where use may amount to excessive use of force</w:t>
      </w:r>
    </w:p>
    <w:p w:rsidR="00000000" w:rsidRPr="00E118A9" w:rsidP="00E118A9">
      <w:pPr>
        <w:pStyle w:val="ListBullet"/>
      </w:pPr>
      <w:r w:rsidRPr="00E118A9">
        <w:t>signs that a person may be suffering from emotional or physical distress</w:t>
      </w:r>
    </w:p>
    <w:p w:rsidR="00000000" w:rsidRPr="00E118A9" w:rsidP="00E118A9">
      <w:pPr>
        <w:pStyle w:val="ListBullet"/>
      </w:pPr>
      <w:r w:rsidRPr="00E118A9">
        <w:t>signs that a person may be suffering from mental illness</w:t>
      </w:r>
    </w:p>
    <w:p w:rsidR="00000000" w:rsidRPr="00E118A9" w:rsidP="00E118A9">
      <w:pPr>
        <w:pStyle w:val="ListBullet"/>
      </w:pPr>
      <w:r w:rsidRPr="00E118A9">
        <w:t>sign</w:t>
      </w:r>
      <w:r w:rsidRPr="00E118A9">
        <w:t>s that a person may be under the influence of intoxicating substances</w:t>
      </w:r>
    </w:p>
    <w:p w:rsidR="00000000" w:rsidRPr="00E118A9" w:rsidP="00E118A9">
      <w:pPr>
        <w:pStyle w:val="ListBullet"/>
      </w:pPr>
      <w:r w:rsidRPr="00E118A9">
        <w:t>tactical positioning to be adopted when using spray</w:t>
      </w:r>
    </w:p>
    <w:p w:rsidR="00000000" w:rsidRPr="00E118A9" w:rsidP="00E118A9">
      <w:pPr>
        <w:pStyle w:val="ListBullet"/>
      </w:pPr>
      <w:r w:rsidRPr="00E118A9">
        <w:t xml:space="preserve">types and purpose of sprays that may be used for security purposes </w:t>
      </w:r>
    </w:p>
    <w:p w:rsidR="00000000" w:rsidRPr="00E118A9" w:rsidP="00E118A9">
      <w:pPr>
        <w:pStyle w:val="ListBullet"/>
      </w:pPr>
      <w:r w:rsidRPr="00E118A9">
        <w:t>types and uses of personal protective equipment (PPE) required whe</w:t>
      </w:r>
      <w:r w:rsidRPr="00E118A9">
        <w:t>n using spray</w:t>
      </w:r>
    </w:p>
    <w:p w:rsidR="00000000" w:rsidRPr="00E118A9" w:rsidP="00E118A9">
      <w:pPr>
        <w:pStyle w:val="ListBullet"/>
      </w:pPr>
      <w:r w:rsidRPr="00E118A9">
        <w:t>ways in which social and cultural differences may be expressed.</w:t>
      </w:r>
    </w:p>
    <w:p w:rsidR="00000000" w:rsidRPr="00E118A9" w:rsidP="00E118A9">
      <w:pPr>
        <w:pStyle w:val="AllowPageBreak"/>
      </w:pPr>
    </w:p>
    <w:p w:rsidR="00000000" w:rsidRPr="00E118A9" w:rsidP="00E118A9">
      <w:pPr>
        <w:pStyle w:val="Heading1"/>
      </w:pPr>
      <w:bookmarkStart w:id="4" w:name="O_1009418"/>
      <w:bookmarkEnd w:id="4"/>
      <w:r w:rsidRPr="00E118A9">
        <w:t>Assessment Conditions</w:t>
      </w:r>
    </w:p>
    <w:p w:rsidR="00000000" w:rsidRPr="00E118A9" w:rsidP="00A26138">
      <w:pPr>
        <w:pStyle w:val="BodyText"/>
      </w:pPr>
      <w:r w:rsidRPr="00E118A9">
        <w:t>Assessors must satisfy the requirements for assessors contained in the Standards for Registered Training Organisations (RTOs).  All indiv</w:t>
      </w:r>
      <w:r w:rsidRPr="00E118A9">
        <w:t>iduals engaged by a licensed RTO for security licensing purposes must hold both a security trainer’s licence (where such a licence exists within the relevant jurisdiction) and a security operative licence that authorises the security activities about which</w:t>
      </w:r>
      <w:r w:rsidRPr="00E118A9">
        <w:t xml:space="preserve"> the individual is training/assessing.  Regulators may impose other assessor conditions to meet jurisdictional assessment requirements.</w:t>
      </w:r>
    </w:p>
    <w:p w:rsidR="00000000" w:rsidRPr="00E118A9" w:rsidP="00A26138">
      <w:pPr>
        <w:pStyle w:val="BodyText"/>
      </w:pPr>
      <w:r w:rsidRPr="00E118A9">
        <w:t>Assessment of performance must be undertaken in a simulated workplace environment. Tasks are to be performed to the leve</w:t>
      </w:r>
      <w:r w:rsidRPr="00E118A9">
        <w:t>l of proficiency and within the time limits that would be expected in a workplace.</w:t>
      </w:r>
    </w:p>
    <w:p w:rsidR="00000000" w:rsidRPr="00E118A9" w:rsidP="00A26138">
      <w:pPr>
        <w:pStyle w:val="BodyText"/>
      </w:pPr>
      <w:r w:rsidRPr="00E118A9">
        <w:t>The assessment of performance evidence must be done by direct observation of the learner by an assessor, either by an assessor observing the learner physically or by an asse</w:t>
      </w:r>
      <w:r w:rsidRPr="00E118A9">
        <w:t>ssor observing the learner via audio and visual media.</w:t>
      </w:r>
    </w:p>
    <w:p w:rsidR="00000000" w:rsidRPr="00E118A9" w:rsidP="00A26138">
      <w:pPr>
        <w:pStyle w:val="BodyText"/>
      </w:pPr>
      <w:r w:rsidRPr="00E118A9">
        <w:t xml:space="preserve">Assessment of performance evidence is only valid where the learner has been assessed performing the role of a security officer. </w:t>
      </w:r>
    </w:p>
    <w:p w:rsidR="00000000" w:rsidRPr="00E118A9" w:rsidP="00A26138">
      <w:pPr>
        <w:pStyle w:val="BodyText"/>
      </w:pPr>
      <w:r w:rsidRPr="00E118A9">
        <w:t>Assessors are responsible for ensuring that the person demonstrating com</w:t>
      </w:r>
      <w:r w:rsidRPr="00E118A9">
        <w:t>petency has access to:</w:t>
      </w:r>
    </w:p>
    <w:p w:rsidR="00000000" w:rsidRPr="00E118A9" w:rsidP="00E118A9">
      <w:pPr>
        <w:pStyle w:val="ListBullet"/>
      </w:pPr>
      <w:r w:rsidRPr="00E118A9">
        <w:t>specifications of assessment tasks to defend persons using spray</w:t>
      </w:r>
    </w:p>
    <w:p w:rsidR="00000000" w:rsidRPr="00E118A9" w:rsidP="00E118A9">
      <w:pPr>
        <w:pStyle w:val="ListBullet"/>
      </w:pPr>
      <w:r w:rsidRPr="00E118A9">
        <w:t>appropriate documents, materials, equipment and personal protective equipment (PPE) currently used in industry</w:t>
      </w:r>
    </w:p>
    <w:p w:rsidR="00000000" w:rsidRPr="00E118A9" w:rsidP="00E118A9">
      <w:pPr>
        <w:pStyle w:val="ListBullet"/>
      </w:pPr>
      <w:r w:rsidRPr="00E118A9">
        <w:t>standard operating procedures and workplace policies rel</w:t>
      </w:r>
      <w:r w:rsidRPr="00E118A9">
        <w:t>ated to the security work role and which specify requirements for complying with industry legislation and regulations</w:t>
      </w:r>
    </w:p>
    <w:p w:rsidR="00000000" w:rsidRPr="00E118A9" w:rsidP="00E118A9">
      <w:pPr>
        <w:pStyle w:val="ListBullet"/>
      </w:pPr>
      <w:r w:rsidRPr="00E118A9">
        <w:t>access to spray and threat scenarios to allow achievement of the performance evidence.</w:t>
      </w:r>
    </w:p>
    <w:p w:rsidR="00000000" w:rsidRPr="00E118A9" w:rsidP="00E118A9">
      <w:pPr>
        <w:pStyle w:val="AllowPageBreak"/>
      </w:pPr>
    </w:p>
    <w:p w:rsidR="00000000" w:rsidRPr="00E118A9" w:rsidP="00E118A9">
      <w:pPr>
        <w:pStyle w:val="Heading1"/>
      </w:pPr>
      <w:bookmarkStart w:id="5" w:name="O_1009416"/>
      <w:bookmarkEnd w:id="5"/>
      <w:r w:rsidRPr="00E118A9">
        <w:t>Links</w:t>
      </w:r>
    </w:p>
    <w:p w:rsidR="00000000" w:rsidRPr="00E118A9" w:rsidP="00A26138">
      <w:pPr>
        <w:pStyle w:val="BodyText"/>
      </w:pPr>
      <w:r w:rsidRPr="00E118A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5209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18A9" w:rsidP="00E118A9"/>
    <w:sectPr w:rsidSect="00E118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A9" w:rsidRPr="00A26138" w:rsidP="00A26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38" w:rsidP="00E11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6138" w:rsidP="00E11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26138" w:rsidP="00E11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8A9" w:rsidRPr="00A26138" w:rsidP="00A26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38" w:rsidRPr="002D2AF8" w:rsidP="00E11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CPPSEC3126 Defend persons using spray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26138" w:rsidP="00E11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63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A7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C61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8A9"/>
  </w:style>
  <w:style w:type="character" w:customStyle="1" w:styleId="Heading1Char">
    <w:name w:val="Heading 1 Char"/>
    <w:basedOn w:val="DefaultParagraphFont"/>
    <w:link w:val="Heading1"/>
    <w:rsid w:val="00E11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8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8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8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8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8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8A9"/>
    <w:rPr>
      <w:b/>
      <w:spacing w:val="0"/>
    </w:rPr>
  </w:style>
  <w:style w:type="paragraph" w:customStyle="1" w:styleId="SuperTitle">
    <w:name w:val="SuperTitle"/>
    <w:basedOn w:val="Title"/>
    <w:rsid w:val="00E11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8A9"/>
    <w:rPr>
      <w:i/>
    </w:rPr>
  </w:style>
  <w:style w:type="paragraph" w:styleId="Caption">
    <w:name w:val="caption"/>
    <w:basedOn w:val="BodyText"/>
    <w:next w:val="Normal"/>
    <w:qFormat/>
    <w:rsid w:val="00E11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8A9"/>
  </w:style>
  <w:style w:type="paragraph" w:styleId="TableofFigures">
    <w:name w:val="table of figures"/>
    <w:basedOn w:val="Normal"/>
    <w:next w:val="Normal"/>
    <w:semiHidden/>
    <w:rsid w:val="00E11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8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8A9"/>
    <w:rPr>
      <w:rFonts w:ascii="Wingdings" w:hAnsi="Wingdings"/>
    </w:rPr>
  </w:style>
  <w:style w:type="paragraph" w:customStyle="1" w:styleId="TableHeading">
    <w:name w:val="Table Heading"/>
    <w:basedOn w:val="HeadingBase"/>
    <w:rsid w:val="00E11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8A9"/>
    <w:rPr>
      <w:color w:val="0033CC"/>
      <w:u w:val="none"/>
    </w:rPr>
  </w:style>
  <w:style w:type="paragraph" w:customStyle="1" w:styleId="BodyTextRight">
    <w:name w:val="Body Text Right"/>
    <w:basedOn w:val="BodyText"/>
    <w:rsid w:val="00E11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8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8A9"/>
    <w:rPr>
      <w:sz w:val="32"/>
    </w:rPr>
  </w:style>
  <w:style w:type="paragraph" w:customStyle="1" w:styleId="HeadingProcedure">
    <w:name w:val="Heading Procedure"/>
    <w:basedOn w:val="HeadingBase"/>
    <w:next w:val="Normal"/>
    <w:rsid w:val="00E11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8A9"/>
    <w:pPr>
      <w:spacing w:before="60" w:after="60"/>
    </w:pPr>
  </w:style>
  <w:style w:type="paragraph" w:styleId="ListContinue">
    <w:name w:val="List Continue"/>
    <w:basedOn w:val="List"/>
    <w:rsid w:val="00E118A9"/>
    <w:pPr>
      <w:ind w:firstLine="0"/>
    </w:pPr>
  </w:style>
  <w:style w:type="paragraph" w:customStyle="1" w:styleId="ListNote">
    <w:name w:val="List Note"/>
    <w:basedOn w:val="List"/>
    <w:rsid w:val="00E11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8A9"/>
    <w:rPr>
      <w:rFonts w:ascii="Courier New" w:hAnsi="Courier New"/>
    </w:rPr>
  </w:style>
  <w:style w:type="paragraph" w:customStyle="1" w:styleId="NoteBullet">
    <w:name w:val="Note Bullet"/>
    <w:basedOn w:val="Note"/>
    <w:rsid w:val="00E11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8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8A9"/>
    <w:rPr>
      <w:b/>
      <w:smallCaps/>
    </w:rPr>
  </w:style>
  <w:style w:type="paragraph" w:customStyle="1" w:styleId="TableListNumber">
    <w:name w:val="Table List Number"/>
    <w:basedOn w:val="ListNumber"/>
    <w:rsid w:val="00E11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8A9"/>
    <w:pPr>
      <w:numPr>
        <w:numId w:val="9"/>
      </w:numPr>
    </w:pPr>
  </w:style>
  <w:style w:type="paragraph" w:customStyle="1" w:styleId="ListAlpha2">
    <w:name w:val="List Alpha 2"/>
    <w:basedOn w:val="List2"/>
    <w:rsid w:val="00E118A9"/>
    <w:pPr>
      <w:numPr>
        <w:numId w:val="8"/>
      </w:numPr>
    </w:pPr>
  </w:style>
  <w:style w:type="paragraph" w:styleId="List2">
    <w:name w:val="List 2"/>
    <w:basedOn w:val="BodyText"/>
    <w:rsid w:val="00E11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8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8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8A9"/>
    <w:pPr>
      <w:numPr>
        <w:numId w:val="4"/>
      </w:numPr>
    </w:pPr>
  </w:style>
  <w:style w:type="paragraph" w:styleId="ListContinue2">
    <w:name w:val="List Continue 2"/>
    <w:basedOn w:val="List2"/>
    <w:rsid w:val="00E118A9"/>
    <w:pPr>
      <w:ind w:firstLine="0"/>
    </w:pPr>
  </w:style>
  <w:style w:type="paragraph" w:styleId="ListContinue3">
    <w:name w:val="List Continue 3"/>
    <w:basedOn w:val="List3"/>
    <w:rsid w:val="00E118A9"/>
    <w:pPr>
      <w:ind w:left="1021" w:firstLine="0"/>
    </w:pPr>
  </w:style>
  <w:style w:type="paragraph" w:styleId="ListContinue4">
    <w:name w:val="List Continue 4"/>
    <w:basedOn w:val="List4"/>
    <w:rsid w:val="00E118A9"/>
    <w:pPr>
      <w:ind w:firstLine="0"/>
    </w:pPr>
  </w:style>
  <w:style w:type="paragraph" w:styleId="ListContinue5">
    <w:name w:val="List Continue 5"/>
    <w:basedOn w:val="List5"/>
    <w:rsid w:val="00E118A9"/>
    <w:pPr>
      <w:ind w:firstLine="0"/>
    </w:pPr>
  </w:style>
  <w:style w:type="paragraph" w:styleId="ListNumber3">
    <w:name w:val="List Number 3"/>
    <w:basedOn w:val="List3"/>
    <w:rsid w:val="00E118A9"/>
    <w:pPr>
      <w:numPr>
        <w:numId w:val="5"/>
      </w:numPr>
    </w:pPr>
  </w:style>
  <w:style w:type="paragraph" w:styleId="ListNumber4">
    <w:name w:val="List Number 4"/>
    <w:basedOn w:val="List4"/>
    <w:rsid w:val="00E118A9"/>
    <w:pPr>
      <w:numPr>
        <w:numId w:val="6"/>
      </w:numPr>
    </w:pPr>
  </w:style>
  <w:style w:type="paragraph" w:styleId="ListNumber5">
    <w:name w:val="List Number 5"/>
    <w:basedOn w:val="List5"/>
    <w:rsid w:val="00E118A9"/>
    <w:pPr>
      <w:numPr>
        <w:numId w:val="7"/>
      </w:numPr>
    </w:pPr>
  </w:style>
  <w:style w:type="paragraph" w:styleId="BlockText">
    <w:name w:val="Block Text"/>
    <w:basedOn w:val="Normal"/>
    <w:rsid w:val="00E11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8A9"/>
    <w:rPr>
      <w:sz w:val="16"/>
      <w:vertAlign w:val="superscript"/>
    </w:rPr>
  </w:style>
  <w:style w:type="character" w:customStyle="1" w:styleId="Symbols">
    <w:name w:val="Symbols"/>
    <w:basedOn w:val="DefaultParagraphFont"/>
    <w:rsid w:val="00E118A9"/>
    <w:rPr>
      <w:rFonts w:ascii="Symbol" w:hAnsi="Symbol"/>
    </w:rPr>
  </w:style>
  <w:style w:type="character" w:customStyle="1" w:styleId="MenuOptions">
    <w:name w:val="Menu Options"/>
    <w:basedOn w:val="DefaultParagraphFont"/>
    <w:rsid w:val="00E11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8A9"/>
    <w:rPr>
      <w:b/>
    </w:rPr>
  </w:style>
  <w:style w:type="character" w:customStyle="1" w:styleId="Underlined">
    <w:name w:val="Underlined"/>
    <w:basedOn w:val="DefaultParagraphFont"/>
    <w:rsid w:val="00E118A9"/>
    <w:rPr>
      <w:u w:val="single"/>
    </w:rPr>
  </w:style>
  <w:style w:type="paragraph" w:customStyle="1" w:styleId="TableBodyTextRight">
    <w:name w:val="Table Body Text Right"/>
    <w:basedOn w:val="TableBodyText"/>
    <w:rsid w:val="00E11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8A9"/>
    <w:rPr>
      <w:sz w:val="18"/>
    </w:rPr>
  </w:style>
  <w:style w:type="paragraph" w:customStyle="1" w:styleId="BodySmallRight">
    <w:name w:val="Body Small Right"/>
    <w:basedOn w:val="BodyTextRight"/>
    <w:rsid w:val="00E118A9"/>
    <w:rPr>
      <w:sz w:val="18"/>
      <w:szCs w:val="18"/>
    </w:rPr>
  </w:style>
  <w:style w:type="paragraph" w:customStyle="1" w:styleId="MarginEdition">
    <w:name w:val="Margin Edition"/>
    <w:basedOn w:val="MarginNote"/>
    <w:rsid w:val="00E11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8A9"/>
    <w:rPr>
      <w:sz w:val="2"/>
      <w:szCs w:val="2"/>
    </w:rPr>
  </w:style>
  <w:style w:type="character" w:customStyle="1" w:styleId="Small">
    <w:name w:val="Small"/>
    <w:basedOn w:val="DefaultParagraphFont"/>
    <w:rsid w:val="00E118A9"/>
    <w:rPr>
      <w:sz w:val="16"/>
    </w:rPr>
  </w:style>
  <w:style w:type="paragraph" w:customStyle="1" w:styleId="WideTable">
    <w:name w:val="Wide Table"/>
    <w:basedOn w:val="Normal"/>
    <w:rsid w:val="00E11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8A9"/>
  </w:style>
  <w:style w:type="paragraph" w:styleId="Quote">
    <w:name w:val="Quote"/>
    <w:basedOn w:val="Heading1"/>
    <w:link w:val="QuoteChar"/>
    <w:qFormat/>
    <w:rsid w:val="00E11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8A9"/>
    <w:pPr>
      <w:pageBreakBefore/>
    </w:pPr>
  </w:style>
  <w:style w:type="paragraph" w:customStyle="1" w:styleId="Border">
    <w:name w:val="Border"/>
    <w:basedOn w:val="Normal"/>
    <w:qFormat/>
    <w:rsid w:val="00E11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8A9"/>
    <w:rPr>
      <w:u w:val="single"/>
    </w:rPr>
  </w:style>
  <w:style w:type="character" w:customStyle="1" w:styleId="BoldandItalics">
    <w:name w:val="Bold and Italics"/>
    <w:qFormat/>
    <w:rsid w:val="00E118A9"/>
    <w:rPr>
      <w:b/>
      <w:i/>
      <w:u w:val="none"/>
    </w:rPr>
  </w:style>
  <w:style w:type="paragraph" w:styleId="BalloonText">
    <w:name w:val="Balloon Text"/>
    <w:basedOn w:val="Normal"/>
    <w:link w:val="BalloonTextChar"/>
    <w:rsid w:val="00E11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8A9"/>
    <w:pPr>
      <w:spacing w:before="0" w:after="0"/>
    </w:pPr>
  </w:style>
  <w:style w:type="paragraph" w:customStyle="1" w:styleId="BodyTextBold">
    <w:name w:val="Body Text Bold"/>
    <w:basedOn w:val="BodyText"/>
    <w:qFormat/>
    <w:rsid w:val="00E118A9"/>
    <w:rPr>
      <w:b/>
    </w:rPr>
  </w:style>
  <w:style w:type="character" w:styleId="Hyperlink">
    <w:name w:val="Hyperlink"/>
    <w:basedOn w:val="DefaultParagraphFont"/>
    <w:uiPriority w:val="99"/>
    <w:unhideWhenUsed/>
    <w:rsid w:val="00A26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3911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CPPSEC3126 Defend persons using spray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