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6E82" w:rsidP="00816E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CPPSEC3125 Implement security procedures to protect critical infrastructure and public assets</w:t>
      </w:r>
      <w:r>
        <w:fldChar w:fldCharType="end"/>
      </w:r>
    </w:p>
    <w:p w:rsidR="00816E82" w:rsidP="00816E82">
      <w:pPr>
        <w:pStyle w:val="Version"/>
        <w:sectPr w:rsidSect="00F941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1D0" w:rsidP="00F941D0">
      <w:pPr>
        <w:pStyle w:val="SuperHeading"/>
      </w:pPr>
      <w:r w:rsidRPr="00F941D0">
        <w:t>Assessment Requirements for CPPSEC3125 Implement security procedures to protect critical infrastructure and public assets</w:t>
      </w:r>
    </w:p>
    <w:p w:rsidR="00000000" w:rsidRPr="00F941D0" w:rsidP="00F941D0">
      <w:pPr>
        <w:pStyle w:val="Heading1"/>
      </w:pPr>
      <w:bookmarkStart w:id="1" w:name="O_1009400"/>
      <w:bookmarkEnd w:id="1"/>
      <w:r w:rsidRPr="00F941D0">
        <w:t>Modification History</w:t>
      </w:r>
    </w:p>
    <w:p w:rsidR="00000000" w:rsidRPr="00F941D0" w:rsidP="00816E82">
      <w:pPr>
        <w:pStyle w:val="BodyText"/>
      </w:pPr>
      <w:r w:rsidRPr="00F941D0">
        <w:t>Release 1.</w:t>
      </w:r>
    </w:p>
    <w:p w:rsidR="00000000" w:rsidRPr="00F941D0" w:rsidP="00816E82">
      <w:pPr>
        <w:pStyle w:val="BodyText"/>
      </w:pPr>
      <w:r w:rsidRPr="00F941D0">
        <w:t>Supersedes and is non-equivalent to CPPSEC1005A Apply critical infrastructure protection procedures. Significant changes made to the unit to reflect current industry needs.</w:t>
      </w:r>
    </w:p>
    <w:p w:rsidR="00000000" w:rsidRPr="00F941D0" w:rsidP="00816E82">
      <w:pPr>
        <w:pStyle w:val="BodyText"/>
      </w:pPr>
      <w:r w:rsidRPr="00F941D0">
        <w:t>This version first released with CPP Property Services Training Package Version 7.0</w:t>
      </w:r>
      <w:r w:rsidRPr="00F941D0">
        <w:t>.</w:t>
      </w:r>
    </w:p>
    <w:p w:rsidR="00000000" w:rsidRPr="00F941D0" w:rsidP="00F941D0">
      <w:pPr>
        <w:pStyle w:val="Heading1"/>
      </w:pPr>
      <w:bookmarkStart w:id="2" w:name="O_1009403"/>
      <w:bookmarkEnd w:id="2"/>
      <w:r w:rsidRPr="00F941D0">
        <w:t>Performance Evidence</w:t>
      </w:r>
    </w:p>
    <w:p w:rsidR="00000000" w:rsidRPr="00F941D0" w:rsidP="00816E82">
      <w:pPr>
        <w:pStyle w:val="BodyText"/>
      </w:pPr>
      <w:r w:rsidRPr="00F941D0">
        <w:t>To demonstrate competency in this unit, a person must implement security procedures to protect critical infrastructure or public assets in response to three different threats involving different locations.</w:t>
      </w:r>
    </w:p>
    <w:p w:rsidR="00000000" w:rsidRPr="00F941D0" w:rsidP="00816E82">
      <w:pPr>
        <w:pStyle w:val="BodyText"/>
      </w:pPr>
      <w:r w:rsidRPr="00F941D0">
        <w:t>In doing</w:t>
      </w:r>
      <w:r w:rsidRPr="00F941D0">
        <w:t xml:space="preserve"> this, the person must meet the performance criteria for this unit.</w:t>
      </w:r>
    </w:p>
    <w:p w:rsidR="00000000" w:rsidRPr="00F941D0" w:rsidP="00F941D0">
      <w:pPr>
        <w:pStyle w:val="Heading1"/>
      </w:pPr>
      <w:bookmarkStart w:id="3" w:name="O_1009402"/>
      <w:bookmarkEnd w:id="3"/>
      <w:r w:rsidRPr="00F941D0">
        <w:t>Knowledge Evidence</w:t>
      </w:r>
    </w:p>
    <w:p w:rsidR="00000000" w:rsidRPr="00F941D0" w:rsidP="00816E82">
      <w:pPr>
        <w:pStyle w:val="BodyText"/>
      </w:pPr>
      <w:r w:rsidRPr="00F941D0">
        <w:t>To be competent in this unit, a person must demonstrate knowledge of:</w:t>
      </w:r>
    </w:p>
    <w:p w:rsidR="00000000" w:rsidRPr="00F941D0" w:rsidP="00F941D0">
      <w:pPr>
        <w:pStyle w:val="ListBullet"/>
      </w:pPr>
      <w:r w:rsidRPr="00F941D0">
        <w:t>standard operating procedures and workplace policies that ensure compliance wit</w:t>
      </w:r>
      <w:r w:rsidRPr="00F941D0">
        <w:t>h legislative and regulatory requirements when implementing security procedures to protect critical infrastructure and public assets:</w:t>
      </w:r>
    </w:p>
    <w:p w:rsidR="00000000" w:rsidRPr="00F941D0" w:rsidP="00F941D0">
      <w:pPr>
        <w:pStyle w:val="ListBullet2"/>
      </w:pPr>
      <w:r w:rsidRPr="00F941D0">
        <w:t>anti-discrimination and diversity</w:t>
      </w:r>
    </w:p>
    <w:p w:rsidR="00000000" w:rsidRPr="00F941D0" w:rsidP="00F941D0">
      <w:pPr>
        <w:pStyle w:val="ListBullet2"/>
      </w:pPr>
      <w:r w:rsidRPr="00F941D0">
        <w:t>apprehension, arrest and restraint of persons</w:t>
      </w:r>
    </w:p>
    <w:p w:rsidR="00000000" w:rsidRPr="00F941D0" w:rsidP="00F941D0">
      <w:pPr>
        <w:pStyle w:val="ListBullet2"/>
      </w:pPr>
      <w:r w:rsidRPr="00F941D0">
        <w:t>counter terrorism</w:t>
      </w:r>
    </w:p>
    <w:p w:rsidR="00000000" w:rsidRPr="00F941D0" w:rsidP="00F941D0">
      <w:pPr>
        <w:pStyle w:val="ListBullet2"/>
      </w:pPr>
      <w:r w:rsidRPr="00F941D0">
        <w:t>duty of care</w:t>
      </w:r>
    </w:p>
    <w:p w:rsidR="00000000" w:rsidRPr="00F941D0" w:rsidP="00F941D0">
      <w:pPr>
        <w:pStyle w:val="ListBullet2"/>
      </w:pPr>
      <w:r w:rsidRPr="00F941D0">
        <w:t>licensing requirements and limits of own authority</w:t>
      </w:r>
    </w:p>
    <w:p w:rsidR="00000000" w:rsidRPr="00F941D0" w:rsidP="00F941D0">
      <w:pPr>
        <w:pStyle w:val="ListBullet2"/>
      </w:pPr>
      <w:r w:rsidRPr="00F941D0">
        <w:t>personal search</w:t>
      </w:r>
    </w:p>
    <w:p w:rsidR="00000000" w:rsidRPr="00F941D0" w:rsidP="00F941D0">
      <w:pPr>
        <w:pStyle w:val="ListBullet2"/>
      </w:pPr>
      <w:r w:rsidRPr="00F941D0">
        <w:t>use of force</w:t>
      </w:r>
    </w:p>
    <w:p w:rsidR="00000000" w:rsidRPr="00F941D0" w:rsidP="00F941D0">
      <w:pPr>
        <w:pStyle w:val="ListBullet2"/>
      </w:pPr>
      <w:r w:rsidRPr="00F941D0">
        <w:t>workplace health and safety (WHS)</w:t>
      </w:r>
    </w:p>
    <w:p w:rsidR="00000000" w:rsidRPr="00F941D0" w:rsidP="00F941D0">
      <w:pPr>
        <w:pStyle w:val="ListBullet"/>
      </w:pPr>
      <w:r w:rsidRPr="00F941D0">
        <w:t>approved communication terminology, call signs and radio channels used in the security industry</w:t>
      </w:r>
    </w:p>
    <w:p w:rsidR="00000000" w:rsidRPr="00F941D0" w:rsidP="00F941D0">
      <w:pPr>
        <w:pStyle w:val="ListBullet"/>
      </w:pPr>
      <w:r w:rsidRPr="00F941D0">
        <w:t>current national terrorism threat level and c</w:t>
      </w:r>
      <w:r w:rsidRPr="00F941D0">
        <w:t>ontext</w:t>
      </w:r>
    </w:p>
    <w:p w:rsidR="00000000" w:rsidRPr="00F941D0" w:rsidP="00F941D0">
      <w:pPr>
        <w:pStyle w:val="ListBullet"/>
      </w:pPr>
      <w:r w:rsidRPr="00F941D0">
        <w:t>designated personnel responsible for collaborating to protect critical infrastructure and public assets</w:t>
      </w:r>
    </w:p>
    <w:p w:rsidR="00000000" w:rsidRPr="00F941D0" w:rsidP="00F941D0">
      <w:pPr>
        <w:pStyle w:val="ListBullet"/>
      </w:pPr>
      <w:r w:rsidRPr="00F941D0">
        <w:t>indicators of potential terrorist activity</w:t>
      </w:r>
    </w:p>
    <w:p w:rsidR="00000000" w:rsidRPr="00F941D0" w:rsidP="00F941D0">
      <w:pPr>
        <w:pStyle w:val="ListBullet"/>
      </w:pPr>
      <w:r w:rsidRPr="00F941D0">
        <w:t>methods for gathering intelligence and identifying sources of threat to critical infrastructure and pu</w:t>
      </w:r>
      <w:r w:rsidRPr="00F941D0">
        <w:t>blic assets</w:t>
      </w:r>
    </w:p>
    <w:p w:rsidR="00000000" w:rsidRPr="00F941D0" w:rsidP="00F941D0">
      <w:pPr>
        <w:pStyle w:val="ListBullet"/>
      </w:pPr>
      <w:r w:rsidRPr="00F941D0">
        <w:t>procedures for monitoring security of critical infrastructure and public assets</w:t>
      </w:r>
    </w:p>
    <w:p w:rsidR="00000000" w:rsidRPr="00F941D0" w:rsidP="00F941D0">
      <w:pPr>
        <w:pStyle w:val="ListBullet"/>
      </w:pPr>
      <w:r w:rsidRPr="00F941D0">
        <w:t>process of dynamic risk assessment and how it is applied</w:t>
      </w:r>
    </w:p>
    <w:p w:rsidR="00000000" w:rsidRPr="00F941D0" w:rsidP="00F941D0">
      <w:pPr>
        <w:pStyle w:val="ListBullet"/>
      </w:pPr>
      <w:r w:rsidRPr="00F941D0">
        <w:t>purpose of Australia</w:t>
      </w:r>
      <w:r>
        <w:t>’</w:t>
      </w:r>
      <w:r w:rsidRPr="00F941D0">
        <w:t xml:space="preserve">s </w:t>
      </w:r>
      <w:r w:rsidRPr="00F941D0">
        <w:rPr>
          <w:rStyle w:val="Emphasis"/>
        </w:rPr>
        <w:t>Strategy for Protecting Crowded Places from Terrorism</w:t>
      </w:r>
      <w:r w:rsidRPr="00F941D0">
        <w:t xml:space="preserve"> and understanding of:</w:t>
      </w:r>
    </w:p>
    <w:p w:rsidR="00000000" w:rsidRPr="00F941D0" w:rsidP="00F941D0">
      <w:pPr>
        <w:pStyle w:val="ListBullet2"/>
      </w:pPr>
      <w:r w:rsidRPr="00F941D0">
        <w:t>definition of crowded places</w:t>
      </w:r>
    </w:p>
    <w:p w:rsidR="00000000" w:rsidRPr="00F941D0" w:rsidP="00F941D0">
      <w:pPr>
        <w:pStyle w:val="ListBullet2"/>
      </w:pPr>
      <w:r w:rsidRPr="00F941D0">
        <w:t>key security issues for crowded places</w:t>
      </w:r>
    </w:p>
    <w:p w:rsidR="00000000" w:rsidRPr="00F941D0" w:rsidP="00F941D0">
      <w:pPr>
        <w:pStyle w:val="ListBullet2"/>
      </w:pPr>
      <w:r w:rsidRPr="00F941D0">
        <w:t>objectives, characteristics and identification of active armed offenders</w:t>
      </w:r>
    </w:p>
    <w:p w:rsidR="00000000" w:rsidRPr="00F941D0" w:rsidP="00F941D0">
      <w:pPr>
        <w:pStyle w:val="ListBullet2"/>
      </w:pPr>
      <w:r w:rsidRPr="00F941D0">
        <w:t>definition of hostile vehicles and methods of attack</w:t>
      </w:r>
    </w:p>
    <w:p w:rsidR="00000000" w:rsidRPr="00F941D0" w:rsidP="00F941D0">
      <w:pPr>
        <w:pStyle w:val="ListBullet2"/>
      </w:pPr>
      <w:r w:rsidRPr="00F941D0">
        <w:t>signs of chemical weapons attack and recommended response</w:t>
      </w:r>
    </w:p>
    <w:p w:rsidR="00000000" w:rsidRPr="00F941D0" w:rsidP="00F941D0">
      <w:pPr>
        <w:pStyle w:val="ListBullet2"/>
      </w:pPr>
      <w:r w:rsidRPr="00F941D0">
        <w:t>gene</w:t>
      </w:r>
      <w:r w:rsidRPr="00F941D0">
        <w:t>ral features of improvised explosive devices and recommended incident response</w:t>
      </w:r>
    </w:p>
    <w:p w:rsidR="00000000" w:rsidRPr="00F941D0" w:rsidP="00F941D0">
      <w:pPr>
        <w:pStyle w:val="ListBullet"/>
      </w:pPr>
      <w:r w:rsidRPr="00F941D0">
        <w:t>risk and associated risk events relating to critical infrastructure and public assets</w:t>
      </w:r>
    </w:p>
    <w:p w:rsidR="00000000" w:rsidRPr="00F941D0" w:rsidP="00F941D0">
      <w:pPr>
        <w:pStyle w:val="ListBullet"/>
      </w:pPr>
      <w:r w:rsidRPr="00F941D0">
        <w:t>site emergency and evacuation plans and procedures</w:t>
      </w:r>
    </w:p>
    <w:p w:rsidR="00000000" w:rsidRPr="00F941D0" w:rsidP="00F941D0">
      <w:pPr>
        <w:pStyle w:val="ListBullet"/>
      </w:pPr>
      <w:r w:rsidRPr="00F941D0">
        <w:t>types of behavioural anomalies and susp</w:t>
      </w:r>
      <w:r w:rsidRPr="00F941D0">
        <w:t>ect behaviours that can indicate criminal activity, hostile reconnaissance or the potential for terrorist activity</w:t>
      </w:r>
    </w:p>
    <w:p w:rsidR="00000000" w:rsidRPr="00F941D0" w:rsidP="00F941D0">
      <w:pPr>
        <w:pStyle w:val="ListBullet"/>
      </w:pPr>
      <w:r w:rsidRPr="00F941D0">
        <w:t>types of national critical infrastructure and public assets and the general impact of their destruction, degradation or unavailability on nat</w:t>
      </w:r>
      <w:r w:rsidRPr="00F941D0">
        <w:t>ional well-being and security capabilities</w:t>
      </w:r>
    </w:p>
    <w:p w:rsidR="00000000" w:rsidRPr="00F941D0" w:rsidP="00F941D0">
      <w:pPr>
        <w:pStyle w:val="ListBullet"/>
      </w:pPr>
      <w:r w:rsidRPr="00F941D0">
        <w:t>types of terrorist and criminal activity that can threaten the security of critical infrastructure and public assets.</w:t>
      </w:r>
    </w:p>
    <w:p w:rsidR="00000000" w:rsidRPr="00F941D0" w:rsidP="00F941D0">
      <w:pPr>
        <w:pStyle w:val="AllowPageBreak"/>
      </w:pPr>
    </w:p>
    <w:p w:rsidR="00000000" w:rsidRPr="00F941D0" w:rsidP="00F941D0">
      <w:pPr>
        <w:pStyle w:val="Heading1"/>
      </w:pPr>
      <w:bookmarkStart w:id="4" w:name="O_1009401"/>
      <w:bookmarkEnd w:id="4"/>
      <w:r w:rsidRPr="00F941D0">
        <w:t>Assessment Conditions</w:t>
      </w:r>
    </w:p>
    <w:p w:rsidR="00000000" w:rsidRPr="00F941D0" w:rsidP="00816E82">
      <w:pPr>
        <w:pStyle w:val="BodyText"/>
      </w:pPr>
      <w:r w:rsidRPr="00F941D0">
        <w:t xml:space="preserve">Assessors must satisfy the requirements for assessors </w:t>
      </w:r>
      <w:r w:rsidRPr="00F941D0">
        <w:t>contained in the Standards for Registered Training Organisations (RTOs).  All individuals engaged by a licensed RTO for security licensing purposes must hold both a security trainer’s licence (where such a licence exists within the relevant jurisdiction) a</w:t>
      </w:r>
      <w:r w:rsidRPr="00F941D0">
        <w:t>nd a security operative licence that authorises the security activities about which the individual is training/assessing.  Regulators may impose other assessor conditions to meet jurisdictional assessment requirements.</w:t>
      </w:r>
    </w:p>
    <w:p w:rsidR="00000000" w:rsidRPr="00F941D0" w:rsidP="00816E82">
      <w:pPr>
        <w:pStyle w:val="BodyText"/>
      </w:pPr>
      <w:r w:rsidRPr="00F941D0">
        <w:t>Assessment of performance must be undertaken in a simulated workplace environment. Tasks are to be performed to the level of proficiency and within the time limits that would be expected in a workplace.</w:t>
      </w:r>
    </w:p>
    <w:p w:rsidR="00000000" w:rsidRPr="00F941D0" w:rsidP="00816E82">
      <w:pPr>
        <w:pStyle w:val="BodyText"/>
      </w:pPr>
      <w:r w:rsidRPr="00F941D0">
        <w:t>The assessment of performance evidence must be done b</w:t>
      </w:r>
      <w:r w:rsidRPr="00F941D0">
        <w:t>y direct observation of the learner by an assessor, either by an assessor observing the learner physically or by an assessor observing the learner via audio and visual media.</w:t>
      </w:r>
    </w:p>
    <w:p w:rsidR="00000000" w:rsidRPr="00F941D0" w:rsidP="00816E82">
      <w:pPr>
        <w:pStyle w:val="BodyText"/>
      </w:pPr>
      <w:r w:rsidRPr="00F941D0">
        <w:t>Assessment of performance evidence is only valid where the learner has been asses</w:t>
      </w:r>
      <w:r w:rsidRPr="00F941D0">
        <w:t xml:space="preserve">sed performing the role of a security officer. </w:t>
      </w:r>
    </w:p>
    <w:p w:rsidR="00000000" w:rsidRPr="00F941D0" w:rsidP="00816E82">
      <w:pPr>
        <w:pStyle w:val="BodyText"/>
      </w:pPr>
      <w:r w:rsidRPr="00F941D0">
        <w:t>Assessors are responsible for ensuring that the person demonstrating competency has access to:</w:t>
      </w:r>
    </w:p>
    <w:p w:rsidR="00000000" w:rsidRPr="00F941D0" w:rsidP="00F941D0">
      <w:pPr>
        <w:pStyle w:val="ListBullet"/>
      </w:pPr>
      <w:r w:rsidRPr="00F941D0">
        <w:t>specifications of assessment tasks to implement security procedures to protect critical infrastructure and publi</w:t>
      </w:r>
      <w:r w:rsidRPr="00F941D0">
        <w:t>c assets</w:t>
      </w:r>
    </w:p>
    <w:p w:rsidR="00000000" w:rsidRPr="00F941D0" w:rsidP="00F941D0">
      <w:pPr>
        <w:pStyle w:val="ListBullet"/>
      </w:pPr>
      <w:r w:rsidRPr="00F941D0">
        <w:t>appropriate documents, materials, equipment and personal protective equipment (PPE) currently used in industry including Australia</w:t>
      </w:r>
      <w:r>
        <w:t>’</w:t>
      </w:r>
      <w:r w:rsidRPr="00F941D0">
        <w:t xml:space="preserve">s </w:t>
      </w:r>
      <w:r w:rsidRPr="00F941D0">
        <w:rPr>
          <w:rStyle w:val="Emphasis"/>
        </w:rPr>
        <w:t>Strategy for Protecting Crowded Places from Terrorism</w:t>
      </w:r>
    </w:p>
    <w:p w:rsidR="00000000" w:rsidRPr="00F941D0" w:rsidP="00F941D0">
      <w:pPr>
        <w:pStyle w:val="ListBullet"/>
      </w:pPr>
      <w:r w:rsidRPr="00F941D0">
        <w:t>standard operating procedures and workplace policies related</w:t>
      </w:r>
      <w:r w:rsidRPr="00F941D0">
        <w:t xml:space="preserve"> to the security work role and which specify requirements for complying with industry legislation and regulations.</w:t>
      </w:r>
    </w:p>
    <w:p w:rsidR="00000000" w:rsidRPr="00F941D0" w:rsidP="00F941D0">
      <w:pPr>
        <w:pStyle w:val="AllowPageBreak"/>
      </w:pPr>
    </w:p>
    <w:p w:rsidR="00000000" w:rsidRPr="00F941D0" w:rsidP="00F941D0">
      <w:pPr>
        <w:pStyle w:val="Heading1"/>
      </w:pPr>
      <w:bookmarkStart w:id="5" w:name="O_1009399"/>
      <w:bookmarkEnd w:id="5"/>
      <w:r w:rsidRPr="00F941D0">
        <w:t>Links</w:t>
      </w:r>
    </w:p>
    <w:p w:rsidR="00000000" w:rsidRPr="00F941D0" w:rsidP="00816E82">
      <w:pPr>
        <w:pStyle w:val="BodyText"/>
      </w:pPr>
      <w:r w:rsidRPr="00F941D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D794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941D0" w:rsidP="00F941D0"/>
    <w:sectPr w:rsidSect="00F941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1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1D0" w:rsidRPr="00816E82" w:rsidP="00816E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1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E82" w:rsidP="00F941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6E82" w:rsidP="00F941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16E82" w:rsidP="00F941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1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E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1D0" w:rsidRPr="00816E82" w:rsidP="00816E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1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E82" w:rsidRPr="002D2AF8" w:rsidP="00F941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CPPSEC3125 Implement security procedures to protect critical infrastructure and public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16E82" w:rsidP="00F941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A0CE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E4E6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CA0B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1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1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1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1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1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1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1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1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1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1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1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1D0"/>
  </w:style>
  <w:style w:type="character" w:customStyle="1" w:styleId="Heading1Char">
    <w:name w:val="Heading 1 Char"/>
    <w:basedOn w:val="DefaultParagraphFont"/>
    <w:link w:val="Heading1"/>
    <w:rsid w:val="00F941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1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1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41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41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41D0"/>
    <w:rPr>
      <w:i/>
    </w:rPr>
  </w:style>
  <w:style w:type="paragraph" w:customStyle="1" w:styleId="SuperHeading">
    <w:name w:val="SuperHeading"/>
    <w:basedOn w:val="Normal"/>
    <w:rsid w:val="00F941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1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41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1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1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1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1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1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1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1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1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1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1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1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1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1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1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41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41D0"/>
    <w:rPr>
      <w:b/>
      <w:spacing w:val="0"/>
    </w:rPr>
  </w:style>
  <w:style w:type="paragraph" w:customStyle="1" w:styleId="SuperTitle">
    <w:name w:val="SuperTitle"/>
    <w:basedOn w:val="Title"/>
    <w:rsid w:val="00F941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1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1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41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1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1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1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1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1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1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1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1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41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1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1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1D0"/>
  </w:style>
  <w:style w:type="paragraph" w:styleId="TableofFigures">
    <w:name w:val="table of figures"/>
    <w:basedOn w:val="Normal"/>
    <w:next w:val="Normal"/>
    <w:semiHidden/>
    <w:rsid w:val="00F941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1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41D0"/>
    <w:rPr>
      <w:rFonts w:ascii="Wingdings" w:hAnsi="Wingdings"/>
    </w:rPr>
  </w:style>
  <w:style w:type="paragraph" w:customStyle="1" w:styleId="TableHeading">
    <w:name w:val="Table Heading"/>
    <w:basedOn w:val="HeadingBase"/>
    <w:rsid w:val="00F941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1D0"/>
    <w:rPr>
      <w:color w:val="0033CC"/>
      <w:u w:val="none"/>
    </w:rPr>
  </w:style>
  <w:style w:type="paragraph" w:customStyle="1" w:styleId="BodyTextRight">
    <w:name w:val="Body Text Right"/>
    <w:basedOn w:val="BodyText"/>
    <w:rsid w:val="00F941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1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1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1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1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1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1D0"/>
    <w:rPr>
      <w:sz w:val="32"/>
    </w:rPr>
  </w:style>
  <w:style w:type="paragraph" w:customStyle="1" w:styleId="HeadingProcedure">
    <w:name w:val="Heading Procedure"/>
    <w:basedOn w:val="HeadingBase"/>
    <w:next w:val="Normal"/>
    <w:rsid w:val="00F941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1D0"/>
    <w:pPr>
      <w:spacing w:before="60" w:after="60"/>
    </w:pPr>
  </w:style>
  <w:style w:type="paragraph" w:styleId="ListContinue">
    <w:name w:val="List Continue"/>
    <w:basedOn w:val="List"/>
    <w:rsid w:val="00F941D0"/>
    <w:pPr>
      <w:ind w:firstLine="0"/>
    </w:pPr>
  </w:style>
  <w:style w:type="paragraph" w:customStyle="1" w:styleId="ListNote">
    <w:name w:val="List Note"/>
    <w:basedOn w:val="List"/>
    <w:rsid w:val="00F941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1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1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1D0"/>
    <w:rPr>
      <w:rFonts w:ascii="Courier New" w:hAnsi="Courier New"/>
    </w:rPr>
  </w:style>
  <w:style w:type="paragraph" w:customStyle="1" w:styleId="NoteBullet">
    <w:name w:val="Note Bullet"/>
    <w:basedOn w:val="Note"/>
    <w:rsid w:val="00F941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1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1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1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1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41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1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1D0"/>
    <w:rPr>
      <w:b/>
      <w:smallCaps/>
    </w:rPr>
  </w:style>
  <w:style w:type="paragraph" w:customStyle="1" w:styleId="TableListNumber">
    <w:name w:val="Table List Number"/>
    <w:basedOn w:val="ListNumber"/>
    <w:rsid w:val="00F941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1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1D0"/>
    <w:pPr>
      <w:numPr>
        <w:numId w:val="9"/>
      </w:numPr>
    </w:pPr>
  </w:style>
  <w:style w:type="paragraph" w:customStyle="1" w:styleId="ListAlpha2">
    <w:name w:val="List Alpha 2"/>
    <w:basedOn w:val="List2"/>
    <w:rsid w:val="00F941D0"/>
    <w:pPr>
      <w:numPr>
        <w:numId w:val="8"/>
      </w:numPr>
    </w:pPr>
  </w:style>
  <w:style w:type="paragraph" w:styleId="List2">
    <w:name w:val="List 2"/>
    <w:basedOn w:val="BodyText"/>
    <w:rsid w:val="00F941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1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1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1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1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1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41D0"/>
    <w:pPr>
      <w:numPr>
        <w:numId w:val="4"/>
      </w:numPr>
    </w:pPr>
  </w:style>
  <w:style w:type="paragraph" w:styleId="ListContinue2">
    <w:name w:val="List Continue 2"/>
    <w:basedOn w:val="List2"/>
    <w:rsid w:val="00F941D0"/>
    <w:pPr>
      <w:ind w:firstLine="0"/>
    </w:pPr>
  </w:style>
  <w:style w:type="paragraph" w:styleId="ListContinue3">
    <w:name w:val="List Continue 3"/>
    <w:basedOn w:val="List3"/>
    <w:rsid w:val="00F941D0"/>
    <w:pPr>
      <w:ind w:left="1021" w:firstLine="0"/>
    </w:pPr>
  </w:style>
  <w:style w:type="paragraph" w:styleId="ListContinue4">
    <w:name w:val="List Continue 4"/>
    <w:basedOn w:val="List4"/>
    <w:rsid w:val="00F941D0"/>
    <w:pPr>
      <w:ind w:firstLine="0"/>
    </w:pPr>
  </w:style>
  <w:style w:type="paragraph" w:styleId="ListContinue5">
    <w:name w:val="List Continue 5"/>
    <w:basedOn w:val="List5"/>
    <w:rsid w:val="00F941D0"/>
    <w:pPr>
      <w:ind w:firstLine="0"/>
    </w:pPr>
  </w:style>
  <w:style w:type="paragraph" w:styleId="ListNumber3">
    <w:name w:val="List Number 3"/>
    <w:basedOn w:val="List3"/>
    <w:rsid w:val="00F941D0"/>
    <w:pPr>
      <w:numPr>
        <w:numId w:val="5"/>
      </w:numPr>
    </w:pPr>
  </w:style>
  <w:style w:type="paragraph" w:styleId="ListNumber4">
    <w:name w:val="List Number 4"/>
    <w:basedOn w:val="List4"/>
    <w:rsid w:val="00F941D0"/>
    <w:pPr>
      <w:numPr>
        <w:numId w:val="6"/>
      </w:numPr>
    </w:pPr>
  </w:style>
  <w:style w:type="paragraph" w:styleId="ListNumber5">
    <w:name w:val="List Number 5"/>
    <w:basedOn w:val="List5"/>
    <w:rsid w:val="00F941D0"/>
    <w:pPr>
      <w:numPr>
        <w:numId w:val="7"/>
      </w:numPr>
    </w:pPr>
  </w:style>
  <w:style w:type="paragraph" w:styleId="BlockText">
    <w:name w:val="Block Text"/>
    <w:basedOn w:val="Normal"/>
    <w:rsid w:val="00F941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1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1D0"/>
    <w:rPr>
      <w:sz w:val="16"/>
      <w:vertAlign w:val="superscript"/>
    </w:rPr>
  </w:style>
  <w:style w:type="character" w:customStyle="1" w:styleId="Symbols">
    <w:name w:val="Symbols"/>
    <w:basedOn w:val="DefaultParagraphFont"/>
    <w:rsid w:val="00F941D0"/>
    <w:rPr>
      <w:rFonts w:ascii="Symbol" w:hAnsi="Symbol"/>
    </w:rPr>
  </w:style>
  <w:style w:type="character" w:customStyle="1" w:styleId="MenuOptions">
    <w:name w:val="Menu Options"/>
    <w:basedOn w:val="DefaultParagraphFont"/>
    <w:rsid w:val="00F941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1D0"/>
    <w:rPr>
      <w:b/>
    </w:rPr>
  </w:style>
  <w:style w:type="character" w:customStyle="1" w:styleId="Underlined">
    <w:name w:val="Underlined"/>
    <w:basedOn w:val="DefaultParagraphFont"/>
    <w:rsid w:val="00F941D0"/>
    <w:rPr>
      <w:u w:val="single"/>
    </w:rPr>
  </w:style>
  <w:style w:type="paragraph" w:customStyle="1" w:styleId="TableBodyTextRight">
    <w:name w:val="Table Body Text Right"/>
    <w:basedOn w:val="TableBodyText"/>
    <w:rsid w:val="00F941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1D0"/>
    <w:rPr>
      <w:sz w:val="18"/>
    </w:rPr>
  </w:style>
  <w:style w:type="paragraph" w:customStyle="1" w:styleId="BodySmallRight">
    <w:name w:val="Body Small Right"/>
    <w:basedOn w:val="BodyTextRight"/>
    <w:rsid w:val="00F941D0"/>
    <w:rPr>
      <w:sz w:val="18"/>
      <w:szCs w:val="18"/>
    </w:rPr>
  </w:style>
  <w:style w:type="paragraph" w:customStyle="1" w:styleId="MarginEdition">
    <w:name w:val="Margin Edition"/>
    <w:basedOn w:val="MarginNote"/>
    <w:rsid w:val="00F941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1D0"/>
    <w:rPr>
      <w:sz w:val="2"/>
      <w:szCs w:val="2"/>
    </w:rPr>
  </w:style>
  <w:style w:type="character" w:customStyle="1" w:styleId="Small">
    <w:name w:val="Small"/>
    <w:basedOn w:val="DefaultParagraphFont"/>
    <w:rsid w:val="00F941D0"/>
    <w:rPr>
      <w:sz w:val="16"/>
    </w:rPr>
  </w:style>
  <w:style w:type="paragraph" w:customStyle="1" w:styleId="WideTable">
    <w:name w:val="Wide Table"/>
    <w:basedOn w:val="Normal"/>
    <w:rsid w:val="00F941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1D0"/>
  </w:style>
  <w:style w:type="paragraph" w:styleId="Quote">
    <w:name w:val="Quote"/>
    <w:basedOn w:val="Heading1"/>
    <w:link w:val="QuoteChar"/>
    <w:qFormat/>
    <w:rsid w:val="00F941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1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1D0"/>
    <w:pPr>
      <w:pageBreakBefore/>
    </w:pPr>
  </w:style>
  <w:style w:type="paragraph" w:customStyle="1" w:styleId="Border">
    <w:name w:val="Border"/>
    <w:basedOn w:val="Normal"/>
    <w:qFormat/>
    <w:rsid w:val="00F941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1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1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1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1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1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1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1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1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1D0"/>
    <w:rPr>
      <w:u w:val="single"/>
    </w:rPr>
  </w:style>
  <w:style w:type="character" w:customStyle="1" w:styleId="BoldandItalics">
    <w:name w:val="Bold and Italics"/>
    <w:qFormat/>
    <w:rsid w:val="00F941D0"/>
    <w:rPr>
      <w:b/>
      <w:i/>
      <w:u w:val="none"/>
    </w:rPr>
  </w:style>
  <w:style w:type="paragraph" w:styleId="BalloonText">
    <w:name w:val="Balloon Text"/>
    <w:basedOn w:val="Normal"/>
    <w:link w:val="BalloonTextChar"/>
    <w:rsid w:val="00F941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1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1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1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1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1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1D0"/>
    <w:pPr>
      <w:spacing w:before="0" w:after="0"/>
    </w:pPr>
  </w:style>
  <w:style w:type="paragraph" w:customStyle="1" w:styleId="BodyTextBold">
    <w:name w:val="Body Text Bold"/>
    <w:basedOn w:val="BodyText"/>
    <w:qFormat/>
    <w:rsid w:val="00F941D0"/>
    <w:rPr>
      <w:b/>
    </w:rPr>
  </w:style>
  <w:style w:type="character" w:styleId="Hyperlink">
    <w:name w:val="Hyperlink"/>
    <w:basedOn w:val="DefaultParagraphFont"/>
    <w:uiPriority w:val="99"/>
    <w:unhideWhenUsed/>
    <w:rsid w:val="00816E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4323</Characters>
  <Application>Microsoft Office Word</Application>
  <DocSecurity>0</DocSecurity>
  <Lines>90</Lines>
  <Paragraphs>60</Paragraphs>
  <ScaleCrop>false</ScaleCrop>
  <Company>Author-it Software Corporation Ltd.</Company>
  <LinksUpToDate>false</LinksUpToDate>
  <CharactersWithSpaces>4922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CPPSEC3125 Implement security procedures to protect critical infrastructure and public assets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2022-12-19T06:20:00Z</dcterms:created>
  <dcterms:modified xsi:type="dcterms:W3CDTF">2022-12-19T06:20:00Z</dcterms:modified>
</cp:coreProperties>
</file>