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37F4" w:rsidP="006637F4">
      <w:pPr>
        <w:pStyle w:val="Title"/>
      </w:pPr>
      <w:r>
        <w:fldChar w:fldCharType="begin"/>
      </w:r>
      <w:r>
        <w:instrText xml:space="preserve"> TITLE   \* MERGEFORMAT </w:instrText>
      </w:r>
      <w:r>
        <w:fldChar w:fldCharType="separate"/>
      </w:r>
      <w:r>
        <w:t>Assessment Requirements for CPPSEC3124 Prepare and present evidence in court</w:t>
      </w:r>
      <w:r>
        <w:fldChar w:fldCharType="end"/>
      </w:r>
    </w:p>
    <w:p w:rsidR="006637F4" w:rsidP="006637F4">
      <w:pPr>
        <w:pStyle w:val="Version"/>
        <w:sectPr w:rsidSect="00DD06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06A6" w:rsidP="00DD06A6">
      <w:pPr>
        <w:pStyle w:val="SuperHeading"/>
      </w:pPr>
      <w:r w:rsidRPr="00DD06A6">
        <w:t>Assessment Requirements for CPPSEC3124 Prepare and present evidence in court</w:t>
      </w:r>
    </w:p>
    <w:p w:rsidR="00000000" w:rsidRPr="00DD06A6" w:rsidP="00DD06A6">
      <w:pPr>
        <w:pStyle w:val="Heading1"/>
      </w:pPr>
      <w:bookmarkStart w:id="1" w:name="O_1009383"/>
      <w:bookmarkEnd w:id="1"/>
      <w:r w:rsidRPr="00DD06A6">
        <w:t>Modification History</w:t>
      </w:r>
    </w:p>
    <w:p w:rsidR="00000000" w:rsidRPr="00DD06A6" w:rsidP="006637F4">
      <w:r w:rsidRPr="00DD06A6">
        <w:t>Release 1.</w:t>
      </w:r>
    </w:p>
    <w:p w:rsidR="00000000" w:rsidRPr="00DD06A6" w:rsidP="006637F4">
      <w:r w:rsidRPr="00DD06A6">
        <w:t>Supersedes and is equivalent to CPPSEC3009A Prepare and present evidence in court.</w:t>
      </w:r>
    </w:p>
    <w:p w:rsidR="00000000" w:rsidRPr="00DD06A6" w:rsidP="006637F4">
      <w:r w:rsidRPr="00DD06A6">
        <w:t>Updated to meet the Standards for Training Packages.</w:t>
      </w:r>
    </w:p>
    <w:p w:rsidR="00000000" w:rsidRPr="00DD06A6" w:rsidP="006637F4">
      <w:r w:rsidRPr="00DD06A6">
        <w:t>This version first released with CPP Property Services Training Package Version 7.0.</w:t>
      </w:r>
    </w:p>
    <w:p w:rsidR="00000000" w:rsidRPr="00DD06A6" w:rsidP="00DD06A6">
      <w:pPr>
        <w:pStyle w:val="Heading1"/>
      </w:pPr>
      <w:bookmarkStart w:id="2" w:name="O_1009386"/>
      <w:bookmarkEnd w:id="2"/>
      <w:r w:rsidRPr="00DD06A6">
        <w:t>Performance Evidence</w:t>
      </w:r>
    </w:p>
    <w:p w:rsidR="00000000" w:rsidRPr="00DD06A6" w:rsidP="006637F4">
      <w:pPr>
        <w:pStyle w:val="BodyText"/>
      </w:pPr>
      <w:r w:rsidRPr="00DD06A6">
        <w:t>To demonstrate competency in this unit, a person must prepare and present evid</w:t>
      </w:r>
      <w:r w:rsidRPr="00DD06A6">
        <w:t>ence in court in two separate court proceedings.</w:t>
      </w:r>
    </w:p>
    <w:p w:rsidR="00000000" w:rsidRPr="00DD06A6" w:rsidP="006637F4">
      <w:pPr>
        <w:pStyle w:val="BodyText"/>
      </w:pPr>
      <w:r w:rsidRPr="00DD06A6">
        <w:t>In doing this, the person must meet the performance criteria for this unit.</w:t>
      </w:r>
    </w:p>
    <w:p w:rsidR="00000000" w:rsidRPr="00DD06A6" w:rsidP="00DD06A6">
      <w:pPr>
        <w:pStyle w:val="Heading1"/>
      </w:pPr>
      <w:bookmarkStart w:id="3" w:name="O_1009385"/>
      <w:bookmarkEnd w:id="3"/>
      <w:r w:rsidRPr="00DD06A6">
        <w:t>Knowledge Evidence</w:t>
      </w:r>
    </w:p>
    <w:p w:rsidR="00000000" w:rsidRPr="00DD06A6" w:rsidP="006637F4">
      <w:pPr>
        <w:pStyle w:val="BodyText"/>
      </w:pPr>
      <w:r w:rsidRPr="00DD06A6">
        <w:t>To be competent in this unit, a person must demonstrate knowledge of:</w:t>
      </w:r>
    </w:p>
    <w:p w:rsidR="00000000" w:rsidRPr="00DD06A6" w:rsidP="00DD06A6">
      <w:pPr>
        <w:pStyle w:val="ListBullet"/>
      </w:pPr>
      <w:r w:rsidRPr="00DD06A6">
        <w:t>standard operating pro</w:t>
      </w:r>
      <w:r w:rsidRPr="00DD06A6">
        <w:t>cedures and workplace policies that ensure compliance with legislative and regulatory requirements when preparing and presenting evidence in court:</w:t>
      </w:r>
    </w:p>
    <w:p w:rsidR="00000000" w:rsidRPr="00DD06A6" w:rsidP="00DD06A6">
      <w:pPr>
        <w:pStyle w:val="ListBullet2"/>
      </w:pPr>
      <w:r w:rsidRPr="00DD06A6">
        <w:t>anti-discrimination and diversity</w:t>
      </w:r>
    </w:p>
    <w:p w:rsidR="00000000" w:rsidRPr="00DD06A6" w:rsidP="00DD06A6">
      <w:pPr>
        <w:pStyle w:val="ListBullet2"/>
      </w:pPr>
      <w:r w:rsidRPr="00DD06A6">
        <w:t>duty of care</w:t>
      </w:r>
    </w:p>
    <w:p w:rsidR="00000000" w:rsidRPr="00DD06A6" w:rsidP="00DD06A6">
      <w:pPr>
        <w:pStyle w:val="ListBullet2"/>
      </w:pPr>
      <w:r w:rsidRPr="00DD06A6">
        <w:t>licensing requirements and limits of own authority</w:t>
      </w:r>
    </w:p>
    <w:p w:rsidR="00000000" w:rsidRPr="00DD06A6" w:rsidP="00DD06A6">
      <w:pPr>
        <w:pStyle w:val="ListBullet2"/>
      </w:pPr>
      <w:r w:rsidRPr="00DD06A6">
        <w:t>information privacy and confidentiality</w:t>
      </w:r>
    </w:p>
    <w:p w:rsidR="00000000" w:rsidRPr="00DD06A6" w:rsidP="00DD06A6">
      <w:pPr>
        <w:pStyle w:val="ListBullet2"/>
      </w:pPr>
      <w:r w:rsidRPr="00DD06A6">
        <w:t>workplace health and safety (WHS)</w:t>
      </w:r>
    </w:p>
    <w:p w:rsidR="00000000" w:rsidRPr="00DD06A6" w:rsidP="00DD06A6">
      <w:pPr>
        <w:pStyle w:val="ListBullet"/>
      </w:pPr>
      <w:r w:rsidRPr="00DD06A6">
        <w:t>basic research techniques that can be used to gather information and evidence</w:t>
      </w:r>
    </w:p>
    <w:p w:rsidR="00000000" w:rsidRPr="00DD06A6" w:rsidP="00DD06A6">
      <w:pPr>
        <w:pStyle w:val="ListBullet"/>
      </w:pPr>
      <w:r w:rsidRPr="00DD06A6">
        <w:t>evidence management principles</w:t>
      </w:r>
    </w:p>
    <w:p w:rsidR="00000000" w:rsidRPr="00DD06A6" w:rsidP="00DD06A6">
      <w:pPr>
        <w:pStyle w:val="ListBullet"/>
      </w:pPr>
      <w:r w:rsidRPr="00DD06A6">
        <w:t xml:space="preserve">methods for complying with privacy and confidentiality regulations when </w:t>
      </w:r>
      <w:r w:rsidRPr="00DD06A6">
        <w:t>gathering, presenting and storing security information</w:t>
      </w:r>
    </w:p>
    <w:p w:rsidR="00000000" w:rsidRPr="00DD06A6" w:rsidP="00DD06A6">
      <w:pPr>
        <w:pStyle w:val="ListBullet"/>
      </w:pPr>
      <w:r w:rsidRPr="00DD06A6">
        <w:t>methods for identifying proofs of an offence</w:t>
      </w:r>
    </w:p>
    <w:p w:rsidR="00000000" w:rsidRPr="00DD06A6" w:rsidP="00DD06A6">
      <w:pPr>
        <w:pStyle w:val="ListBullet"/>
      </w:pPr>
      <w:r w:rsidRPr="00DD06A6">
        <w:t>methods for preserving, maintaining, storing and transporting evidence and exhibits that may be used in court</w:t>
      </w:r>
    </w:p>
    <w:p w:rsidR="00000000" w:rsidRPr="00DD06A6" w:rsidP="00DD06A6">
      <w:pPr>
        <w:pStyle w:val="ListBullet"/>
      </w:pPr>
      <w:r w:rsidRPr="00DD06A6">
        <w:t>operational functions of a range of informatio</w:t>
      </w:r>
      <w:r w:rsidRPr="00DD06A6">
        <w:t>n technologies used to gather, organise and present security information and evidence</w:t>
      </w:r>
    </w:p>
    <w:p w:rsidR="00000000" w:rsidRPr="00DD06A6" w:rsidP="00DD06A6">
      <w:pPr>
        <w:pStyle w:val="ListBullet"/>
      </w:pPr>
      <w:r w:rsidRPr="00DD06A6">
        <w:t>own areas of competence and expertise to provide specialist opinion in court</w:t>
      </w:r>
    </w:p>
    <w:p w:rsidR="00000000" w:rsidRPr="00DD06A6" w:rsidP="00DD06A6">
      <w:pPr>
        <w:pStyle w:val="ListBullet"/>
      </w:pPr>
      <w:r w:rsidRPr="00DD06A6">
        <w:t>procedures for preparing briefs of evidence</w:t>
      </w:r>
    </w:p>
    <w:p w:rsidR="00000000" w:rsidRPr="00DD06A6" w:rsidP="00DD06A6">
      <w:pPr>
        <w:pStyle w:val="ListBullet"/>
      </w:pPr>
      <w:r w:rsidRPr="00DD06A6">
        <w:t>procedures, protocols and rules to be followed wh</w:t>
      </w:r>
      <w:r w:rsidRPr="00DD06A6">
        <w:t>en presenting evidence in court:</w:t>
      </w:r>
    </w:p>
    <w:p w:rsidR="00000000" w:rsidRPr="00DD06A6" w:rsidP="00DD06A6">
      <w:pPr>
        <w:pStyle w:val="ListBullet2"/>
      </w:pPr>
      <w:r w:rsidRPr="00DD06A6">
        <w:t>addressing court personnel</w:t>
      </w:r>
    </w:p>
    <w:p w:rsidR="00000000" w:rsidRPr="00DD06A6" w:rsidP="00DD06A6">
      <w:pPr>
        <w:pStyle w:val="ListBullet2"/>
      </w:pPr>
      <w:r w:rsidRPr="00DD06A6">
        <w:t>language</w:t>
      </w:r>
    </w:p>
    <w:p w:rsidR="00000000" w:rsidRPr="00DD06A6" w:rsidP="00DD06A6">
      <w:pPr>
        <w:pStyle w:val="ListBullet2"/>
      </w:pPr>
      <w:r w:rsidRPr="00DD06A6">
        <w:t>manner</w:t>
      </w:r>
    </w:p>
    <w:p w:rsidR="00000000" w:rsidRPr="00DD06A6" w:rsidP="00DD06A6">
      <w:pPr>
        <w:pStyle w:val="ListBullet2"/>
      </w:pPr>
      <w:r w:rsidRPr="00DD06A6">
        <w:t>participating and giving evidence</w:t>
      </w:r>
    </w:p>
    <w:p w:rsidR="00000000" w:rsidRPr="00DD06A6" w:rsidP="00DD06A6">
      <w:pPr>
        <w:pStyle w:val="ListBullet2"/>
      </w:pPr>
      <w:r w:rsidRPr="00DD06A6">
        <w:t>personal presentation</w:t>
      </w:r>
    </w:p>
    <w:p w:rsidR="00000000" w:rsidRPr="00DD06A6" w:rsidP="00DD06A6">
      <w:pPr>
        <w:pStyle w:val="ListBullet2"/>
      </w:pPr>
      <w:r w:rsidRPr="00DD06A6">
        <w:t>who</w:t>
      </w:r>
      <w:r>
        <w:t>’</w:t>
      </w:r>
      <w:r w:rsidRPr="00DD06A6">
        <w:t>s who in court</w:t>
      </w:r>
    </w:p>
    <w:p w:rsidR="00000000" w:rsidRPr="00DD06A6" w:rsidP="00DD06A6">
      <w:pPr>
        <w:pStyle w:val="ListBullet"/>
      </w:pPr>
      <w:r w:rsidRPr="00DD06A6">
        <w:t>purpose of the Evidence Act</w:t>
      </w:r>
    </w:p>
    <w:p w:rsidR="00000000" w:rsidRPr="00DD06A6" w:rsidP="00DD06A6">
      <w:pPr>
        <w:pStyle w:val="ListBullet"/>
      </w:pPr>
      <w:r w:rsidRPr="00DD06A6">
        <w:t>requirements for recording information that is factual and can be used as evidence in court, including meaning of ‘continuity of evidence’</w:t>
      </w:r>
    </w:p>
    <w:p w:rsidR="00000000" w:rsidRPr="00DD06A6" w:rsidP="00DD06A6">
      <w:pPr>
        <w:pStyle w:val="ListBullet"/>
      </w:pPr>
      <w:r w:rsidRPr="00DD06A6">
        <w:t>requirements for recording and reporting incidents</w:t>
      </w:r>
    </w:p>
    <w:p w:rsidR="00000000" w:rsidRPr="00DD06A6" w:rsidP="00DD06A6">
      <w:pPr>
        <w:pStyle w:val="ListBullet"/>
      </w:pPr>
      <w:r w:rsidRPr="00DD06A6">
        <w:t>requirements for taking statements from witnesses</w:t>
      </w:r>
    </w:p>
    <w:p w:rsidR="00000000" w:rsidRPr="00DD06A6" w:rsidP="00DD06A6">
      <w:pPr>
        <w:pStyle w:val="ListBullet"/>
      </w:pPr>
      <w:r w:rsidRPr="00DD06A6">
        <w:t>rules of evidenc</w:t>
      </w:r>
      <w:r w:rsidRPr="00DD06A6">
        <w:t>e that can be presented in court:</w:t>
      </w:r>
    </w:p>
    <w:p w:rsidR="00000000" w:rsidRPr="00DD06A6" w:rsidP="00DD06A6">
      <w:pPr>
        <w:pStyle w:val="ListBullet"/>
      </w:pPr>
      <w:r w:rsidRPr="00DD06A6">
        <w:t>contemporaneousness</w:t>
      </w:r>
    </w:p>
    <w:p w:rsidR="00000000" w:rsidRPr="00DD06A6" w:rsidP="00DD06A6">
      <w:pPr>
        <w:pStyle w:val="ListBullet2"/>
      </w:pPr>
      <w:r w:rsidRPr="00DD06A6">
        <w:t xml:space="preserve">must not be </w:t>
      </w:r>
      <w:r>
        <w:t>‘</w:t>
      </w:r>
      <w:r w:rsidRPr="00DD06A6">
        <w:t>hearsay</w:t>
      </w:r>
      <w:r>
        <w:t>’</w:t>
      </w:r>
    </w:p>
    <w:p w:rsidR="00000000" w:rsidRPr="00DD06A6" w:rsidP="00DD06A6">
      <w:pPr>
        <w:pStyle w:val="ListBullet2"/>
      </w:pPr>
      <w:r w:rsidRPr="00DD06A6">
        <w:t>must not be opinion</w:t>
      </w:r>
    </w:p>
    <w:p w:rsidR="00000000" w:rsidRPr="00DD06A6" w:rsidP="00DD06A6">
      <w:pPr>
        <w:pStyle w:val="ListBullet2"/>
      </w:pPr>
      <w:r w:rsidRPr="00DD06A6">
        <w:t>must be relevant</w:t>
      </w:r>
    </w:p>
    <w:p w:rsidR="00000000" w:rsidRPr="00DD06A6" w:rsidP="00DD06A6">
      <w:pPr>
        <w:pStyle w:val="ListBullet2"/>
      </w:pPr>
      <w:r w:rsidRPr="00DD06A6">
        <w:t>must be admissible</w:t>
      </w:r>
    </w:p>
    <w:p w:rsidR="00000000" w:rsidRPr="00DD06A6" w:rsidP="00DD06A6">
      <w:pPr>
        <w:pStyle w:val="ListBullet"/>
      </w:pPr>
      <w:r w:rsidRPr="00DD06A6">
        <w:t>storage requirements for information that is susceptible to spoil or damage, such as film, tapes and images</w:t>
      </w:r>
    </w:p>
    <w:p w:rsidR="00000000" w:rsidRPr="00DD06A6" w:rsidP="00DD06A6">
      <w:pPr>
        <w:pStyle w:val="ListBullet"/>
      </w:pPr>
      <w:r w:rsidRPr="00DD06A6">
        <w:t>techniques for validating the accuracy and reliability of security information and evidence</w:t>
      </w:r>
    </w:p>
    <w:p w:rsidR="00000000" w:rsidRPr="00DD06A6" w:rsidP="00DD06A6">
      <w:pPr>
        <w:pStyle w:val="ListBullet"/>
      </w:pPr>
      <w:r w:rsidRPr="00DD06A6">
        <w:t>treatment of persons being interviewed</w:t>
      </w:r>
    </w:p>
    <w:p w:rsidR="00000000" w:rsidRPr="00DD06A6" w:rsidP="00DD06A6">
      <w:pPr>
        <w:pStyle w:val="ListBullet"/>
      </w:pPr>
      <w:r w:rsidRPr="00DD06A6">
        <w:t>types of documentation and exhibits that may be presented as evidence in court</w:t>
      </w:r>
    </w:p>
    <w:p w:rsidR="00000000" w:rsidRPr="00DD06A6" w:rsidP="00DD06A6">
      <w:pPr>
        <w:pStyle w:val="ListBullet"/>
      </w:pPr>
      <w:r w:rsidRPr="00DD06A6">
        <w:t>types of law:</w:t>
      </w:r>
    </w:p>
    <w:p w:rsidR="00000000" w:rsidRPr="00DD06A6" w:rsidP="00DD06A6">
      <w:pPr>
        <w:pStyle w:val="ListBullet2"/>
      </w:pPr>
      <w:r w:rsidRPr="00DD06A6">
        <w:t>civil</w:t>
      </w:r>
    </w:p>
    <w:p w:rsidR="00000000" w:rsidRPr="00DD06A6" w:rsidP="00DD06A6">
      <w:pPr>
        <w:pStyle w:val="ListBullet2"/>
      </w:pPr>
      <w:r w:rsidRPr="00DD06A6">
        <w:t>common</w:t>
      </w:r>
    </w:p>
    <w:p w:rsidR="00000000" w:rsidRPr="00DD06A6" w:rsidP="00DD06A6">
      <w:pPr>
        <w:pStyle w:val="ListBullet2"/>
      </w:pPr>
      <w:r w:rsidRPr="00DD06A6">
        <w:t>criminal</w:t>
      </w:r>
    </w:p>
    <w:p w:rsidR="00000000" w:rsidRPr="00DD06A6" w:rsidP="00DD06A6">
      <w:pPr>
        <w:pStyle w:val="ListBullet2"/>
      </w:pPr>
      <w:r w:rsidRPr="00DD06A6">
        <w:t>statute.</w:t>
      </w:r>
    </w:p>
    <w:p w:rsidR="00000000" w:rsidRPr="00DD06A6" w:rsidP="00DD06A6">
      <w:pPr>
        <w:pStyle w:val="AllowPageBreak"/>
      </w:pPr>
    </w:p>
    <w:p w:rsidR="00000000" w:rsidRPr="00DD06A6" w:rsidP="00DD06A6">
      <w:pPr>
        <w:pStyle w:val="Heading1"/>
      </w:pPr>
      <w:bookmarkStart w:id="4" w:name="O_1009384"/>
      <w:bookmarkEnd w:id="4"/>
      <w:r w:rsidRPr="00DD06A6">
        <w:t>Assessment Conditions</w:t>
      </w:r>
    </w:p>
    <w:p w:rsidR="00000000" w:rsidRPr="00DD06A6" w:rsidP="006637F4">
      <w:pPr>
        <w:pStyle w:val="BodyText"/>
      </w:pPr>
      <w:r w:rsidRPr="00DD06A6">
        <w:t>Assessors must satisfy the requirements for assessors contained in the Standards for Registered Training Organisations (RTOs).  All individuals engaged by a licensed RTO for security licensing purposes must hold bot</w:t>
      </w:r>
      <w:r w:rsidRPr="00DD06A6">
        <w:t>h a security trainer’s licence (where such a licence exists within the relevant jurisdiction) and a security operative licence that authorises the security activities about which the individual is training/assessing.  Regulators may impose other assessor c</w:t>
      </w:r>
      <w:r w:rsidRPr="00DD06A6">
        <w:t>onditions to meet jurisdictional assessment requirements.</w:t>
      </w:r>
    </w:p>
    <w:p w:rsidR="00000000" w:rsidRPr="00DD06A6" w:rsidP="006637F4">
      <w:pPr>
        <w:pStyle w:val="BodyText"/>
      </w:pPr>
      <w:r w:rsidRPr="00DD06A6">
        <w:t>Assessment of performance must be undertaken in an operational workplace environment or environment that reflects workplace conditions. Tasks are to be performed to the level of proficiency and with</w:t>
      </w:r>
      <w:r w:rsidRPr="00DD06A6">
        <w:t>in the time limits that would be expected in a workplace.</w:t>
      </w:r>
    </w:p>
    <w:p w:rsidR="00000000" w:rsidRPr="00DD06A6" w:rsidP="006637F4">
      <w:pPr>
        <w:pStyle w:val="BodyText"/>
      </w:pPr>
      <w:r w:rsidRPr="00DD06A6">
        <w:t>The assessment of performance evidence must be done by direct observation of the learner by an assessor, either by an assessor observing the learner physically or by an assessor observing the learne</w:t>
      </w:r>
      <w:r w:rsidRPr="00DD06A6">
        <w:t>r via audio and visual media.</w:t>
      </w:r>
    </w:p>
    <w:p w:rsidR="00000000" w:rsidRPr="00DD06A6" w:rsidP="006637F4">
      <w:pPr>
        <w:pStyle w:val="BodyText"/>
      </w:pPr>
      <w:r w:rsidRPr="00DD06A6">
        <w:t xml:space="preserve">Assessment of performance evidence is only valid where the learner has been assessed performing the role of a security officer. </w:t>
      </w:r>
    </w:p>
    <w:p w:rsidR="00000000" w:rsidRPr="00DD06A6" w:rsidP="006637F4">
      <w:pPr>
        <w:pStyle w:val="BodyText"/>
      </w:pPr>
      <w:r w:rsidRPr="00DD06A6">
        <w:t>Assessors are responsible for ensuring that the person demonstrating competency has access to:</w:t>
      </w:r>
    </w:p>
    <w:p w:rsidR="00000000" w:rsidRPr="00DD06A6" w:rsidP="00DD06A6">
      <w:pPr>
        <w:pStyle w:val="ListBullet"/>
      </w:pPr>
      <w:r w:rsidRPr="00DD06A6">
        <w:t>specifications of assessment tasks to prepare and present evidence in court</w:t>
      </w:r>
    </w:p>
    <w:p w:rsidR="00000000" w:rsidRPr="00DD06A6" w:rsidP="00DD06A6">
      <w:pPr>
        <w:pStyle w:val="ListBullet"/>
      </w:pPr>
      <w:r w:rsidRPr="00DD06A6">
        <w:t>appropriate documents, materials, equipment and personal protective equipment (PPE) currently used in industry</w:t>
      </w:r>
    </w:p>
    <w:p w:rsidR="00000000" w:rsidRPr="00DD06A6" w:rsidP="00DD06A6">
      <w:pPr>
        <w:pStyle w:val="ListBullet"/>
      </w:pPr>
      <w:r w:rsidRPr="00DD06A6">
        <w:t>information technologies required to gather, organise and present sec</w:t>
      </w:r>
      <w:r w:rsidRPr="00DD06A6">
        <w:t>urity information and documentation</w:t>
      </w:r>
    </w:p>
    <w:p w:rsidR="00000000" w:rsidRPr="00DD06A6" w:rsidP="00DD06A6">
      <w:pPr>
        <w:pStyle w:val="ListBullet"/>
      </w:pPr>
      <w:r w:rsidRPr="00DD06A6">
        <w:t>standard operating procedures and workplace policies related to the security work role and which specify requirements for complying with industry legislation and regulations</w:t>
      </w:r>
    </w:p>
    <w:p w:rsidR="00000000" w:rsidRPr="00DD06A6" w:rsidP="00DD06A6">
      <w:pPr>
        <w:pStyle w:val="ListBullet"/>
      </w:pPr>
      <w:r w:rsidRPr="00DD06A6">
        <w:t>access to a court environment to allow achieve</w:t>
      </w:r>
      <w:r w:rsidRPr="00DD06A6">
        <w:t>ment of the performance evidence.</w:t>
      </w:r>
    </w:p>
    <w:p w:rsidR="00000000" w:rsidRPr="00DD06A6" w:rsidP="00DD06A6">
      <w:pPr>
        <w:pStyle w:val="AllowPageBreak"/>
      </w:pPr>
    </w:p>
    <w:p w:rsidR="00000000" w:rsidRPr="00DD06A6" w:rsidP="00DD06A6">
      <w:pPr>
        <w:pStyle w:val="Heading1"/>
      </w:pPr>
      <w:bookmarkStart w:id="5" w:name="O_1009382"/>
      <w:bookmarkEnd w:id="5"/>
      <w:r w:rsidRPr="00DD06A6">
        <w:t>Links</w:t>
      </w:r>
    </w:p>
    <w:p w:rsidR="00000000" w:rsidRPr="00DD06A6" w:rsidP="006637F4">
      <w:pPr>
        <w:pStyle w:val="BodyText"/>
      </w:pPr>
      <w:r w:rsidRPr="00DD06A6">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315689">
        <w:rPr>
          <w:rStyle w:val="Hyperlink"/>
        </w:rPr>
        <w:t>https://vetnet.gov.au/Pages/TrainingDocs.aspx?q=6f3f9672-30e8-4835-b348-205dfcf13d9b</w:t>
      </w:r>
      <w:r>
        <w:fldChar w:fldCharType="end"/>
      </w:r>
    </w:p>
    <w:p w:rsidR="00000000" w:rsidRPr="00DD06A6" w:rsidP="00DD06A6"/>
    <w:sectPr w:rsidSect="00DD06A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6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6A6" w:rsidRPr="006637F4" w:rsidP="006637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6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7F4" w:rsidP="00DD06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37F4" w:rsidP="00DD06A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6637F4" w:rsidP="00DD06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6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7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06A6" w:rsidRPr="006637F4" w:rsidP="006637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6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7F4" w:rsidRPr="002D2AF8" w:rsidP="00DD06A6">
    <w:pPr>
      <w:pStyle w:val="Header"/>
      <w:framePr w:wrap="around"/>
    </w:pPr>
    <w:r>
      <w:fldChar w:fldCharType="begin"/>
    </w:r>
    <w:r>
      <w:instrText xml:space="preserve"> TITLE   \* MERGEFORMAT </w:instrText>
    </w:r>
    <w:r>
      <w:fldChar w:fldCharType="separate"/>
    </w:r>
    <w:r>
      <w:t>Assessment Requirements for CPPSEC3124 Prepare and present evidence in court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6637F4" w:rsidP="00DD06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5E37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7001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4AED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6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06A6"/>
    <w:pPr>
      <w:spacing w:before="360" w:after="60"/>
      <w:outlineLvl w:val="0"/>
    </w:pPr>
    <w:rPr>
      <w:sz w:val="32"/>
    </w:rPr>
  </w:style>
  <w:style w:type="paragraph" w:styleId="Heading2">
    <w:name w:val="heading 2"/>
    <w:basedOn w:val="HeadingBase"/>
    <w:next w:val="BodyText"/>
    <w:link w:val="Heading2Char"/>
    <w:qFormat/>
    <w:rsid w:val="00DD06A6"/>
    <w:pPr>
      <w:keepLines/>
      <w:spacing w:before="240" w:after="120"/>
      <w:outlineLvl w:val="1"/>
    </w:pPr>
    <w:rPr>
      <w:sz w:val="28"/>
      <w:szCs w:val="40"/>
    </w:rPr>
  </w:style>
  <w:style w:type="paragraph" w:styleId="Heading3">
    <w:name w:val="heading 3"/>
    <w:basedOn w:val="HeadingBase"/>
    <w:next w:val="BodyText"/>
    <w:link w:val="Heading3Char"/>
    <w:qFormat/>
    <w:rsid w:val="00DD06A6"/>
    <w:pPr>
      <w:spacing w:before="180" w:after="120"/>
      <w:outlineLvl w:val="2"/>
    </w:pPr>
    <w:rPr>
      <w:spacing w:val="-10"/>
      <w:kern w:val="32"/>
    </w:rPr>
  </w:style>
  <w:style w:type="paragraph" w:styleId="Heading4">
    <w:name w:val="heading 4"/>
    <w:basedOn w:val="HeadingBase"/>
    <w:next w:val="BodyText"/>
    <w:link w:val="Heading4Char"/>
    <w:qFormat/>
    <w:rsid w:val="00DD06A6"/>
    <w:pPr>
      <w:spacing w:before="160" w:after="120"/>
      <w:outlineLvl w:val="3"/>
    </w:pPr>
    <w:rPr>
      <w:sz w:val="22"/>
    </w:rPr>
  </w:style>
  <w:style w:type="paragraph" w:styleId="Heading5">
    <w:name w:val="heading 5"/>
    <w:basedOn w:val="HeadingBase"/>
    <w:next w:val="Normal"/>
    <w:link w:val="Heading5Char"/>
    <w:qFormat/>
    <w:rsid w:val="00DD06A6"/>
    <w:pPr>
      <w:spacing w:before="80"/>
      <w:outlineLvl w:val="4"/>
    </w:pPr>
    <w:rPr>
      <w:color w:val="918585"/>
      <w:sz w:val="20"/>
    </w:rPr>
  </w:style>
  <w:style w:type="paragraph" w:styleId="Heading6">
    <w:name w:val="heading 6"/>
    <w:basedOn w:val="HeadingBase"/>
    <w:next w:val="Normal"/>
    <w:link w:val="Heading6Char"/>
    <w:qFormat/>
    <w:rsid w:val="00DD06A6"/>
    <w:pPr>
      <w:spacing w:before="60"/>
      <w:outlineLvl w:val="5"/>
    </w:pPr>
    <w:rPr>
      <w:color w:val="918585"/>
      <w:sz w:val="20"/>
    </w:rPr>
  </w:style>
  <w:style w:type="paragraph" w:styleId="Heading7">
    <w:name w:val="heading 7"/>
    <w:basedOn w:val="Normal"/>
    <w:next w:val="Normal"/>
    <w:link w:val="Heading7Char"/>
    <w:qFormat/>
    <w:rsid w:val="00DD06A6"/>
    <w:pPr>
      <w:ind w:left="720"/>
      <w:outlineLvl w:val="6"/>
    </w:pPr>
    <w:rPr>
      <w:i/>
    </w:rPr>
  </w:style>
  <w:style w:type="paragraph" w:styleId="Heading8">
    <w:name w:val="heading 8"/>
    <w:basedOn w:val="Normal"/>
    <w:next w:val="Normal"/>
    <w:link w:val="Heading8Char"/>
    <w:qFormat/>
    <w:rsid w:val="00DD06A6"/>
    <w:pPr>
      <w:ind w:left="720"/>
      <w:outlineLvl w:val="7"/>
    </w:pPr>
    <w:rPr>
      <w:i/>
    </w:rPr>
  </w:style>
  <w:style w:type="paragraph" w:styleId="Heading9">
    <w:name w:val="heading 9"/>
    <w:basedOn w:val="Normal"/>
    <w:next w:val="Normal"/>
    <w:link w:val="Heading9Char"/>
    <w:qFormat/>
    <w:rsid w:val="00DD06A6"/>
    <w:pPr>
      <w:ind w:left="720"/>
      <w:outlineLvl w:val="8"/>
    </w:pPr>
    <w:rPr>
      <w:i/>
    </w:rPr>
  </w:style>
  <w:style w:type="character" w:default="1" w:styleId="DefaultParagraphFont">
    <w:name w:val="Default Paragraph Font"/>
    <w:uiPriority w:val="1"/>
    <w:unhideWhenUsed/>
    <w:rsid w:val="00DD06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06A6"/>
  </w:style>
  <w:style w:type="character" w:customStyle="1" w:styleId="Heading1Char">
    <w:name w:val="Heading 1 Char"/>
    <w:basedOn w:val="DefaultParagraphFont"/>
    <w:link w:val="Heading1"/>
    <w:rsid w:val="00DD06A6"/>
    <w:rPr>
      <w:rFonts w:ascii="Times New Roman" w:eastAsia="Times New Roman" w:hAnsi="Times New Roman" w:cs="Times New Roman"/>
      <w:b/>
      <w:sz w:val="32"/>
      <w:szCs w:val="20"/>
      <w:lang w:eastAsia="en-US"/>
    </w:rPr>
  </w:style>
  <w:style w:type="paragraph" w:styleId="BodyText">
    <w:name w:val="Body Text"/>
    <w:basedOn w:val="Normal"/>
    <w:link w:val="BodyTextChar"/>
    <w:rsid w:val="00DD06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06A6"/>
    <w:rPr>
      <w:rFonts w:ascii="Times New Roman" w:eastAsia="Times New Roman" w:hAnsi="Times New Roman" w:cs="Times New Roman"/>
      <w:sz w:val="24"/>
      <w:lang w:eastAsia="en-US"/>
    </w:rPr>
  </w:style>
  <w:style w:type="paragraph" w:styleId="ListBullet">
    <w:name w:val="List Bullet"/>
    <w:basedOn w:val="List"/>
    <w:rsid w:val="00DD06A6"/>
    <w:pPr>
      <w:numPr>
        <w:numId w:val="12"/>
      </w:numPr>
      <w:tabs>
        <w:tab w:val="clear" w:pos="340"/>
      </w:tabs>
      <w:spacing w:before="40" w:after="40"/>
    </w:pPr>
  </w:style>
  <w:style w:type="paragraph" w:styleId="ListBullet2">
    <w:name w:val="List Bullet 2"/>
    <w:basedOn w:val="List2"/>
    <w:rsid w:val="00DD06A6"/>
    <w:pPr>
      <w:numPr>
        <w:numId w:val="13"/>
      </w:numPr>
      <w:tabs>
        <w:tab w:val="clear" w:pos="680"/>
      </w:tabs>
    </w:pPr>
  </w:style>
  <w:style w:type="paragraph" w:customStyle="1" w:styleId="SuperHeading">
    <w:name w:val="SuperHeading"/>
    <w:basedOn w:val="Normal"/>
    <w:rsid w:val="00DD06A6"/>
    <w:pPr>
      <w:spacing w:before="240" w:after="120"/>
      <w:outlineLvl w:val="0"/>
    </w:pPr>
    <w:rPr>
      <w:rFonts w:ascii="Times New Roman" w:hAnsi="Times New Roman"/>
      <w:b/>
      <w:sz w:val="32"/>
    </w:rPr>
  </w:style>
  <w:style w:type="paragraph" w:customStyle="1" w:styleId="AllowPageBreak">
    <w:name w:val="AllowPageBreak"/>
    <w:rsid w:val="00DD06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06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06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06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06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06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06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06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06A6"/>
    <w:rPr>
      <w:rFonts w:ascii="Courier New" w:eastAsia="Times New Roman" w:hAnsi="Courier New" w:cs="Times New Roman"/>
      <w:i/>
      <w:szCs w:val="20"/>
      <w:lang w:eastAsia="en-US"/>
    </w:rPr>
  </w:style>
  <w:style w:type="paragraph" w:customStyle="1" w:styleId="HeadingBase">
    <w:name w:val="Heading Base"/>
    <w:rsid w:val="00DD06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06A6"/>
    <w:pPr>
      <w:tabs>
        <w:tab w:val="right" w:leader="dot" w:pos="9072"/>
      </w:tabs>
      <w:ind w:left="567"/>
    </w:pPr>
    <w:rPr>
      <w:szCs w:val="22"/>
    </w:rPr>
  </w:style>
  <w:style w:type="paragraph" w:customStyle="1" w:styleId="TOCBase">
    <w:name w:val="TOC Base"/>
    <w:rsid w:val="00DD06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06A6"/>
    <w:pPr>
      <w:tabs>
        <w:tab w:val="right" w:leader="dot" w:pos="9072"/>
      </w:tabs>
      <w:spacing w:before="40" w:after="40"/>
      <w:ind w:left="284"/>
    </w:pPr>
    <w:rPr>
      <w:rFonts w:ascii="Times New Roman" w:hAnsi="Times New Roman"/>
    </w:rPr>
  </w:style>
  <w:style w:type="paragraph" w:styleId="TOC1">
    <w:name w:val="toc 1"/>
    <w:basedOn w:val="TOCBase"/>
    <w:next w:val="Normal"/>
    <w:rsid w:val="00DD06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06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06A6"/>
    <w:rPr>
      <w:rFonts w:ascii="Times New Roman" w:eastAsia="Times New Roman" w:hAnsi="Times New Roman" w:cs="Times New Roman"/>
      <w:sz w:val="16"/>
      <w:lang w:eastAsia="en-US"/>
    </w:rPr>
  </w:style>
  <w:style w:type="paragraph" w:styleId="Title">
    <w:name w:val="Title"/>
    <w:basedOn w:val="HeadingBase"/>
    <w:link w:val="TitleChar"/>
    <w:qFormat/>
    <w:rsid w:val="00DD06A6"/>
    <w:pPr>
      <w:spacing w:before="5040"/>
      <w:jc w:val="center"/>
    </w:pPr>
    <w:rPr>
      <w:sz w:val="48"/>
      <w:szCs w:val="72"/>
      <w:lang w:val="en-US"/>
    </w:rPr>
  </w:style>
  <w:style w:type="character" w:customStyle="1" w:styleId="TitleChar">
    <w:name w:val="Title Char"/>
    <w:basedOn w:val="DefaultParagraphFont"/>
    <w:link w:val="Title"/>
    <w:rsid w:val="00DD06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06A6"/>
    <w:pPr>
      <w:tabs>
        <w:tab w:val="left" w:pos="3600"/>
        <w:tab w:val="left" w:pos="3958"/>
      </w:tabs>
    </w:pPr>
  </w:style>
  <w:style w:type="paragraph" w:styleId="List">
    <w:name w:val="List"/>
    <w:basedOn w:val="BodyText"/>
    <w:next w:val="BodyText"/>
    <w:rsid w:val="00DD06A6"/>
    <w:pPr>
      <w:tabs>
        <w:tab w:val="left" w:pos="340"/>
      </w:tabs>
      <w:spacing w:before="60" w:after="60"/>
      <w:ind w:left="340" w:hanging="340"/>
    </w:pPr>
  </w:style>
  <w:style w:type="paragraph" w:customStyle="1" w:styleId="Note">
    <w:name w:val="Note"/>
    <w:basedOn w:val="BodyText"/>
    <w:rsid w:val="00DD06A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D06A6"/>
    <w:rPr>
      <w:b/>
      <w:spacing w:val="0"/>
    </w:rPr>
  </w:style>
  <w:style w:type="paragraph" w:customStyle="1" w:styleId="SuperTitle">
    <w:name w:val="SuperTitle"/>
    <w:basedOn w:val="Title"/>
    <w:rsid w:val="00DD06A6"/>
    <w:pPr>
      <w:framePr w:wrap="auto" w:hAnchor="text" w:y="6049"/>
    </w:pPr>
    <w:rPr>
      <w:color w:val="000000"/>
      <w:sz w:val="40"/>
    </w:rPr>
  </w:style>
  <w:style w:type="paragraph" w:customStyle="1" w:styleId="TOCTitle">
    <w:name w:val="TOCTitle"/>
    <w:basedOn w:val="Heading1"/>
    <w:rsid w:val="00DD06A6"/>
    <w:pPr>
      <w:spacing w:after="240"/>
      <w:jc w:val="center"/>
      <w:outlineLvl w:val="9"/>
    </w:pPr>
    <w:rPr>
      <w:caps/>
    </w:rPr>
  </w:style>
  <w:style w:type="paragraph" w:customStyle="1" w:styleId="Version">
    <w:name w:val="Version"/>
    <w:rsid w:val="00DD06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06A6"/>
    <w:pPr>
      <w:keepNext w:val="0"/>
      <w:tabs>
        <w:tab w:val="right" w:pos="4176"/>
      </w:tabs>
      <w:ind w:left="198" w:hanging="198"/>
    </w:pPr>
    <w:rPr>
      <w:rFonts w:ascii="Garamond" w:hAnsi="Garamond"/>
    </w:rPr>
  </w:style>
  <w:style w:type="paragraph" w:styleId="IndexHeading">
    <w:name w:val="index heading"/>
    <w:basedOn w:val="Normal"/>
    <w:next w:val="Index1"/>
    <w:semiHidden/>
    <w:rsid w:val="00DD06A6"/>
    <w:pPr>
      <w:spacing w:before="120" w:after="120"/>
    </w:pPr>
    <w:rPr>
      <w:rFonts w:ascii="Arial" w:hAnsi="Arial"/>
      <w:b/>
      <w:color w:val="918585"/>
      <w:sz w:val="24"/>
    </w:rPr>
  </w:style>
  <w:style w:type="paragraph" w:styleId="Header">
    <w:name w:val="header"/>
    <w:basedOn w:val="Normal"/>
    <w:link w:val="HeaderChar"/>
    <w:rsid w:val="00DD06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06A6"/>
    <w:rPr>
      <w:rFonts w:ascii="Times New Roman" w:eastAsia="Times New Roman" w:hAnsi="Times New Roman" w:cs="Times New Roman"/>
      <w:sz w:val="16"/>
      <w:szCs w:val="20"/>
      <w:lang w:val="en-GB" w:eastAsia="en-US"/>
    </w:rPr>
  </w:style>
  <w:style w:type="paragraph" w:customStyle="1" w:styleId="Chapter">
    <w:name w:val="Chapter"/>
    <w:basedOn w:val="Normal"/>
    <w:rsid w:val="00DD06A6"/>
    <w:pPr>
      <w:spacing w:before="240"/>
    </w:pPr>
    <w:rPr>
      <w:rFonts w:ascii="Times New Roman" w:hAnsi="Times New Roman"/>
      <w:smallCaps/>
      <w:spacing w:val="80"/>
      <w:sz w:val="28"/>
    </w:rPr>
  </w:style>
  <w:style w:type="paragraph" w:customStyle="1" w:styleId="InChapter">
    <w:name w:val="InChapter"/>
    <w:basedOn w:val="Heading3"/>
    <w:rsid w:val="00DD06A6"/>
    <w:pPr>
      <w:spacing w:after="240"/>
      <w:outlineLvl w:val="9"/>
    </w:pPr>
    <w:rPr>
      <w:noProof/>
    </w:rPr>
  </w:style>
  <w:style w:type="paragraph" w:styleId="Index2">
    <w:name w:val="index 2"/>
    <w:basedOn w:val="Normal"/>
    <w:next w:val="Normal"/>
    <w:semiHidden/>
    <w:rsid w:val="00DD06A6"/>
    <w:pPr>
      <w:tabs>
        <w:tab w:val="right" w:pos="4176"/>
      </w:tabs>
      <w:ind w:left="568" w:hanging="284"/>
    </w:pPr>
    <w:rPr>
      <w:rFonts w:ascii="Garamond" w:hAnsi="Garamond"/>
    </w:rPr>
  </w:style>
  <w:style w:type="paragraph" w:customStyle="1" w:styleId="Byline">
    <w:name w:val="Byline"/>
    <w:rsid w:val="00DD06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06A6"/>
    <w:pPr>
      <w:tabs>
        <w:tab w:val="clear" w:pos="3600"/>
        <w:tab w:val="clear" w:pos="3958"/>
      </w:tabs>
      <w:jc w:val="right"/>
    </w:pPr>
  </w:style>
  <w:style w:type="character" w:styleId="Emphasis">
    <w:name w:val="Emphasis"/>
    <w:basedOn w:val="DefaultParagraphFont"/>
    <w:qFormat/>
    <w:rsid w:val="00DD06A6"/>
    <w:rPr>
      <w:i/>
    </w:rPr>
  </w:style>
  <w:style w:type="paragraph" w:styleId="Caption">
    <w:name w:val="caption"/>
    <w:basedOn w:val="BodyText"/>
    <w:next w:val="Normal"/>
    <w:qFormat/>
    <w:rsid w:val="00DD06A6"/>
    <w:pPr>
      <w:framePr w:w="2268" w:hSpace="181" w:vSpace="181" w:wrap="around" w:vAnchor="text" w:hAnchor="page" w:x="1135" w:y="285" w:anchorLock="1"/>
    </w:pPr>
    <w:rPr>
      <w:i/>
    </w:rPr>
  </w:style>
  <w:style w:type="paragraph" w:customStyle="1" w:styleId="MiniTOCTitle">
    <w:name w:val="MiniTOCTitle"/>
    <w:basedOn w:val="Heading4"/>
    <w:rsid w:val="00DD06A6"/>
    <w:pPr>
      <w:spacing w:before="240"/>
      <w:outlineLvl w:val="9"/>
    </w:pPr>
    <w:rPr>
      <w:noProof/>
      <w:sz w:val="24"/>
    </w:rPr>
  </w:style>
  <w:style w:type="paragraph" w:customStyle="1" w:styleId="MiniTOCItem">
    <w:name w:val="MiniTOCItem"/>
    <w:basedOn w:val="ListBullet"/>
    <w:rsid w:val="00DD06A6"/>
    <w:pPr>
      <w:numPr>
        <w:numId w:val="0"/>
      </w:numPr>
      <w:tabs>
        <w:tab w:val="right" w:leader="dot" w:pos="6521"/>
      </w:tabs>
      <w:spacing w:before="0" w:after="0"/>
    </w:pPr>
  </w:style>
  <w:style w:type="paragraph" w:customStyle="1" w:styleId="TOFTitle">
    <w:name w:val="TOFTitle"/>
    <w:basedOn w:val="TOCTitle"/>
    <w:rsid w:val="00DD06A6"/>
  </w:style>
  <w:style w:type="paragraph" w:styleId="TableofFigures">
    <w:name w:val="table of figures"/>
    <w:basedOn w:val="Normal"/>
    <w:next w:val="Normal"/>
    <w:semiHidden/>
    <w:rsid w:val="00DD06A6"/>
    <w:pPr>
      <w:tabs>
        <w:tab w:val="right" w:leader="dot" w:pos="9072"/>
      </w:tabs>
      <w:ind w:left="970" w:hanging="403"/>
    </w:pPr>
    <w:rPr>
      <w:rFonts w:ascii="Times New Roman" w:hAnsi="Times New Roman"/>
      <w:b/>
    </w:rPr>
  </w:style>
  <w:style w:type="paragraph" w:styleId="ListNumber">
    <w:name w:val="List Number"/>
    <w:basedOn w:val="List"/>
    <w:rsid w:val="00DD06A6"/>
    <w:pPr>
      <w:numPr>
        <w:numId w:val="15"/>
      </w:numPr>
      <w:tabs>
        <w:tab w:val="clear" w:pos="340"/>
      </w:tabs>
    </w:pPr>
  </w:style>
  <w:style w:type="character" w:customStyle="1" w:styleId="WingdingSymbols">
    <w:name w:val="Wingding Symbols"/>
    <w:rsid w:val="00DD06A6"/>
    <w:rPr>
      <w:rFonts w:ascii="Wingdings" w:hAnsi="Wingdings"/>
    </w:rPr>
  </w:style>
  <w:style w:type="paragraph" w:customStyle="1" w:styleId="TableHeading">
    <w:name w:val="Table Heading"/>
    <w:basedOn w:val="HeadingBase"/>
    <w:rsid w:val="00DD06A6"/>
    <w:pPr>
      <w:keepLines/>
      <w:pBdr>
        <w:bottom w:val="single" w:sz="6" w:space="1" w:color="918585"/>
      </w:pBdr>
      <w:spacing w:before="240"/>
    </w:pPr>
  </w:style>
  <w:style w:type="character" w:customStyle="1" w:styleId="HotSpot">
    <w:name w:val="HotSpot"/>
    <w:rsid w:val="00DD06A6"/>
    <w:rPr>
      <w:color w:val="0033CC"/>
      <w:u w:val="none"/>
    </w:rPr>
  </w:style>
  <w:style w:type="paragraph" w:customStyle="1" w:styleId="BodyTextRight">
    <w:name w:val="Body Text Right"/>
    <w:basedOn w:val="BodyText"/>
    <w:rsid w:val="00DD06A6"/>
    <w:pPr>
      <w:spacing w:before="0" w:after="0"/>
      <w:jc w:val="right"/>
    </w:pPr>
  </w:style>
  <w:style w:type="paragraph" w:styleId="Index3">
    <w:name w:val="index 3"/>
    <w:basedOn w:val="ListNumber2"/>
    <w:next w:val="Normal"/>
    <w:semiHidden/>
    <w:rsid w:val="00DD06A6"/>
    <w:pPr>
      <w:numPr>
        <w:numId w:val="0"/>
      </w:numPr>
      <w:tabs>
        <w:tab w:val="right" w:leader="dot" w:pos="4176"/>
      </w:tabs>
    </w:pPr>
  </w:style>
  <w:style w:type="paragraph" w:styleId="ListNumber2">
    <w:name w:val="List Number 2"/>
    <w:basedOn w:val="List2"/>
    <w:rsid w:val="00DD06A6"/>
    <w:pPr>
      <w:numPr>
        <w:numId w:val="10"/>
      </w:numPr>
      <w:tabs>
        <w:tab w:val="clear" w:pos="1060"/>
      </w:tabs>
    </w:pPr>
  </w:style>
  <w:style w:type="paragraph" w:customStyle="1" w:styleId="MarginNote">
    <w:name w:val="Margin Note"/>
    <w:basedOn w:val="BodyText"/>
    <w:rsid w:val="00DD06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06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06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06A6"/>
    <w:rPr>
      <w:sz w:val="32"/>
    </w:rPr>
  </w:style>
  <w:style w:type="paragraph" w:customStyle="1" w:styleId="HeadingProcedure">
    <w:name w:val="Heading Procedure"/>
    <w:basedOn w:val="HeadingBase"/>
    <w:next w:val="Normal"/>
    <w:rsid w:val="00DD06A6"/>
    <w:pPr>
      <w:tabs>
        <w:tab w:val="left" w:pos="0"/>
      </w:tabs>
      <w:spacing w:before="120" w:after="60"/>
    </w:pPr>
    <w:rPr>
      <w:i/>
      <w:color w:val="918585"/>
      <w:sz w:val="22"/>
    </w:rPr>
  </w:style>
  <w:style w:type="paragraph" w:customStyle="1" w:styleId="TableBodyText">
    <w:name w:val="Table Body Text"/>
    <w:basedOn w:val="BodyText"/>
    <w:rsid w:val="00DD06A6"/>
    <w:pPr>
      <w:spacing w:before="60" w:after="60"/>
    </w:pPr>
  </w:style>
  <w:style w:type="paragraph" w:styleId="ListContinue">
    <w:name w:val="List Continue"/>
    <w:basedOn w:val="List"/>
    <w:rsid w:val="00DD06A6"/>
    <w:pPr>
      <w:ind w:firstLine="0"/>
    </w:pPr>
  </w:style>
  <w:style w:type="paragraph" w:customStyle="1" w:styleId="ListNote">
    <w:name w:val="List Note"/>
    <w:basedOn w:val="List"/>
    <w:rsid w:val="00DD06A6"/>
    <w:pPr>
      <w:pBdr>
        <w:top w:val="single" w:sz="6" w:space="2" w:color="918585"/>
        <w:bottom w:val="single" w:sz="6" w:space="2" w:color="918585"/>
      </w:pBdr>
      <w:tabs>
        <w:tab w:val="left" w:pos="1021"/>
      </w:tabs>
      <w:ind w:firstLine="0"/>
    </w:pPr>
  </w:style>
  <w:style w:type="paragraph" w:customStyle="1" w:styleId="Warning">
    <w:name w:val="Warning"/>
    <w:basedOn w:val="BodyText"/>
    <w:rsid w:val="00DD06A6"/>
    <w:pPr>
      <w:shd w:val="clear" w:color="auto" w:fill="D9D9D9"/>
      <w:tabs>
        <w:tab w:val="left" w:pos="992"/>
      </w:tabs>
      <w:ind w:left="119" w:right="119"/>
    </w:pPr>
    <w:rPr>
      <w:sz w:val="20"/>
    </w:rPr>
  </w:style>
  <w:style w:type="paragraph" w:customStyle="1" w:styleId="MarginIcons">
    <w:name w:val="Margin Icons"/>
    <w:basedOn w:val="BodyText"/>
    <w:rsid w:val="00DD06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06A6"/>
    <w:rPr>
      <w:rFonts w:ascii="Courier New" w:hAnsi="Courier New"/>
    </w:rPr>
  </w:style>
  <w:style w:type="paragraph" w:customStyle="1" w:styleId="NoteBullet">
    <w:name w:val="Note Bullet"/>
    <w:basedOn w:val="Note"/>
    <w:rsid w:val="00DD06A6"/>
    <w:pPr>
      <w:tabs>
        <w:tab w:val="clear" w:pos="680"/>
      </w:tabs>
      <w:spacing w:before="60" w:after="60"/>
    </w:pPr>
  </w:style>
  <w:style w:type="paragraph" w:customStyle="1" w:styleId="SubHeading2">
    <w:name w:val="SubHeading2"/>
    <w:basedOn w:val="HeadingBase"/>
    <w:rsid w:val="00DD06A6"/>
    <w:pPr>
      <w:spacing w:before="240" w:after="60"/>
    </w:pPr>
    <w:rPr>
      <w:sz w:val="20"/>
    </w:rPr>
  </w:style>
  <w:style w:type="paragraph" w:customStyle="1" w:styleId="SubHeading1">
    <w:name w:val="SubHeading1"/>
    <w:basedOn w:val="HeadingBase"/>
    <w:rsid w:val="00DD06A6"/>
    <w:pPr>
      <w:spacing w:before="240" w:after="60"/>
    </w:pPr>
    <w:rPr>
      <w:color w:val="918585"/>
      <w:sz w:val="22"/>
    </w:rPr>
  </w:style>
  <w:style w:type="paragraph" w:customStyle="1" w:styleId="SideHeading">
    <w:name w:val="Side Heading"/>
    <w:basedOn w:val="HeadingBase"/>
    <w:rsid w:val="00DD06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06A6"/>
    <w:pPr>
      <w:tabs>
        <w:tab w:val="num" w:pos="360"/>
      </w:tabs>
    </w:pPr>
  </w:style>
  <w:style w:type="paragraph" w:styleId="PlainText">
    <w:name w:val="Plain Text"/>
    <w:basedOn w:val="Normal"/>
    <w:link w:val="PlainTextChar"/>
    <w:rsid w:val="00DD06A6"/>
    <w:rPr>
      <w:sz w:val="20"/>
    </w:rPr>
  </w:style>
  <w:style w:type="character" w:customStyle="1" w:styleId="PlainTextChar">
    <w:name w:val="Plain Text Char"/>
    <w:basedOn w:val="DefaultParagraphFont"/>
    <w:link w:val="PlainText"/>
    <w:rsid w:val="00DD06A6"/>
    <w:rPr>
      <w:rFonts w:ascii="Courier New" w:eastAsia="Times New Roman" w:hAnsi="Courier New" w:cs="Times New Roman"/>
      <w:sz w:val="20"/>
      <w:szCs w:val="20"/>
      <w:lang w:eastAsia="en-US"/>
    </w:rPr>
  </w:style>
  <w:style w:type="character" w:customStyle="1" w:styleId="MenuOption">
    <w:name w:val="Menu Option"/>
    <w:basedOn w:val="DefaultParagraphFont"/>
    <w:rsid w:val="00DD06A6"/>
    <w:rPr>
      <w:b/>
      <w:smallCaps/>
    </w:rPr>
  </w:style>
  <w:style w:type="paragraph" w:customStyle="1" w:styleId="TableListNumber">
    <w:name w:val="Table List Number"/>
    <w:basedOn w:val="ListNumber"/>
    <w:rsid w:val="00DD06A6"/>
    <w:pPr>
      <w:numPr>
        <w:numId w:val="0"/>
      </w:numPr>
    </w:pPr>
  </w:style>
  <w:style w:type="paragraph" w:styleId="TOC4">
    <w:name w:val="toc 4"/>
    <w:basedOn w:val="TOCBase"/>
    <w:next w:val="Normal"/>
    <w:semiHidden/>
    <w:rsid w:val="00DD06A6"/>
    <w:pPr>
      <w:tabs>
        <w:tab w:val="right" w:leader="dot" w:pos="9071"/>
      </w:tabs>
      <w:ind w:left="1701"/>
    </w:pPr>
  </w:style>
  <w:style w:type="paragraph" w:customStyle="1" w:styleId="ListAlpha">
    <w:name w:val="List Alpha"/>
    <w:basedOn w:val="List"/>
    <w:rsid w:val="00DD06A6"/>
    <w:pPr>
      <w:numPr>
        <w:numId w:val="9"/>
      </w:numPr>
    </w:pPr>
  </w:style>
  <w:style w:type="paragraph" w:customStyle="1" w:styleId="ListAlpha2">
    <w:name w:val="List Alpha 2"/>
    <w:basedOn w:val="List2"/>
    <w:rsid w:val="00DD06A6"/>
    <w:pPr>
      <w:numPr>
        <w:numId w:val="8"/>
      </w:numPr>
    </w:pPr>
  </w:style>
  <w:style w:type="paragraph" w:styleId="List2">
    <w:name w:val="List 2"/>
    <w:basedOn w:val="BodyText"/>
    <w:rsid w:val="00DD06A6"/>
    <w:pPr>
      <w:tabs>
        <w:tab w:val="left" w:pos="680"/>
      </w:tabs>
      <w:spacing w:before="60" w:after="60"/>
      <w:ind w:left="680" w:hanging="340"/>
    </w:pPr>
  </w:style>
  <w:style w:type="paragraph" w:styleId="List3">
    <w:name w:val="List 3"/>
    <w:basedOn w:val="BodyText"/>
    <w:rsid w:val="00DD06A6"/>
    <w:pPr>
      <w:tabs>
        <w:tab w:val="left" w:pos="1021"/>
      </w:tabs>
      <w:spacing w:before="60" w:after="60"/>
      <w:ind w:left="1020" w:hanging="340"/>
    </w:pPr>
  </w:style>
  <w:style w:type="paragraph" w:styleId="List4">
    <w:name w:val="List 4"/>
    <w:basedOn w:val="BodyText"/>
    <w:rsid w:val="00DD06A6"/>
    <w:pPr>
      <w:tabs>
        <w:tab w:val="left" w:pos="1361"/>
      </w:tabs>
      <w:spacing w:before="60" w:after="60"/>
      <w:ind w:left="1361" w:hanging="340"/>
    </w:pPr>
  </w:style>
  <w:style w:type="paragraph" w:styleId="List5">
    <w:name w:val="List 5"/>
    <w:basedOn w:val="BodyText"/>
    <w:rsid w:val="00DD06A6"/>
    <w:pPr>
      <w:tabs>
        <w:tab w:val="left" w:pos="1701"/>
      </w:tabs>
      <w:spacing w:before="60" w:after="60"/>
      <w:ind w:left="1701" w:hanging="340"/>
    </w:pPr>
  </w:style>
  <w:style w:type="paragraph" w:styleId="ListBullet3">
    <w:name w:val="List Bullet 3"/>
    <w:basedOn w:val="List3"/>
    <w:rsid w:val="00DD06A6"/>
    <w:pPr>
      <w:numPr>
        <w:numId w:val="14"/>
      </w:numPr>
      <w:tabs>
        <w:tab w:val="clear" w:pos="1021"/>
      </w:tabs>
      <w:ind w:left="1037" w:hanging="357"/>
    </w:pPr>
  </w:style>
  <w:style w:type="paragraph" w:styleId="ListBullet4">
    <w:name w:val="List Bullet 4"/>
    <w:basedOn w:val="List4"/>
    <w:rsid w:val="00DD06A6"/>
    <w:pPr>
      <w:numPr>
        <w:numId w:val="3"/>
      </w:numPr>
      <w:tabs>
        <w:tab w:val="clear" w:pos="1361"/>
      </w:tabs>
    </w:pPr>
  </w:style>
  <w:style w:type="paragraph" w:styleId="ListBullet5">
    <w:name w:val="List Bullet 5"/>
    <w:basedOn w:val="List5"/>
    <w:rsid w:val="00DD06A6"/>
    <w:pPr>
      <w:numPr>
        <w:numId w:val="4"/>
      </w:numPr>
    </w:pPr>
  </w:style>
  <w:style w:type="paragraph" w:styleId="ListContinue2">
    <w:name w:val="List Continue 2"/>
    <w:basedOn w:val="List2"/>
    <w:rsid w:val="00DD06A6"/>
    <w:pPr>
      <w:ind w:firstLine="0"/>
    </w:pPr>
  </w:style>
  <w:style w:type="paragraph" w:styleId="ListContinue3">
    <w:name w:val="List Continue 3"/>
    <w:basedOn w:val="List3"/>
    <w:rsid w:val="00DD06A6"/>
    <w:pPr>
      <w:ind w:left="1021" w:firstLine="0"/>
    </w:pPr>
  </w:style>
  <w:style w:type="paragraph" w:styleId="ListContinue4">
    <w:name w:val="List Continue 4"/>
    <w:basedOn w:val="List4"/>
    <w:rsid w:val="00DD06A6"/>
    <w:pPr>
      <w:ind w:firstLine="0"/>
    </w:pPr>
  </w:style>
  <w:style w:type="paragraph" w:styleId="ListContinue5">
    <w:name w:val="List Continue 5"/>
    <w:basedOn w:val="List5"/>
    <w:rsid w:val="00DD06A6"/>
    <w:pPr>
      <w:ind w:firstLine="0"/>
    </w:pPr>
  </w:style>
  <w:style w:type="paragraph" w:styleId="ListNumber3">
    <w:name w:val="List Number 3"/>
    <w:basedOn w:val="List3"/>
    <w:rsid w:val="00DD06A6"/>
    <w:pPr>
      <w:numPr>
        <w:numId w:val="5"/>
      </w:numPr>
    </w:pPr>
  </w:style>
  <w:style w:type="paragraph" w:styleId="ListNumber4">
    <w:name w:val="List Number 4"/>
    <w:basedOn w:val="List4"/>
    <w:rsid w:val="00DD06A6"/>
    <w:pPr>
      <w:numPr>
        <w:numId w:val="6"/>
      </w:numPr>
    </w:pPr>
  </w:style>
  <w:style w:type="paragraph" w:styleId="ListNumber5">
    <w:name w:val="List Number 5"/>
    <w:basedOn w:val="List5"/>
    <w:rsid w:val="00DD06A6"/>
    <w:pPr>
      <w:numPr>
        <w:numId w:val="7"/>
      </w:numPr>
    </w:pPr>
  </w:style>
  <w:style w:type="paragraph" w:styleId="BlockText">
    <w:name w:val="Block Text"/>
    <w:basedOn w:val="Normal"/>
    <w:rsid w:val="00DD06A6"/>
    <w:pPr>
      <w:spacing w:after="120"/>
      <w:ind w:left="1440" w:right="1440"/>
    </w:pPr>
  </w:style>
  <w:style w:type="character" w:customStyle="1" w:styleId="Subscript">
    <w:name w:val="Subscript"/>
    <w:basedOn w:val="DefaultParagraphFont"/>
    <w:rsid w:val="00DD06A6"/>
    <w:rPr>
      <w:sz w:val="16"/>
      <w:vertAlign w:val="subscript"/>
    </w:rPr>
  </w:style>
  <w:style w:type="character" w:customStyle="1" w:styleId="Superscript">
    <w:name w:val="Superscript"/>
    <w:basedOn w:val="DefaultParagraphFont"/>
    <w:rsid w:val="00DD06A6"/>
    <w:rPr>
      <w:sz w:val="16"/>
      <w:vertAlign w:val="superscript"/>
    </w:rPr>
  </w:style>
  <w:style w:type="character" w:customStyle="1" w:styleId="Symbols">
    <w:name w:val="Symbols"/>
    <w:basedOn w:val="DefaultParagraphFont"/>
    <w:rsid w:val="00DD06A6"/>
    <w:rPr>
      <w:rFonts w:ascii="Symbol" w:hAnsi="Symbol"/>
    </w:rPr>
  </w:style>
  <w:style w:type="character" w:customStyle="1" w:styleId="MenuOptions">
    <w:name w:val="Menu Options"/>
    <w:basedOn w:val="DefaultParagraphFont"/>
    <w:rsid w:val="00DD06A6"/>
    <w:rPr>
      <w:rFonts w:ascii="Arial Narrow" w:hAnsi="Arial Narrow"/>
      <w:smallCaps/>
    </w:rPr>
  </w:style>
  <w:style w:type="character" w:customStyle="1" w:styleId="Buttons">
    <w:name w:val="Buttons"/>
    <w:basedOn w:val="DefaultParagraphFont"/>
    <w:rsid w:val="00DD06A6"/>
    <w:rPr>
      <w:b/>
    </w:rPr>
  </w:style>
  <w:style w:type="character" w:customStyle="1" w:styleId="Underlined">
    <w:name w:val="Underlined"/>
    <w:basedOn w:val="DefaultParagraphFont"/>
    <w:rsid w:val="00DD06A6"/>
    <w:rPr>
      <w:u w:val="single"/>
    </w:rPr>
  </w:style>
  <w:style w:type="paragraph" w:customStyle="1" w:styleId="TableBodyTextRight">
    <w:name w:val="Table Body Text Right"/>
    <w:basedOn w:val="TableBodyText"/>
    <w:rsid w:val="00DD06A6"/>
    <w:pPr>
      <w:widowControl w:val="0"/>
      <w:autoSpaceDE w:val="0"/>
      <w:autoSpaceDN w:val="0"/>
      <w:adjustRightInd w:val="0"/>
      <w:jc w:val="right"/>
    </w:pPr>
    <w:rPr>
      <w:rFonts w:cs="Arial"/>
      <w:szCs w:val="18"/>
    </w:rPr>
  </w:style>
  <w:style w:type="paragraph" w:customStyle="1" w:styleId="CopyrightText">
    <w:name w:val="Copyright Text"/>
    <w:basedOn w:val="BodyText"/>
    <w:rsid w:val="00DD06A6"/>
    <w:rPr>
      <w:sz w:val="18"/>
    </w:rPr>
  </w:style>
  <w:style w:type="paragraph" w:customStyle="1" w:styleId="BodySmallRight">
    <w:name w:val="Body Small Right"/>
    <w:basedOn w:val="BodyTextRight"/>
    <w:rsid w:val="00DD06A6"/>
    <w:rPr>
      <w:sz w:val="18"/>
      <w:szCs w:val="18"/>
    </w:rPr>
  </w:style>
  <w:style w:type="paragraph" w:customStyle="1" w:styleId="MarginEdition">
    <w:name w:val="Margin Edition"/>
    <w:basedOn w:val="MarginNote"/>
    <w:rsid w:val="00DD06A6"/>
    <w:pPr>
      <w:spacing w:before="0" w:after="0"/>
    </w:pPr>
    <w:rPr>
      <w:rFonts w:ascii="Times New Roman" w:hAnsi="Times New Roman"/>
      <w:color w:val="999999"/>
    </w:rPr>
  </w:style>
  <w:style w:type="paragraph" w:customStyle="1" w:styleId="Spacer">
    <w:name w:val="Spacer"/>
    <w:basedOn w:val="Normal"/>
    <w:rsid w:val="00DD06A6"/>
    <w:rPr>
      <w:sz w:val="2"/>
      <w:szCs w:val="2"/>
    </w:rPr>
  </w:style>
  <w:style w:type="character" w:customStyle="1" w:styleId="Small">
    <w:name w:val="Small"/>
    <w:basedOn w:val="DefaultParagraphFont"/>
    <w:rsid w:val="00DD06A6"/>
    <w:rPr>
      <w:sz w:val="16"/>
    </w:rPr>
  </w:style>
  <w:style w:type="paragraph" w:customStyle="1" w:styleId="WideTable">
    <w:name w:val="Wide Table"/>
    <w:basedOn w:val="Normal"/>
    <w:rsid w:val="00DD06A6"/>
    <w:pPr>
      <w:ind w:left="-1418"/>
    </w:pPr>
    <w:rPr>
      <w:sz w:val="2"/>
      <w:szCs w:val="2"/>
    </w:rPr>
  </w:style>
  <w:style w:type="character" w:styleId="PageNumber">
    <w:name w:val="page number"/>
    <w:basedOn w:val="DefaultParagraphFont"/>
    <w:rsid w:val="00DD06A6"/>
  </w:style>
  <w:style w:type="paragraph" w:styleId="Quote">
    <w:name w:val="Quote"/>
    <w:basedOn w:val="Heading1"/>
    <w:link w:val="QuoteChar"/>
    <w:qFormat/>
    <w:rsid w:val="00DD06A6"/>
    <w:rPr>
      <w:b w:val="0"/>
      <w:sz w:val="72"/>
      <w:szCs w:val="72"/>
      <w:lang w:val="en-NZ"/>
    </w:rPr>
  </w:style>
  <w:style w:type="character" w:customStyle="1" w:styleId="QuoteChar">
    <w:name w:val="Quote Char"/>
    <w:basedOn w:val="DefaultParagraphFont"/>
    <w:link w:val="Quote"/>
    <w:rsid w:val="00DD06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06A6"/>
    <w:pPr>
      <w:pageBreakBefore/>
    </w:pPr>
  </w:style>
  <w:style w:type="paragraph" w:customStyle="1" w:styleId="Border">
    <w:name w:val="Border"/>
    <w:basedOn w:val="Normal"/>
    <w:qFormat/>
    <w:rsid w:val="00DD06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06A6"/>
    <w:rPr>
      <w:b/>
      <w:bCs/>
      <w:i/>
      <w:iCs/>
      <w:color w:val="auto"/>
    </w:rPr>
  </w:style>
  <w:style w:type="paragraph" w:styleId="IntenseQuote">
    <w:name w:val="Intense Quote"/>
    <w:basedOn w:val="Normal"/>
    <w:next w:val="Normal"/>
    <w:link w:val="IntenseQuoteChar"/>
    <w:uiPriority w:val="30"/>
    <w:qFormat/>
    <w:rsid w:val="00DD06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06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06A6"/>
    <w:rPr>
      <w:smallCaps/>
      <w:color w:val="auto"/>
      <w:u w:val="single"/>
    </w:rPr>
  </w:style>
  <w:style w:type="character" w:styleId="IntenseReference">
    <w:name w:val="Intense Reference"/>
    <w:basedOn w:val="DefaultParagraphFont"/>
    <w:uiPriority w:val="32"/>
    <w:qFormat/>
    <w:rsid w:val="00DD06A6"/>
    <w:rPr>
      <w:b/>
      <w:bCs/>
      <w:smallCaps/>
      <w:color w:val="auto"/>
      <w:spacing w:val="5"/>
      <w:u w:val="single"/>
    </w:rPr>
  </w:style>
  <w:style w:type="paragraph" w:customStyle="1" w:styleId="2ColumnHeading">
    <w:name w:val="2Column Heading"/>
    <w:basedOn w:val="BodyText"/>
    <w:qFormat/>
    <w:rsid w:val="00DD06A6"/>
    <w:pPr>
      <w:spacing w:after="60"/>
      <w:ind w:left="-2268"/>
    </w:pPr>
    <w:rPr>
      <w:b/>
    </w:rPr>
  </w:style>
  <w:style w:type="paragraph" w:customStyle="1" w:styleId="Heading1TOC">
    <w:name w:val="Heading1 TOC"/>
    <w:basedOn w:val="Normal"/>
    <w:qFormat/>
    <w:rsid w:val="00DD06A6"/>
    <w:pPr>
      <w:spacing w:before="240" w:after="120"/>
    </w:pPr>
    <w:rPr>
      <w:rFonts w:ascii="Times New Roman" w:hAnsi="Times New Roman"/>
      <w:b/>
      <w:sz w:val="32"/>
    </w:rPr>
  </w:style>
  <w:style w:type="paragraph" w:customStyle="1" w:styleId="Heading2TOC">
    <w:name w:val="Heading2 TOC"/>
    <w:basedOn w:val="Normal"/>
    <w:qFormat/>
    <w:rsid w:val="00DD06A6"/>
    <w:pPr>
      <w:spacing w:before="240" w:after="60"/>
    </w:pPr>
    <w:rPr>
      <w:rFonts w:ascii="Times New Roman" w:hAnsi="Times New Roman"/>
      <w:b/>
      <w:sz w:val="28"/>
    </w:rPr>
  </w:style>
  <w:style w:type="character" w:customStyle="1" w:styleId="Underline">
    <w:name w:val="Underline"/>
    <w:basedOn w:val="DefaultParagraphFont"/>
    <w:qFormat/>
    <w:rsid w:val="00DD06A6"/>
    <w:rPr>
      <w:u w:val="single"/>
    </w:rPr>
  </w:style>
  <w:style w:type="character" w:customStyle="1" w:styleId="BoldandItalics">
    <w:name w:val="Bold and Italics"/>
    <w:qFormat/>
    <w:rsid w:val="00DD06A6"/>
    <w:rPr>
      <w:b/>
      <w:i/>
      <w:u w:val="none"/>
    </w:rPr>
  </w:style>
  <w:style w:type="paragraph" w:styleId="BalloonText">
    <w:name w:val="Balloon Text"/>
    <w:basedOn w:val="Normal"/>
    <w:link w:val="BalloonTextChar"/>
    <w:rsid w:val="00DD06A6"/>
    <w:rPr>
      <w:rFonts w:ascii="Tahoma" w:hAnsi="Tahoma" w:cs="Tahoma"/>
      <w:sz w:val="16"/>
      <w:szCs w:val="16"/>
    </w:rPr>
  </w:style>
  <w:style w:type="character" w:customStyle="1" w:styleId="BalloonTextChar">
    <w:name w:val="Balloon Text Char"/>
    <w:basedOn w:val="DefaultParagraphFont"/>
    <w:link w:val="BalloonText"/>
    <w:rsid w:val="00DD06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06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06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06A6"/>
    <w:rPr>
      <w:b/>
      <w:color w:val="660033"/>
      <w:spacing w:val="0"/>
    </w:rPr>
  </w:style>
  <w:style w:type="paragraph" w:customStyle="1" w:styleId="Nameditemlist">
    <w:name w:val="Named item list"/>
    <w:basedOn w:val="BodyText"/>
    <w:qFormat/>
    <w:rsid w:val="00DD06A6"/>
    <w:pPr>
      <w:tabs>
        <w:tab w:val="left" w:pos="2835"/>
      </w:tabs>
      <w:ind w:left="2835" w:hanging="2835"/>
    </w:pPr>
  </w:style>
  <w:style w:type="paragraph" w:customStyle="1" w:styleId="BodyTextnopadding">
    <w:name w:val="Body Text no padding"/>
    <w:basedOn w:val="BodyText"/>
    <w:qFormat/>
    <w:rsid w:val="00DD06A6"/>
    <w:pPr>
      <w:spacing w:before="0" w:after="0"/>
    </w:pPr>
  </w:style>
  <w:style w:type="paragraph" w:customStyle="1" w:styleId="BodyTextBold">
    <w:name w:val="Body Text Bold"/>
    <w:basedOn w:val="BodyText"/>
    <w:qFormat/>
    <w:rsid w:val="00DD06A6"/>
    <w:rPr>
      <w:b/>
    </w:rPr>
  </w:style>
  <w:style w:type="character" w:styleId="Hyperlink">
    <w:name w:val="Hyperlink"/>
    <w:basedOn w:val="DefaultParagraphFont"/>
    <w:uiPriority w:val="99"/>
    <w:unhideWhenUsed/>
    <w:rsid w:val="006637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667</Words>
  <Characters>4179</Characters>
  <Application>Microsoft Office Word</Application>
  <DocSecurity>0</DocSecurity>
  <Lines>99</Lines>
  <Paragraphs>78</Paragraphs>
  <ScaleCrop>false</ScaleCrop>
  <Company>Author-it Software Corporation Ltd.</Company>
  <LinksUpToDate>false</LinksUpToDate>
  <CharactersWithSpaces>4768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CPPSEC3124 Prepare and present evidence in court</dc:title>
  <dc:subject>Approved</dc:subject>
  <dc:creator>BuildSkills Australia</dc:creator>
  <cp:keywords>Release: 1</cp:keywords>
  <dc:description>Review Date: 12 April 2008</dc:description>
  <cp:lastModifiedBy>HSD_TPCMSd.prod</cp:lastModifiedBy>
  <cp:revision>3</cp:revision>
  <dcterms:created xsi:type="dcterms:W3CDTF">2024-12-17T22:33:00Z</dcterms:created>
  <dcterms:modified xsi:type="dcterms:W3CDTF">2024-12-17T22:33:00Z</dcterms:modified>
</cp:coreProperties>
</file>