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E33" w:rsidP="00977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CPPSEC3123 Implement close protection services</w:t>
      </w:r>
      <w:r>
        <w:fldChar w:fldCharType="end"/>
      </w:r>
    </w:p>
    <w:p w:rsidR="00977E33" w:rsidP="00977E33">
      <w:pPr>
        <w:pStyle w:val="Version"/>
        <w:sectPr w:rsidSect="00035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250" w:rsidP="00035250">
      <w:pPr>
        <w:pStyle w:val="SuperHeading"/>
      </w:pPr>
      <w:r w:rsidRPr="00035250">
        <w:t>Assessment Requirements for CPPSEC3123 Implement close protection services</w:t>
      </w:r>
    </w:p>
    <w:p w:rsidR="00000000" w:rsidRPr="00035250" w:rsidP="00035250">
      <w:pPr>
        <w:pStyle w:val="Heading1"/>
      </w:pPr>
      <w:bookmarkStart w:id="1" w:name="O_1009347"/>
      <w:bookmarkEnd w:id="1"/>
      <w:r w:rsidRPr="00035250">
        <w:t>Modification History</w:t>
      </w:r>
    </w:p>
    <w:p w:rsidR="00000000" w:rsidRPr="00035250" w:rsidP="00977E33">
      <w:pPr>
        <w:pStyle w:val="List"/>
      </w:pPr>
      <w:r w:rsidRPr="00035250">
        <w:t>Release 1.</w:t>
      </w:r>
    </w:p>
    <w:p w:rsidR="00000000" w:rsidRPr="00035250" w:rsidP="00977E33">
      <w:pPr>
        <w:pStyle w:val="List"/>
      </w:pPr>
      <w:r w:rsidRPr="00035250">
        <w:t>New unit.</w:t>
      </w:r>
    </w:p>
    <w:p w:rsidR="00000000" w:rsidRPr="00035250" w:rsidP="00977E33">
      <w:pPr>
        <w:pStyle w:val="List"/>
      </w:pPr>
      <w:r w:rsidRPr="00035250">
        <w:t>This version first released with CPP Property Services Training Package Version 7.0.</w:t>
      </w:r>
    </w:p>
    <w:p w:rsidR="00000000" w:rsidRPr="00035250" w:rsidP="00035250">
      <w:pPr>
        <w:pStyle w:val="AllowPageBreak"/>
      </w:pPr>
    </w:p>
    <w:p w:rsidR="00000000" w:rsidRPr="00035250" w:rsidP="00035250">
      <w:pPr>
        <w:pStyle w:val="Heading1"/>
      </w:pPr>
      <w:bookmarkStart w:id="2" w:name="O_1009350"/>
      <w:bookmarkEnd w:id="2"/>
      <w:r w:rsidRPr="00035250">
        <w:t>Performance Evidence</w:t>
      </w:r>
    </w:p>
    <w:p w:rsidR="00000000" w:rsidRPr="00035250" w:rsidP="00977E33">
      <w:pPr>
        <w:pStyle w:val="BodyText"/>
      </w:pPr>
      <w:r w:rsidRPr="00035250">
        <w:t>To demonstrate competency in this unit, a person must implement close protection services in separate operations to meet the protection needs of each of two different principals. In doing this, the person must demonstrate correct appli</w:t>
      </w:r>
      <w:r w:rsidRPr="00035250">
        <w:t>cation of two different types of foot formations from the list below:</w:t>
      </w:r>
    </w:p>
    <w:p w:rsidR="00000000" w:rsidRPr="00035250" w:rsidP="00035250">
      <w:pPr>
        <w:pStyle w:val="ListBullet"/>
      </w:pPr>
      <w:r w:rsidRPr="00035250">
        <w:t>wedge</w:t>
      </w:r>
    </w:p>
    <w:p w:rsidR="00000000" w:rsidRPr="00035250" w:rsidP="00035250">
      <w:pPr>
        <w:pStyle w:val="ListBullet"/>
      </w:pPr>
      <w:r w:rsidRPr="00035250">
        <w:t>box</w:t>
      </w:r>
    </w:p>
    <w:p w:rsidR="00000000" w:rsidRPr="00035250" w:rsidP="00035250">
      <w:pPr>
        <w:pStyle w:val="ListBullet"/>
      </w:pPr>
      <w:r w:rsidRPr="00035250">
        <w:t>diamond</w:t>
      </w:r>
    </w:p>
    <w:p w:rsidR="00000000" w:rsidRPr="00035250" w:rsidP="00035250">
      <w:pPr>
        <w:pStyle w:val="ListBullet"/>
      </w:pPr>
      <w:r w:rsidRPr="00035250">
        <w:t>one-on-one.</w:t>
      </w:r>
    </w:p>
    <w:p w:rsidR="00000000" w:rsidRPr="00035250" w:rsidP="00977E33">
      <w:pPr>
        <w:pStyle w:val="BodyText"/>
      </w:pPr>
      <w:r w:rsidRPr="00035250">
        <w:t>In doing this, the person must meet the performance criteria for this unit.</w:t>
      </w:r>
    </w:p>
    <w:p w:rsidR="00000000" w:rsidRPr="00035250" w:rsidP="00035250">
      <w:pPr>
        <w:pStyle w:val="Heading1"/>
      </w:pPr>
      <w:bookmarkStart w:id="3" w:name="O_1009349"/>
      <w:bookmarkEnd w:id="3"/>
      <w:r w:rsidRPr="00035250">
        <w:t>Knowledge Evidence</w:t>
      </w:r>
    </w:p>
    <w:p w:rsidR="00000000" w:rsidRPr="00035250" w:rsidP="00977E33">
      <w:pPr>
        <w:pStyle w:val="BodyText"/>
      </w:pPr>
      <w:r w:rsidRPr="00035250">
        <w:t>To be competent in this unit, a person mu</w:t>
      </w:r>
      <w:r w:rsidRPr="00035250">
        <w:t>st demonstrate knowledge of:</w:t>
      </w:r>
    </w:p>
    <w:p w:rsidR="00000000" w:rsidRPr="00035250" w:rsidP="00035250">
      <w:pPr>
        <w:pStyle w:val="ListBullet"/>
      </w:pPr>
      <w:r w:rsidRPr="00035250">
        <w:t>standard operating procedures and workplace policies that ensure compliance with legislative and regulatory requirements when implementing close protection services:</w:t>
      </w:r>
    </w:p>
    <w:p w:rsidR="00000000" w:rsidRPr="00035250" w:rsidP="00035250">
      <w:pPr>
        <w:pStyle w:val="ListBullet2"/>
      </w:pPr>
      <w:r w:rsidRPr="00035250">
        <w:t>anti-discrimination and diversity</w:t>
      </w:r>
    </w:p>
    <w:p w:rsidR="00000000" w:rsidRPr="00035250" w:rsidP="00035250">
      <w:pPr>
        <w:pStyle w:val="ListBullet2"/>
      </w:pPr>
      <w:r w:rsidRPr="00035250">
        <w:t>confidentiality and privacy</w:t>
      </w:r>
    </w:p>
    <w:p w:rsidR="00000000" w:rsidRPr="00035250" w:rsidP="00035250">
      <w:pPr>
        <w:pStyle w:val="ListBullet2"/>
      </w:pPr>
      <w:r w:rsidRPr="00035250">
        <w:t>counter terrorism</w:t>
      </w:r>
    </w:p>
    <w:p w:rsidR="00000000" w:rsidRPr="00035250" w:rsidP="00035250">
      <w:pPr>
        <w:pStyle w:val="ListBullet2"/>
      </w:pPr>
      <w:r w:rsidRPr="00035250">
        <w:t>duty of care</w:t>
      </w:r>
    </w:p>
    <w:p w:rsidR="00000000" w:rsidRPr="00035250" w:rsidP="00035250">
      <w:pPr>
        <w:pStyle w:val="ListBullet2"/>
      </w:pPr>
      <w:r w:rsidRPr="00035250">
        <w:t>information privacy and legal use of gathered intelligence</w:t>
      </w:r>
    </w:p>
    <w:p w:rsidR="00000000" w:rsidRPr="00035250" w:rsidP="00035250">
      <w:pPr>
        <w:pStyle w:val="ListBullet2"/>
      </w:pPr>
      <w:r w:rsidRPr="00035250">
        <w:t>licensing requirements and limits of own authority</w:t>
      </w:r>
    </w:p>
    <w:p w:rsidR="00000000" w:rsidRPr="00035250" w:rsidP="00035250">
      <w:pPr>
        <w:pStyle w:val="ListBullet2"/>
      </w:pPr>
      <w:r w:rsidRPr="00035250">
        <w:t>search of premises</w:t>
      </w:r>
    </w:p>
    <w:p w:rsidR="00000000" w:rsidRPr="00035250" w:rsidP="00035250">
      <w:pPr>
        <w:pStyle w:val="ListBullet2"/>
      </w:pPr>
      <w:r w:rsidRPr="00035250">
        <w:t>surveillance</w:t>
      </w:r>
    </w:p>
    <w:p w:rsidR="00000000" w:rsidRPr="00035250" w:rsidP="00035250">
      <w:pPr>
        <w:pStyle w:val="ListBullet2"/>
      </w:pPr>
      <w:r w:rsidRPr="00035250">
        <w:t>use of force</w:t>
      </w:r>
    </w:p>
    <w:p w:rsidR="00000000" w:rsidRPr="00035250" w:rsidP="00035250">
      <w:pPr>
        <w:pStyle w:val="ListBullet2"/>
      </w:pPr>
      <w:r w:rsidRPr="00035250">
        <w:t>use of restraints and weapons including ba</w:t>
      </w:r>
      <w:r w:rsidRPr="00035250">
        <w:t>tons, firearms, handcuffs and spray</w:t>
      </w:r>
    </w:p>
    <w:p w:rsidR="00000000" w:rsidRPr="00035250" w:rsidP="00035250">
      <w:pPr>
        <w:pStyle w:val="ListBullet2"/>
      </w:pPr>
      <w:r w:rsidRPr="00035250">
        <w:t>workplace health and safety (WHS)</w:t>
      </w:r>
    </w:p>
    <w:p w:rsidR="00000000" w:rsidRPr="00035250" w:rsidP="00035250">
      <w:pPr>
        <w:pStyle w:val="ListBullet"/>
      </w:pPr>
      <w:r w:rsidRPr="00035250">
        <w:t>access and exit points and layout of work environment and premises to be accessed by principal</w:t>
      </w:r>
    </w:p>
    <w:p w:rsidR="00000000" w:rsidRPr="00035250" w:rsidP="00035250">
      <w:pPr>
        <w:pStyle w:val="ListBullet"/>
      </w:pPr>
      <w:r w:rsidRPr="00035250">
        <w:t>approved communication terminology, call signs and radio channels used in the security ind</w:t>
      </w:r>
      <w:r w:rsidRPr="00035250">
        <w:t>ustry</w:t>
      </w:r>
    </w:p>
    <w:p w:rsidR="00000000" w:rsidRPr="00035250" w:rsidP="00035250">
      <w:pPr>
        <w:pStyle w:val="ListBullet"/>
      </w:pPr>
      <w:r w:rsidRPr="00035250">
        <w:t>chain of command relevant to protection services</w:t>
      </w:r>
    </w:p>
    <w:p w:rsidR="00000000" w:rsidRPr="00035250" w:rsidP="00035250">
      <w:pPr>
        <w:pStyle w:val="ListBullet"/>
      </w:pPr>
      <w:r w:rsidRPr="00035250">
        <w:t>code of conduct and professional standards for providing close protection services</w:t>
      </w:r>
    </w:p>
    <w:p w:rsidR="00000000" w:rsidRPr="00035250" w:rsidP="00035250">
      <w:pPr>
        <w:pStyle w:val="ListBullet"/>
      </w:pPr>
      <w:r w:rsidRPr="00035250">
        <w:t>crowd behaviour, dynamics and movement patterns that can threaten security</w:t>
      </w:r>
    </w:p>
    <w:p w:rsidR="00000000" w:rsidRPr="00035250" w:rsidP="00035250">
      <w:pPr>
        <w:pStyle w:val="ListBullet"/>
      </w:pPr>
      <w:r w:rsidRPr="00035250">
        <w:t>current national terrorism threat level and context</w:t>
      </w:r>
    </w:p>
    <w:p w:rsidR="00000000" w:rsidRPr="00035250" w:rsidP="00035250">
      <w:pPr>
        <w:pStyle w:val="ListBullet"/>
      </w:pPr>
      <w:r w:rsidRPr="00035250">
        <w:t>difference between static, mobile and direct protection and the tactics used for each</w:t>
      </w:r>
    </w:p>
    <w:p w:rsidR="00000000" w:rsidRPr="00035250" w:rsidP="00035250">
      <w:pPr>
        <w:pStyle w:val="ListBullet"/>
      </w:pPr>
      <w:r w:rsidRPr="00035250">
        <w:t>empty hand techniques</w:t>
      </w:r>
    </w:p>
    <w:p w:rsidR="00000000" w:rsidRPr="00035250" w:rsidP="00035250">
      <w:pPr>
        <w:pStyle w:val="ListBullet"/>
      </w:pPr>
      <w:r w:rsidRPr="00035250">
        <w:t>factors that may indicate escalation of conflict or risk and situations requiring specialist ass</w:t>
      </w:r>
      <w:r w:rsidRPr="00035250">
        <w:t>istance</w:t>
      </w:r>
    </w:p>
    <w:p w:rsidR="00000000" w:rsidRPr="00035250" w:rsidP="00035250">
      <w:pPr>
        <w:pStyle w:val="ListBullet"/>
      </w:pPr>
      <w:r w:rsidRPr="00035250">
        <w:t>methods for performing debus and embus procedures</w:t>
      </w:r>
    </w:p>
    <w:p w:rsidR="00000000" w:rsidRPr="00035250" w:rsidP="00035250">
      <w:pPr>
        <w:pStyle w:val="ListBullet"/>
      </w:pPr>
      <w:r w:rsidRPr="00035250">
        <w:t>negotiation techniques and how they can be used to defuse and resolve conflict</w:t>
      </w:r>
    </w:p>
    <w:p w:rsidR="00000000" w:rsidRPr="00035250" w:rsidP="00035250">
      <w:pPr>
        <w:pStyle w:val="ListBullet"/>
      </w:pPr>
      <w:r w:rsidRPr="00035250">
        <w:t>procedures for communicating and collaborating with close protection team</w:t>
      </w:r>
    </w:p>
    <w:p w:rsidR="00000000" w:rsidRPr="00035250" w:rsidP="00035250">
      <w:pPr>
        <w:pStyle w:val="ListBullet"/>
      </w:pPr>
      <w:r w:rsidRPr="00035250">
        <w:t>process of dynamic risk assessment and how it</w:t>
      </w:r>
      <w:r w:rsidRPr="00035250">
        <w:t xml:space="preserve"> is applied</w:t>
      </w:r>
    </w:p>
    <w:p w:rsidR="00000000" w:rsidRPr="00035250" w:rsidP="00035250">
      <w:pPr>
        <w:pStyle w:val="ListBullet"/>
      </w:pPr>
      <w:r w:rsidRPr="00035250">
        <w:t>protocols and signals used to communicate with principal and team in a close protection operation</w:t>
      </w:r>
    </w:p>
    <w:p w:rsidR="00000000" w:rsidRPr="00035250" w:rsidP="00035250">
      <w:pPr>
        <w:pStyle w:val="ListBullet"/>
      </w:pPr>
      <w:r w:rsidRPr="00035250">
        <w:t>purpose and types of foot formations used in close protection:</w:t>
      </w:r>
    </w:p>
    <w:p w:rsidR="00000000" w:rsidRPr="00035250" w:rsidP="00035250">
      <w:pPr>
        <w:pStyle w:val="ListBullet2"/>
      </w:pPr>
      <w:r w:rsidRPr="00035250">
        <w:t>wedge</w:t>
      </w:r>
    </w:p>
    <w:p w:rsidR="00000000" w:rsidRPr="00035250" w:rsidP="00035250">
      <w:pPr>
        <w:pStyle w:val="ListBullet2"/>
      </w:pPr>
      <w:r w:rsidRPr="00035250">
        <w:t>box</w:t>
      </w:r>
    </w:p>
    <w:p w:rsidR="00000000" w:rsidRPr="00035250" w:rsidP="00035250">
      <w:pPr>
        <w:pStyle w:val="ListBullet2"/>
      </w:pPr>
      <w:r w:rsidRPr="00035250">
        <w:t>diamond</w:t>
      </w:r>
    </w:p>
    <w:p w:rsidR="00000000" w:rsidRPr="00035250" w:rsidP="00035250">
      <w:pPr>
        <w:pStyle w:val="ListBullet2"/>
      </w:pPr>
      <w:r w:rsidRPr="00035250">
        <w:t>one-on-one</w:t>
      </w:r>
    </w:p>
    <w:p w:rsidR="00000000" w:rsidRPr="00035250" w:rsidP="00035250">
      <w:pPr>
        <w:pStyle w:val="ListBullet"/>
      </w:pPr>
      <w:r w:rsidRPr="00035250">
        <w:t>role and legal rights and responsibilities of a clos</w:t>
      </w:r>
      <w:r w:rsidRPr="00035250">
        <w:t>e protection operative</w:t>
      </w:r>
    </w:p>
    <w:p w:rsidR="00000000" w:rsidRPr="00035250" w:rsidP="00035250">
      <w:pPr>
        <w:pStyle w:val="ListBullet"/>
      </w:pPr>
      <w:r w:rsidRPr="00035250">
        <w:t>the phonetic alphabet and how it is used</w:t>
      </w:r>
    </w:p>
    <w:p w:rsidR="00000000" w:rsidRPr="00035250" w:rsidP="00035250">
      <w:pPr>
        <w:pStyle w:val="ListBullet"/>
      </w:pPr>
      <w:r w:rsidRPr="00035250">
        <w:t>types of equipment and resources used when providing close protection services</w:t>
      </w:r>
    </w:p>
    <w:p w:rsidR="00000000" w:rsidRPr="00035250" w:rsidP="00035250">
      <w:pPr>
        <w:pStyle w:val="ListBullet"/>
      </w:pPr>
      <w:r w:rsidRPr="00035250">
        <w:t>types of potential threats, vulnerabilities and risks that can be encountered during close protection operations</w:t>
      </w:r>
    </w:p>
    <w:p w:rsidR="00000000" w:rsidRPr="00035250" w:rsidP="00035250">
      <w:pPr>
        <w:pStyle w:val="ListBullet"/>
      </w:pPr>
      <w:r w:rsidRPr="00035250">
        <w:t>understanding of the force model</w:t>
      </w:r>
    </w:p>
    <w:p w:rsidR="00000000" w:rsidRPr="00035250" w:rsidP="00035250">
      <w:pPr>
        <w:pStyle w:val="ListBullet"/>
      </w:pPr>
      <w:r w:rsidRPr="00035250">
        <w:t>ways that social and cultural differences may be expressed.</w:t>
      </w:r>
    </w:p>
    <w:p w:rsidR="00000000" w:rsidRPr="00035250" w:rsidP="00035250">
      <w:pPr>
        <w:pStyle w:val="AllowPageBreak"/>
      </w:pPr>
    </w:p>
    <w:p w:rsidR="00000000" w:rsidRPr="00035250" w:rsidP="00035250">
      <w:pPr>
        <w:pStyle w:val="Heading1"/>
      </w:pPr>
      <w:bookmarkStart w:id="4" w:name="O_1009348"/>
      <w:bookmarkEnd w:id="4"/>
      <w:r w:rsidRPr="00035250">
        <w:t>Assessment Conditions</w:t>
      </w:r>
    </w:p>
    <w:p w:rsidR="00000000" w:rsidRPr="00035250" w:rsidP="00977E33">
      <w:pPr>
        <w:pStyle w:val="BodyText"/>
      </w:pPr>
      <w:r w:rsidRPr="00035250">
        <w:t>Assessors must satisfy the requirements for assessors contained in the Standards for Registered Training Organisations (RT</w:t>
      </w:r>
      <w:r w:rsidRPr="00035250">
        <w:t>Os).  All individuals engaged by a licensed RTO for security licensing purposes must hold both a security trainer’s licence (where such a licence exists within the relevant jurisdiction) and a security operative licence that authorises the security activit</w:t>
      </w:r>
      <w:r w:rsidRPr="00035250">
        <w:t>ies about which the individual is training/assessing.  Regulators may impose other assessor conditions to meet jurisdictional assessment requirements.</w:t>
      </w:r>
    </w:p>
    <w:p w:rsidR="00000000" w:rsidRPr="00035250" w:rsidP="00977E33">
      <w:pPr>
        <w:pStyle w:val="BodyText"/>
      </w:pPr>
      <w:r w:rsidRPr="00035250">
        <w:t>Assessment of performance must be undertaken in a simulated workplace environment. Tasks are to be perfor</w:t>
      </w:r>
      <w:r w:rsidRPr="00035250">
        <w:t>med to the level of proficiency and within the time limits that would be expected in a workplace.</w:t>
      </w:r>
    </w:p>
    <w:p w:rsidR="00000000" w:rsidRPr="00035250" w:rsidP="00977E33">
      <w:pPr>
        <w:pStyle w:val="BodyText"/>
      </w:pPr>
      <w:r w:rsidRPr="00035250">
        <w:t>The assessment of performance evidence must be done by direct observation of the learner by an assessor, either by an assessor observing the learner physicall</w:t>
      </w:r>
      <w:r w:rsidRPr="00035250">
        <w:t>y or by an assessor observing the learner via audio and visual media.</w:t>
      </w:r>
    </w:p>
    <w:p w:rsidR="00000000" w:rsidRPr="00035250" w:rsidP="00977E33">
      <w:pPr>
        <w:pStyle w:val="BodyText"/>
      </w:pPr>
      <w:r w:rsidRPr="00035250">
        <w:t xml:space="preserve">Assessment of performance evidence is only valid where the learner has been assessed performing the role of a security officer. </w:t>
      </w:r>
    </w:p>
    <w:p w:rsidR="00000000" w:rsidRPr="00035250" w:rsidP="00977E33">
      <w:pPr>
        <w:pStyle w:val="BodyText"/>
      </w:pPr>
      <w:r w:rsidRPr="00035250">
        <w:t>Assessors are responsible for ensuring that the person de</w:t>
      </w:r>
      <w:r w:rsidRPr="00035250">
        <w:t>monstrating competency has access to:</w:t>
      </w:r>
    </w:p>
    <w:p w:rsidR="00000000" w:rsidRPr="00035250" w:rsidP="00035250">
      <w:pPr>
        <w:pStyle w:val="ListBullet"/>
      </w:pPr>
      <w:r w:rsidRPr="00035250">
        <w:t>specifications of assessment tasks to implement close protection services</w:t>
      </w:r>
    </w:p>
    <w:p w:rsidR="00000000" w:rsidRPr="00035250" w:rsidP="00035250">
      <w:pPr>
        <w:pStyle w:val="ListBullet"/>
      </w:pPr>
      <w:r w:rsidRPr="00035250">
        <w:t>appropriate documents, materials, equipment and personal protective equipment (PPE) currently used in industry</w:t>
      </w:r>
    </w:p>
    <w:p w:rsidR="00000000" w:rsidRPr="00035250" w:rsidP="00035250">
      <w:pPr>
        <w:pStyle w:val="ListBullet"/>
      </w:pPr>
      <w:r w:rsidRPr="00035250">
        <w:t>standard operating procedures an</w:t>
      </w:r>
      <w:r w:rsidRPr="00035250">
        <w:t>d workplace policies related to the security work role and which specify requirements for complying with industry legislation and regulations</w:t>
      </w:r>
    </w:p>
    <w:p w:rsidR="00000000" w:rsidRPr="00035250" w:rsidP="00035250">
      <w:pPr>
        <w:pStyle w:val="ListBullet"/>
      </w:pPr>
      <w:r w:rsidRPr="00035250">
        <w:t>access to two different principals to enable achievement of the performance evidence.</w:t>
      </w:r>
    </w:p>
    <w:p w:rsidR="00000000" w:rsidRPr="00035250" w:rsidP="00035250">
      <w:pPr>
        <w:pStyle w:val="AllowPageBreak"/>
      </w:pPr>
    </w:p>
    <w:p w:rsidR="00000000" w:rsidRPr="00035250" w:rsidP="00035250">
      <w:pPr>
        <w:pStyle w:val="Heading1"/>
      </w:pPr>
      <w:bookmarkStart w:id="5" w:name="O_1009346"/>
      <w:bookmarkEnd w:id="5"/>
      <w:r w:rsidRPr="00035250">
        <w:t>Links</w:t>
      </w:r>
    </w:p>
    <w:p w:rsidR="00000000" w:rsidRPr="00035250" w:rsidP="00977E33">
      <w:pPr>
        <w:pStyle w:val="BodyText"/>
      </w:pPr>
      <w:r w:rsidRPr="00035250">
        <w:t>Com</w:t>
      </w:r>
      <w:r w:rsidRPr="00035250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710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5250" w:rsidP="00035250"/>
    <w:sectPr w:rsidSect="00035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0" w:rsidRPr="00977E33" w:rsidP="00977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E33" w:rsidP="00035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E33" w:rsidP="00035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77E33" w:rsidP="00035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250" w:rsidRPr="00977E33" w:rsidP="00977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E33" w:rsidRPr="002D2AF8" w:rsidP="00035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CPPSEC3123 Implement close protection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77E33" w:rsidP="00035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E6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8A9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C5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250"/>
  </w:style>
  <w:style w:type="character" w:customStyle="1" w:styleId="Heading1Char">
    <w:name w:val="Heading 1 Char"/>
    <w:basedOn w:val="DefaultParagraphFont"/>
    <w:link w:val="Heading1"/>
    <w:rsid w:val="00035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2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2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250"/>
    <w:rPr>
      <w:b/>
      <w:spacing w:val="0"/>
    </w:rPr>
  </w:style>
  <w:style w:type="paragraph" w:customStyle="1" w:styleId="SuperTitle">
    <w:name w:val="SuperTitle"/>
    <w:basedOn w:val="Title"/>
    <w:rsid w:val="00035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250"/>
    <w:rPr>
      <w:i/>
    </w:rPr>
  </w:style>
  <w:style w:type="paragraph" w:styleId="Caption">
    <w:name w:val="caption"/>
    <w:basedOn w:val="BodyText"/>
    <w:next w:val="Normal"/>
    <w:qFormat/>
    <w:rsid w:val="00035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250"/>
  </w:style>
  <w:style w:type="paragraph" w:styleId="TableofFigures">
    <w:name w:val="table of figures"/>
    <w:basedOn w:val="Normal"/>
    <w:next w:val="Normal"/>
    <w:semiHidden/>
    <w:rsid w:val="00035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250"/>
    <w:rPr>
      <w:rFonts w:ascii="Wingdings" w:hAnsi="Wingdings"/>
    </w:rPr>
  </w:style>
  <w:style w:type="paragraph" w:customStyle="1" w:styleId="TableHeading">
    <w:name w:val="Table Heading"/>
    <w:basedOn w:val="HeadingBase"/>
    <w:rsid w:val="00035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250"/>
    <w:rPr>
      <w:color w:val="0033CC"/>
      <w:u w:val="none"/>
    </w:rPr>
  </w:style>
  <w:style w:type="paragraph" w:customStyle="1" w:styleId="BodyTextRight">
    <w:name w:val="Body Text Right"/>
    <w:basedOn w:val="BodyText"/>
    <w:rsid w:val="00035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250"/>
    <w:rPr>
      <w:sz w:val="32"/>
    </w:rPr>
  </w:style>
  <w:style w:type="paragraph" w:customStyle="1" w:styleId="HeadingProcedure">
    <w:name w:val="Heading Procedure"/>
    <w:basedOn w:val="HeadingBase"/>
    <w:next w:val="Normal"/>
    <w:rsid w:val="00035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250"/>
    <w:pPr>
      <w:spacing w:before="60" w:after="60"/>
    </w:pPr>
  </w:style>
  <w:style w:type="paragraph" w:styleId="ListContinue">
    <w:name w:val="List Continue"/>
    <w:basedOn w:val="List"/>
    <w:rsid w:val="00035250"/>
    <w:pPr>
      <w:ind w:firstLine="0"/>
    </w:pPr>
  </w:style>
  <w:style w:type="paragraph" w:customStyle="1" w:styleId="ListNote">
    <w:name w:val="List Note"/>
    <w:basedOn w:val="List"/>
    <w:rsid w:val="00035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250"/>
    <w:rPr>
      <w:rFonts w:ascii="Courier New" w:hAnsi="Courier New"/>
    </w:rPr>
  </w:style>
  <w:style w:type="paragraph" w:customStyle="1" w:styleId="NoteBullet">
    <w:name w:val="Note Bullet"/>
    <w:basedOn w:val="Note"/>
    <w:rsid w:val="00035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250"/>
    <w:rPr>
      <w:b/>
      <w:smallCaps/>
    </w:rPr>
  </w:style>
  <w:style w:type="paragraph" w:customStyle="1" w:styleId="TableListNumber">
    <w:name w:val="Table List Number"/>
    <w:basedOn w:val="ListNumber"/>
    <w:rsid w:val="00035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250"/>
    <w:pPr>
      <w:numPr>
        <w:numId w:val="9"/>
      </w:numPr>
    </w:pPr>
  </w:style>
  <w:style w:type="paragraph" w:customStyle="1" w:styleId="ListAlpha2">
    <w:name w:val="List Alpha 2"/>
    <w:basedOn w:val="List2"/>
    <w:rsid w:val="00035250"/>
    <w:pPr>
      <w:numPr>
        <w:numId w:val="8"/>
      </w:numPr>
    </w:pPr>
  </w:style>
  <w:style w:type="paragraph" w:styleId="List2">
    <w:name w:val="List 2"/>
    <w:basedOn w:val="BodyText"/>
    <w:rsid w:val="00035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250"/>
    <w:pPr>
      <w:numPr>
        <w:numId w:val="4"/>
      </w:numPr>
    </w:pPr>
  </w:style>
  <w:style w:type="paragraph" w:styleId="ListContinue2">
    <w:name w:val="List Continue 2"/>
    <w:basedOn w:val="List2"/>
    <w:rsid w:val="00035250"/>
    <w:pPr>
      <w:ind w:firstLine="0"/>
    </w:pPr>
  </w:style>
  <w:style w:type="paragraph" w:styleId="ListContinue3">
    <w:name w:val="List Continue 3"/>
    <w:basedOn w:val="List3"/>
    <w:rsid w:val="00035250"/>
    <w:pPr>
      <w:ind w:left="1021" w:firstLine="0"/>
    </w:pPr>
  </w:style>
  <w:style w:type="paragraph" w:styleId="ListContinue4">
    <w:name w:val="List Continue 4"/>
    <w:basedOn w:val="List4"/>
    <w:rsid w:val="00035250"/>
    <w:pPr>
      <w:ind w:firstLine="0"/>
    </w:pPr>
  </w:style>
  <w:style w:type="paragraph" w:styleId="ListContinue5">
    <w:name w:val="List Continue 5"/>
    <w:basedOn w:val="List5"/>
    <w:rsid w:val="00035250"/>
    <w:pPr>
      <w:ind w:firstLine="0"/>
    </w:pPr>
  </w:style>
  <w:style w:type="paragraph" w:styleId="ListNumber3">
    <w:name w:val="List Number 3"/>
    <w:basedOn w:val="List3"/>
    <w:rsid w:val="00035250"/>
    <w:pPr>
      <w:numPr>
        <w:numId w:val="5"/>
      </w:numPr>
    </w:pPr>
  </w:style>
  <w:style w:type="paragraph" w:styleId="ListNumber4">
    <w:name w:val="List Number 4"/>
    <w:basedOn w:val="List4"/>
    <w:rsid w:val="00035250"/>
    <w:pPr>
      <w:numPr>
        <w:numId w:val="6"/>
      </w:numPr>
    </w:pPr>
  </w:style>
  <w:style w:type="paragraph" w:styleId="ListNumber5">
    <w:name w:val="List Number 5"/>
    <w:basedOn w:val="List5"/>
    <w:rsid w:val="00035250"/>
    <w:pPr>
      <w:numPr>
        <w:numId w:val="7"/>
      </w:numPr>
    </w:pPr>
  </w:style>
  <w:style w:type="paragraph" w:styleId="BlockText">
    <w:name w:val="Block Text"/>
    <w:basedOn w:val="Normal"/>
    <w:rsid w:val="00035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250"/>
    <w:rPr>
      <w:sz w:val="16"/>
      <w:vertAlign w:val="superscript"/>
    </w:rPr>
  </w:style>
  <w:style w:type="character" w:customStyle="1" w:styleId="Symbols">
    <w:name w:val="Symbols"/>
    <w:basedOn w:val="DefaultParagraphFont"/>
    <w:rsid w:val="00035250"/>
    <w:rPr>
      <w:rFonts w:ascii="Symbol" w:hAnsi="Symbol"/>
    </w:rPr>
  </w:style>
  <w:style w:type="character" w:customStyle="1" w:styleId="MenuOptions">
    <w:name w:val="Menu Options"/>
    <w:basedOn w:val="DefaultParagraphFont"/>
    <w:rsid w:val="00035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250"/>
    <w:rPr>
      <w:b/>
    </w:rPr>
  </w:style>
  <w:style w:type="character" w:customStyle="1" w:styleId="Underlined">
    <w:name w:val="Underlined"/>
    <w:basedOn w:val="DefaultParagraphFont"/>
    <w:rsid w:val="00035250"/>
    <w:rPr>
      <w:u w:val="single"/>
    </w:rPr>
  </w:style>
  <w:style w:type="paragraph" w:customStyle="1" w:styleId="TableBodyTextRight">
    <w:name w:val="Table Body Text Right"/>
    <w:basedOn w:val="TableBodyText"/>
    <w:rsid w:val="00035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250"/>
    <w:rPr>
      <w:sz w:val="18"/>
    </w:rPr>
  </w:style>
  <w:style w:type="paragraph" w:customStyle="1" w:styleId="BodySmallRight">
    <w:name w:val="Body Small Right"/>
    <w:basedOn w:val="BodyTextRight"/>
    <w:rsid w:val="00035250"/>
    <w:rPr>
      <w:sz w:val="18"/>
      <w:szCs w:val="18"/>
    </w:rPr>
  </w:style>
  <w:style w:type="paragraph" w:customStyle="1" w:styleId="MarginEdition">
    <w:name w:val="Margin Edition"/>
    <w:basedOn w:val="MarginNote"/>
    <w:rsid w:val="00035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250"/>
    <w:rPr>
      <w:sz w:val="2"/>
      <w:szCs w:val="2"/>
    </w:rPr>
  </w:style>
  <w:style w:type="character" w:customStyle="1" w:styleId="Small">
    <w:name w:val="Small"/>
    <w:basedOn w:val="DefaultParagraphFont"/>
    <w:rsid w:val="00035250"/>
    <w:rPr>
      <w:sz w:val="16"/>
    </w:rPr>
  </w:style>
  <w:style w:type="paragraph" w:customStyle="1" w:styleId="WideTable">
    <w:name w:val="Wide Table"/>
    <w:basedOn w:val="Normal"/>
    <w:rsid w:val="00035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250"/>
  </w:style>
  <w:style w:type="paragraph" w:styleId="Quote">
    <w:name w:val="Quote"/>
    <w:basedOn w:val="Heading1"/>
    <w:link w:val="QuoteChar"/>
    <w:qFormat/>
    <w:rsid w:val="00035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250"/>
    <w:pPr>
      <w:pageBreakBefore/>
    </w:pPr>
  </w:style>
  <w:style w:type="paragraph" w:customStyle="1" w:styleId="Border">
    <w:name w:val="Border"/>
    <w:basedOn w:val="Normal"/>
    <w:qFormat/>
    <w:rsid w:val="00035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250"/>
    <w:rPr>
      <w:u w:val="single"/>
    </w:rPr>
  </w:style>
  <w:style w:type="character" w:customStyle="1" w:styleId="BoldandItalics">
    <w:name w:val="Bold and Italics"/>
    <w:qFormat/>
    <w:rsid w:val="00035250"/>
    <w:rPr>
      <w:b/>
      <w:i/>
      <w:u w:val="none"/>
    </w:rPr>
  </w:style>
  <w:style w:type="paragraph" w:styleId="BalloonText">
    <w:name w:val="Balloon Text"/>
    <w:basedOn w:val="Normal"/>
    <w:link w:val="BalloonTextChar"/>
    <w:rsid w:val="00035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250"/>
    <w:pPr>
      <w:spacing w:before="0" w:after="0"/>
    </w:pPr>
  </w:style>
  <w:style w:type="paragraph" w:customStyle="1" w:styleId="BodyTextBold">
    <w:name w:val="Body Text Bold"/>
    <w:basedOn w:val="BodyText"/>
    <w:qFormat/>
    <w:rsid w:val="00035250"/>
    <w:rPr>
      <w:b/>
    </w:rPr>
  </w:style>
  <w:style w:type="character" w:styleId="Hyperlink">
    <w:name w:val="Hyperlink"/>
    <w:basedOn w:val="DefaultParagraphFont"/>
    <w:uiPriority w:val="99"/>
    <w:unhideWhenUsed/>
    <w:rsid w:val="00977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4174</Characters>
  <Application>Microsoft Office Word</Application>
  <DocSecurity>0</DocSecurity>
  <Lines>99</Lines>
  <Paragraphs>76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CPPSEC3123 Implement close protection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