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14FD" w:rsidP="00C414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CPPSEC3122 Plan provision of close protection services</w:t>
      </w:r>
      <w:r>
        <w:fldChar w:fldCharType="end"/>
      </w:r>
    </w:p>
    <w:p w:rsidR="00C414FD" w:rsidP="00C414FD">
      <w:pPr>
        <w:pStyle w:val="Version"/>
        <w:sectPr w:rsidSect="00385F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5FEC" w:rsidP="00385FEC">
      <w:pPr>
        <w:pStyle w:val="SuperHeading"/>
      </w:pPr>
      <w:r w:rsidRPr="00385FEC">
        <w:t>Assessment Requirements for CPPSEC3122 Plan provision of close protection services</w:t>
      </w:r>
    </w:p>
    <w:p w:rsidR="00000000" w:rsidRPr="00385FEC" w:rsidP="00385FEC">
      <w:pPr>
        <w:pStyle w:val="Heading1"/>
      </w:pPr>
      <w:bookmarkStart w:id="1" w:name="O_1009330"/>
      <w:bookmarkEnd w:id="1"/>
      <w:r w:rsidRPr="00385FEC">
        <w:t>Modification History</w:t>
      </w:r>
    </w:p>
    <w:p w:rsidR="00000000" w:rsidRPr="00385FEC" w:rsidP="00C414FD">
      <w:r w:rsidRPr="00385FEC">
        <w:t>Release 1.</w:t>
      </w:r>
    </w:p>
    <w:p w:rsidR="00000000" w:rsidRPr="00385FEC" w:rsidP="00C414FD">
      <w:r w:rsidRPr="00385FEC">
        <w:t>Supersedes and is non-equivalent to CPPSEC3018A Provide for the safety of persons at risk.</w:t>
      </w:r>
    </w:p>
    <w:p w:rsidR="00000000" w:rsidRPr="00385FEC" w:rsidP="00C414FD">
      <w:r w:rsidRPr="00385FEC">
        <w:t>Significant changes made to the unit to reflect current industry needs.</w:t>
      </w:r>
    </w:p>
    <w:p w:rsidR="00000000" w:rsidRPr="00385FEC" w:rsidP="00C414FD">
      <w:r w:rsidRPr="00385FEC">
        <w:t>This version first released with CPP Property Services Training Package Version 7.0.</w:t>
      </w:r>
    </w:p>
    <w:p w:rsidR="00000000" w:rsidRPr="00385FEC" w:rsidP="00385FEC">
      <w:pPr>
        <w:pStyle w:val="Heading1"/>
      </w:pPr>
      <w:bookmarkStart w:id="2" w:name="O_1009333"/>
      <w:bookmarkEnd w:id="2"/>
      <w:r w:rsidRPr="00385FEC">
        <w:t>Performance Evidence</w:t>
      </w:r>
    </w:p>
    <w:p w:rsidR="00000000" w:rsidRPr="00385FEC" w:rsidP="00C414FD">
      <w:pPr>
        <w:pStyle w:val="BodyText"/>
      </w:pPr>
      <w:r w:rsidRPr="00385FEC">
        <w:t xml:space="preserve">To demonstrate competency in this unit, a person must plan </w:t>
      </w:r>
      <w:r w:rsidRPr="00385FEC">
        <w:t>the provision of close protection services to meet the needs of two different principals.</w:t>
      </w:r>
    </w:p>
    <w:p w:rsidR="00000000" w:rsidRPr="00385FEC" w:rsidP="00C414FD">
      <w:pPr>
        <w:pStyle w:val="BodyText"/>
      </w:pPr>
      <w:r w:rsidRPr="00385FEC">
        <w:t>In doing this, the person must meet the performance criteria for this unit.</w:t>
      </w:r>
    </w:p>
    <w:p w:rsidR="00000000" w:rsidRPr="00385FEC" w:rsidP="00385FEC">
      <w:pPr>
        <w:pStyle w:val="Heading1"/>
      </w:pPr>
      <w:bookmarkStart w:id="3" w:name="O_1009332"/>
      <w:bookmarkEnd w:id="3"/>
      <w:r w:rsidRPr="00385FEC">
        <w:t>Knowledge Evidence</w:t>
      </w:r>
    </w:p>
    <w:p w:rsidR="00000000" w:rsidRPr="00385FEC" w:rsidP="00C414FD">
      <w:pPr>
        <w:pStyle w:val="BodyText"/>
      </w:pPr>
      <w:r w:rsidRPr="00385FEC">
        <w:t>To be competent in this unit, a person must demonstr</w:t>
      </w:r>
      <w:r w:rsidRPr="00385FEC">
        <w:t>ate knowledge of:</w:t>
      </w:r>
    </w:p>
    <w:p w:rsidR="00000000" w:rsidRPr="00385FEC" w:rsidP="00385FEC">
      <w:pPr>
        <w:pStyle w:val="ListBullet"/>
      </w:pPr>
      <w:r w:rsidRPr="00385FEC">
        <w:t>standard operating procedures and workplace policies that ensure compliance with legislative and regulatory requirements when planning the provision of close protection services:</w:t>
      </w:r>
    </w:p>
    <w:p w:rsidR="00000000" w:rsidRPr="00385FEC" w:rsidP="00385FEC">
      <w:pPr>
        <w:pStyle w:val="ListBullet2"/>
      </w:pPr>
      <w:r w:rsidRPr="00385FEC">
        <w:t>anti-discrimination and diversity</w:t>
      </w:r>
    </w:p>
    <w:p w:rsidR="00000000" w:rsidRPr="00385FEC" w:rsidP="00385FEC">
      <w:pPr>
        <w:pStyle w:val="ListBullet2"/>
      </w:pPr>
      <w:r w:rsidRPr="00385FEC">
        <w:t>confidentiality and privacy</w:t>
      </w:r>
    </w:p>
    <w:p w:rsidR="00000000" w:rsidRPr="00385FEC" w:rsidP="00385FEC">
      <w:pPr>
        <w:pStyle w:val="ListBullet2"/>
      </w:pPr>
      <w:r w:rsidRPr="00385FEC">
        <w:t>counter terrorism</w:t>
      </w:r>
    </w:p>
    <w:p w:rsidR="00000000" w:rsidRPr="00385FEC" w:rsidP="00385FEC">
      <w:pPr>
        <w:pStyle w:val="ListBullet2"/>
      </w:pPr>
      <w:r w:rsidRPr="00385FEC">
        <w:t>duty of care</w:t>
      </w:r>
    </w:p>
    <w:p w:rsidR="00000000" w:rsidRPr="00385FEC" w:rsidP="00385FEC">
      <w:pPr>
        <w:pStyle w:val="ListBullet2"/>
      </w:pPr>
      <w:r w:rsidRPr="00385FEC">
        <w:t>information privacy and legal use of gathered intelligence</w:t>
      </w:r>
    </w:p>
    <w:p w:rsidR="00000000" w:rsidRPr="00385FEC" w:rsidP="00385FEC">
      <w:pPr>
        <w:pStyle w:val="ListBullet2"/>
      </w:pPr>
      <w:r w:rsidRPr="00385FEC">
        <w:t>licensing requirements and limits of own authority</w:t>
      </w:r>
    </w:p>
    <w:p w:rsidR="00000000" w:rsidRPr="00385FEC" w:rsidP="00385FEC">
      <w:pPr>
        <w:pStyle w:val="ListBullet2"/>
      </w:pPr>
      <w:r w:rsidRPr="00385FEC">
        <w:t>search of premises</w:t>
      </w:r>
    </w:p>
    <w:p w:rsidR="00000000" w:rsidRPr="00385FEC" w:rsidP="00385FEC">
      <w:pPr>
        <w:pStyle w:val="ListBullet2"/>
      </w:pPr>
      <w:r w:rsidRPr="00385FEC">
        <w:t>surveillance</w:t>
      </w:r>
    </w:p>
    <w:p w:rsidR="00000000" w:rsidRPr="00385FEC" w:rsidP="00385FEC">
      <w:pPr>
        <w:pStyle w:val="ListBullet2"/>
      </w:pPr>
      <w:r w:rsidRPr="00385FEC">
        <w:t>workplace health and safety (WHS)</w:t>
      </w:r>
    </w:p>
    <w:p w:rsidR="00000000" w:rsidRPr="00385FEC" w:rsidP="00385FEC">
      <w:pPr>
        <w:pStyle w:val="ListBullet"/>
      </w:pPr>
      <w:r w:rsidRPr="00385FEC">
        <w:t>access and exit poin</w:t>
      </w:r>
      <w:r w:rsidRPr="00385FEC">
        <w:t>ts and layout of work environment and premises to be accessed by principal</w:t>
      </w:r>
    </w:p>
    <w:p w:rsidR="00000000" w:rsidRPr="00385FEC" w:rsidP="00385FEC">
      <w:pPr>
        <w:pStyle w:val="ListBullet"/>
      </w:pPr>
      <w:r w:rsidRPr="00385FEC">
        <w:t>approved communication terminology, call signs and radio channels used in the security industry</w:t>
      </w:r>
    </w:p>
    <w:p w:rsidR="00000000" w:rsidRPr="00385FEC" w:rsidP="00385FEC">
      <w:pPr>
        <w:pStyle w:val="ListBullet"/>
      </w:pPr>
      <w:r w:rsidRPr="00385FEC">
        <w:t>basic contingency planning techniques</w:t>
      </w:r>
    </w:p>
    <w:p w:rsidR="00000000" w:rsidRPr="00385FEC" w:rsidP="00385FEC">
      <w:pPr>
        <w:pStyle w:val="ListBullet"/>
      </w:pPr>
      <w:r w:rsidRPr="00385FEC">
        <w:t>chain of command relevant to protection service</w:t>
      </w:r>
      <w:r w:rsidRPr="00385FEC">
        <w:t>s</w:t>
      </w:r>
    </w:p>
    <w:p w:rsidR="00000000" w:rsidRPr="00385FEC" w:rsidP="00385FEC">
      <w:pPr>
        <w:pStyle w:val="ListBullet"/>
      </w:pPr>
      <w:r w:rsidRPr="00385FEC">
        <w:t>current national terrorism threat level and context</w:t>
      </w:r>
    </w:p>
    <w:p w:rsidR="00000000" w:rsidRPr="00385FEC" w:rsidP="00385FEC">
      <w:pPr>
        <w:pStyle w:val="ListBullet"/>
      </w:pPr>
      <w:r w:rsidRPr="00385FEC">
        <w:t>difference between static, mobile and direct protection and the tactics used for each</w:t>
      </w:r>
    </w:p>
    <w:p w:rsidR="00000000" w:rsidRPr="00385FEC" w:rsidP="00385FEC">
      <w:pPr>
        <w:pStyle w:val="ListBullet"/>
      </w:pPr>
      <w:r w:rsidRPr="00385FEC">
        <w:t>emergency and evacuation plans and procedures for premises that may be accessed by principal</w:t>
      </w:r>
    </w:p>
    <w:p w:rsidR="00000000" w:rsidRPr="00385FEC" w:rsidP="00385FEC">
      <w:pPr>
        <w:pStyle w:val="ListBullet"/>
      </w:pPr>
      <w:r w:rsidRPr="00385FEC">
        <w:t>factors that may compromise safety and security of principal during embus and debus points and when entering and exiting premises</w:t>
      </w:r>
    </w:p>
    <w:p w:rsidR="00000000" w:rsidRPr="00385FEC" w:rsidP="00385FEC">
      <w:pPr>
        <w:pStyle w:val="ListBullet"/>
      </w:pPr>
      <w:r w:rsidRPr="00385FEC">
        <w:t xml:space="preserve">from where and how to collect sufficient information to determine levels of threats, vulnerabilities and risks to principals, </w:t>
      </w:r>
      <w:r w:rsidRPr="00385FEC">
        <w:t>without compromising the safety or security of the principal</w:t>
      </w:r>
    </w:p>
    <w:p w:rsidR="00000000" w:rsidRPr="00385FEC" w:rsidP="00385FEC">
      <w:pPr>
        <w:pStyle w:val="ListBullet"/>
      </w:pPr>
      <w:r w:rsidRPr="00385FEC">
        <w:t>how to access and use different types of maps</w:t>
      </w:r>
    </w:p>
    <w:p w:rsidR="00000000" w:rsidRPr="00385FEC" w:rsidP="00385FEC">
      <w:pPr>
        <w:pStyle w:val="ListBullet"/>
      </w:pPr>
      <w:r w:rsidRPr="00385FEC">
        <w:t>how to use common global positioning satellite (GPS) devices, maps and tracking systems</w:t>
      </w:r>
    </w:p>
    <w:p w:rsidR="00000000" w:rsidRPr="00385FEC" w:rsidP="00385FEC">
      <w:pPr>
        <w:pStyle w:val="ListBullet"/>
      </w:pPr>
      <w:r w:rsidRPr="00385FEC">
        <w:t>methods for ensuring intelligence is sufficient, valid and re</w:t>
      </w:r>
      <w:r w:rsidRPr="00385FEC">
        <w:t>levant to protection operation</w:t>
      </w:r>
    </w:p>
    <w:p w:rsidR="00000000" w:rsidRPr="00385FEC" w:rsidP="00385FEC">
      <w:pPr>
        <w:pStyle w:val="ListBullet"/>
      </w:pPr>
      <w:r w:rsidRPr="00385FEC">
        <w:t>methods for verifying sources of intelligence</w:t>
      </w:r>
    </w:p>
    <w:p w:rsidR="00000000" w:rsidRPr="00385FEC" w:rsidP="00385FEC">
      <w:pPr>
        <w:pStyle w:val="ListBullet"/>
      </w:pPr>
      <w:r w:rsidRPr="00385FEC">
        <w:t>process of dynamic risk assessment and how it is applied</w:t>
      </w:r>
    </w:p>
    <w:p w:rsidR="00000000" w:rsidRPr="00385FEC" w:rsidP="00385FEC">
      <w:pPr>
        <w:pStyle w:val="ListBullet"/>
      </w:pPr>
      <w:r w:rsidRPr="00385FEC">
        <w:t>purpose of reconnaissance in planning safety and security of close protection operations</w:t>
      </w:r>
    </w:p>
    <w:p w:rsidR="00000000" w:rsidRPr="00385FEC" w:rsidP="00385FEC">
      <w:pPr>
        <w:pStyle w:val="ListBullet"/>
      </w:pPr>
      <w:r w:rsidRPr="00385FEC">
        <w:t>research techniques using multipl</w:t>
      </w:r>
      <w:r w:rsidRPr="00385FEC">
        <w:t>e sources</w:t>
      </w:r>
    </w:p>
    <w:p w:rsidR="00000000" w:rsidRPr="00385FEC" w:rsidP="00385FEC">
      <w:pPr>
        <w:pStyle w:val="ListBullet"/>
      </w:pPr>
      <w:r w:rsidRPr="00385FEC">
        <w:t>role and legal rights and responsibilities of a close protection operative</w:t>
      </w:r>
    </w:p>
    <w:p w:rsidR="00000000" w:rsidRPr="00385FEC" w:rsidP="00385FEC">
      <w:pPr>
        <w:pStyle w:val="ListBullet"/>
      </w:pPr>
      <w:r w:rsidRPr="00385FEC">
        <w:t>types of equipment and resources used when providing close protection services</w:t>
      </w:r>
    </w:p>
    <w:p w:rsidR="00000000" w:rsidRPr="00385FEC" w:rsidP="00385FEC">
      <w:pPr>
        <w:pStyle w:val="ListBullet"/>
      </w:pPr>
      <w:r w:rsidRPr="00385FEC">
        <w:t>types of potential threats, vulnerabilities and risks that can be encountered during close p</w:t>
      </w:r>
      <w:r w:rsidRPr="00385FEC">
        <w:t>rotection operations</w:t>
      </w:r>
    </w:p>
    <w:p w:rsidR="00000000" w:rsidRPr="00385FEC" w:rsidP="00385FEC">
      <w:pPr>
        <w:pStyle w:val="ListBullet"/>
      </w:pPr>
      <w:r w:rsidRPr="00385FEC">
        <w:t>ways that social and cultural differences may be expressed.</w:t>
      </w:r>
    </w:p>
    <w:p w:rsidR="00000000" w:rsidRPr="00385FEC" w:rsidP="00385FEC">
      <w:pPr>
        <w:pStyle w:val="AllowPageBreak"/>
      </w:pPr>
    </w:p>
    <w:p w:rsidR="00000000" w:rsidRPr="00385FEC" w:rsidP="00385FEC">
      <w:pPr>
        <w:pStyle w:val="Heading1"/>
      </w:pPr>
      <w:bookmarkStart w:id="4" w:name="O_1009331"/>
      <w:bookmarkEnd w:id="4"/>
      <w:r w:rsidRPr="00385FEC">
        <w:t>Assessment Conditions</w:t>
      </w:r>
    </w:p>
    <w:p w:rsidR="00000000" w:rsidRPr="00385FEC" w:rsidP="00C414FD">
      <w:pPr>
        <w:pStyle w:val="BodyText"/>
      </w:pPr>
      <w:r w:rsidRPr="00385FEC">
        <w:t>Assessors must satisfy the requirements for assessors contained in the Standards for Registered Training Organisations (RTOs).  All in</w:t>
      </w:r>
      <w:r w:rsidRPr="00385FEC">
        <w:t>dividuals engaged by a licensed RTO for security licensing purposes must hold both a security trainer’s licence (where such a licence exists within the relevant jurisdiction) and a security operative licence that authorises the security activities about wh</w:t>
      </w:r>
      <w:r w:rsidRPr="00385FEC">
        <w:t>ich the individual is training/assessing.  Regulators may impose other assessor conditions to meet jurisdictional assessment requirements.</w:t>
      </w:r>
    </w:p>
    <w:p w:rsidR="00000000" w:rsidRPr="00385FEC" w:rsidP="00C414FD">
      <w:pPr>
        <w:pStyle w:val="BodyText"/>
      </w:pPr>
      <w:r w:rsidRPr="00385FEC">
        <w:t>Assessment of performance must be undertaken in a simulated workplace environment. Tasks are to be performed to the l</w:t>
      </w:r>
      <w:r w:rsidRPr="00385FEC">
        <w:t>evel of proficiency and within the time limits that would be expected in a workplace.</w:t>
      </w:r>
    </w:p>
    <w:p w:rsidR="00000000" w:rsidRPr="00385FEC" w:rsidP="00C414FD">
      <w:pPr>
        <w:pStyle w:val="BodyText"/>
      </w:pPr>
      <w:r w:rsidRPr="00385FEC">
        <w:t>The assessment of performance evidence must be done by direct observation of the learner by an assessor, either by an assessor observing the learner physically or by an a</w:t>
      </w:r>
      <w:r w:rsidRPr="00385FEC">
        <w:t>ssessor observing the learner via audio and visual media.</w:t>
      </w:r>
    </w:p>
    <w:p w:rsidR="00000000" w:rsidRPr="00385FEC" w:rsidP="00C414FD">
      <w:pPr>
        <w:pStyle w:val="BodyText"/>
      </w:pPr>
      <w:r w:rsidRPr="00385FEC">
        <w:t xml:space="preserve">Assessment of performance evidence is only valid where the learner has been assessed performing the role of a security officer. </w:t>
      </w:r>
    </w:p>
    <w:p w:rsidR="00000000" w:rsidRPr="00385FEC" w:rsidP="00C414FD">
      <w:pPr>
        <w:pStyle w:val="BodyText"/>
      </w:pPr>
      <w:r w:rsidRPr="00385FEC">
        <w:t xml:space="preserve">Assessors are responsible for ensuring that the person demonstrating </w:t>
      </w:r>
      <w:r w:rsidRPr="00385FEC">
        <w:t>competency has access to:</w:t>
      </w:r>
    </w:p>
    <w:p w:rsidR="00000000" w:rsidRPr="00385FEC" w:rsidP="00385FEC">
      <w:pPr>
        <w:pStyle w:val="ListBullet"/>
      </w:pPr>
      <w:r w:rsidRPr="00385FEC">
        <w:t>specifications of assessment tasks to plan provision of close protection services</w:t>
      </w:r>
    </w:p>
    <w:p w:rsidR="00000000" w:rsidRPr="00385FEC" w:rsidP="00385FEC">
      <w:pPr>
        <w:pStyle w:val="ListBullet"/>
      </w:pPr>
      <w:r w:rsidRPr="00385FEC">
        <w:t>appropriate documents, materials, equipment and personal protective equipment (PPE) currently used in industry</w:t>
      </w:r>
    </w:p>
    <w:p w:rsidR="00000000" w:rsidRPr="00385FEC" w:rsidP="00385FEC">
      <w:pPr>
        <w:pStyle w:val="ListBullet"/>
      </w:pPr>
      <w:r w:rsidRPr="00385FEC">
        <w:t>standard operating procedu</w:t>
      </w:r>
      <w:r w:rsidRPr="00385FEC">
        <w:t>res and workplace policies related to the security work role and which specify requirements for complying with industry legislation and regulations.</w:t>
      </w:r>
    </w:p>
    <w:p w:rsidR="00000000" w:rsidRPr="00385FEC" w:rsidP="00385FEC">
      <w:pPr>
        <w:pStyle w:val="AllowPageBreak"/>
      </w:pPr>
    </w:p>
    <w:p w:rsidR="00000000" w:rsidRPr="00385FEC" w:rsidP="00385FEC">
      <w:pPr>
        <w:pStyle w:val="Heading1"/>
      </w:pPr>
      <w:bookmarkStart w:id="5" w:name="O_1009329"/>
      <w:bookmarkEnd w:id="5"/>
      <w:r w:rsidRPr="00385FEC">
        <w:t>Links</w:t>
      </w:r>
    </w:p>
    <w:p w:rsidR="00000000" w:rsidRPr="00385FEC" w:rsidP="00C414FD">
      <w:pPr>
        <w:pStyle w:val="BodyText"/>
      </w:pPr>
      <w:r w:rsidRPr="00385FE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35F6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85FEC" w:rsidP="00385FEC"/>
    <w:sectPr w:rsidSect="00385F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F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FEC" w:rsidRPr="00C414FD" w:rsidP="00C414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F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4FD" w:rsidP="00385F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14FD" w:rsidP="00385F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C414FD" w:rsidP="00385F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F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4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5FEC" w:rsidRPr="00C414FD" w:rsidP="00C414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F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4FD" w:rsidRPr="002D2AF8" w:rsidP="00385F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CPPSEC3122 Plan provision of close protection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C414FD" w:rsidP="00385F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9C38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20B8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1A7A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F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5F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5F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5F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5F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5F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5F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5F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5F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5F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5F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5FEC"/>
  </w:style>
  <w:style w:type="character" w:customStyle="1" w:styleId="Heading1Char">
    <w:name w:val="Heading 1 Char"/>
    <w:basedOn w:val="DefaultParagraphFont"/>
    <w:link w:val="Heading1"/>
    <w:rsid w:val="00385F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5F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5F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5FE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85FE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85F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5F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5F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5F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5F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5F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5F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5F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5F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5F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5F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5F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5F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5F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5F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5F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5F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5F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5F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5F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5F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5F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5FEC"/>
    <w:rPr>
      <w:b/>
      <w:spacing w:val="0"/>
    </w:rPr>
  </w:style>
  <w:style w:type="paragraph" w:customStyle="1" w:styleId="SuperTitle">
    <w:name w:val="SuperTitle"/>
    <w:basedOn w:val="Title"/>
    <w:rsid w:val="00385F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5F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5F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5F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5F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5F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5F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5F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5F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5F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5F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5F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5FEC"/>
    <w:rPr>
      <w:i/>
    </w:rPr>
  </w:style>
  <w:style w:type="paragraph" w:styleId="Caption">
    <w:name w:val="caption"/>
    <w:basedOn w:val="BodyText"/>
    <w:next w:val="Normal"/>
    <w:qFormat/>
    <w:rsid w:val="00385F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5F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5F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5FEC"/>
  </w:style>
  <w:style w:type="paragraph" w:styleId="TableofFigures">
    <w:name w:val="table of figures"/>
    <w:basedOn w:val="Normal"/>
    <w:next w:val="Normal"/>
    <w:semiHidden/>
    <w:rsid w:val="00385F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5F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85FEC"/>
    <w:rPr>
      <w:rFonts w:ascii="Wingdings" w:hAnsi="Wingdings"/>
    </w:rPr>
  </w:style>
  <w:style w:type="paragraph" w:customStyle="1" w:styleId="TableHeading">
    <w:name w:val="Table Heading"/>
    <w:basedOn w:val="HeadingBase"/>
    <w:rsid w:val="00385F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5FEC"/>
    <w:rPr>
      <w:color w:val="0033CC"/>
      <w:u w:val="none"/>
    </w:rPr>
  </w:style>
  <w:style w:type="paragraph" w:customStyle="1" w:styleId="BodyTextRight">
    <w:name w:val="Body Text Right"/>
    <w:basedOn w:val="BodyText"/>
    <w:rsid w:val="00385F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5F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5F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5F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5F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5F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5FEC"/>
    <w:rPr>
      <w:sz w:val="32"/>
    </w:rPr>
  </w:style>
  <w:style w:type="paragraph" w:customStyle="1" w:styleId="HeadingProcedure">
    <w:name w:val="Heading Procedure"/>
    <w:basedOn w:val="HeadingBase"/>
    <w:next w:val="Normal"/>
    <w:rsid w:val="00385F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5FEC"/>
    <w:pPr>
      <w:spacing w:before="60" w:after="60"/>
    </w:pPr>
  </w:style>
  <w:style w:type="paragraph" w:styleId="ListContinue">
    <w:name w:val="List Continue"/>
    <w:basedOn w:val="List"/>
    <w:rsid w:val="00385FEC"/>
    <w:pPr>
      <w:ind w:firstLine="0"/>
    </w:pPr>
  </w:style>
  <w:style w:type="paragraph" w:customStyle="1" w:styleId="ListNote">
    <w:name w:val="List Note"/>
    <w:basedOn w:val="List"/>
    <w:rsid w:val="00385F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5F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5F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5FEC"/>
    <w:rPr>
      <w:rFonts w:ascii="Courier New" w:hAnsi="Courier New"/>
    </w:rPr>
  </w:style>
  <w:style w:type="paragraph" w:customStyle="1" w:styleId="NoteBullet">
    <w:name w:val="Note Bullet"/>
    <w:basedOn w:val="Note"/>
    <w:rsid w:val="00385F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5F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5F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5F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5F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5F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5F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5FEC"/>
    <w:rPr>
      <w:b/>
      <w:smallCaps/>
    </w:rPr>
  </w:style>
  <w:style w:type="paragraph" w:customStyle="1" w:styleId="TableListNumber">
    <w:name w:val="Table List Number"/>
    <w:basedOn w:val="ListNumber"/>
    <w:rsid w:val="00385F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5F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5FEC"/>
    <w:pPr>
      <w:numPr>
        <w:numId w:val="9"/>
      </w:numPr>
    </w:pPr>
  </w:style>
  <w:style w:type="paragraph" w:customStyle="1" w:styleId="ListAlpha2">
    <w:name w:val="List Alpha 2"/>
    <w:basedOn w:val="List2"/>
    <w:rsid w:val="00385FEC"/>
    <w:pPr>
      <w:numPr>
        <w:numId w:val="8"/>
      </w:numPr>
    </w:pPr>
  </w:style>
  <w:style w:type="paragraph" w:styleId="List2">
    <w:name w:val="List 2"/>
    <w:basedOn w:val="BodyText"/>
    <w:rsid w:val="00385F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5F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5F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5F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5F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5F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5FEC"/>
    <w:pPr>
      <w:numPr>
        <w:numId w:val="4"/>
      </w:numPr>
    </w:pPr>
  </w:style>
  <w:style w:type="paragraph" w:styleId="ListContinue2">
    <w:name w:val="List Continue 2"/>
    <w:basedOn w:val="List2"/>
    <w:rsid w:val="00385FEC"/>
    <w:pPr>
      <w:ind w:firstLine="0"/>
    </w:pPr>
  </w:style>
  <w:style w:type="paragraph" w:styleId="ListContinue3">
    <w:name w:val="List Continue 3"/>
    <w:basedOn w:val="List3"/>
    <w:rsid w:val="00385FEC"/>
    <w:pPr>
      <w:ind w:left="1021" w:firstLine="0"/>
    </w:pPr>
  </w:style>
  <w:style w:type="paragraph" w:styleId="ListContinue4">
    <w:name w:val="List Continue 4"/>
    <w:basedOn w:val="List4"/>
    <w:rsid w:val="00385FEC"/>
    <w:pPr>
      <w:ind w:firstLine="0"/>
    </w:pPr>
  </w:style>
  <w:style w:type="paragraph" w:styleId="ListContinue5">
    <w:name w:val="List Continue 5"/>
    <w:basedOn w:val="List5"/>
    <w:rsid w:val="00385FEC"/>
    <w:pPr>
      <w:ind w:firstLine="0"/>
    </w:pPr>
  </w:style>
  <w:style w:type="paragraph" w:styleId="ListNumber3">
    <w:name w:val="List Number 3"/>
    <w:basedOn w:val="List3"/>
    <w:rsid w:val="00385FEC"/>
    <w:pPr>
      <w:numPr>
        <w:numId w:val="5"/>
      </w:numPr>
    </w:pPr>
  </w:style>
  <w:style w:type="paragraph" w:styleId="ListNumber4">
    <w:name w:val="List Number 4"/>
    <w:basedOn w:val="List4"/>
    <w:rsid w:val="00385FEC"/>
    <w:pPr>
      <w:numPr>
        <w:numId w:val="6"/>
      </w:numPr>
    </w:pPr>
  </w:style>
  <w:style w:type="paragraph" w:styleId="ListNumber5">
    <w:name w:val="List Number 5"/>
    <w:basedOn w:val="List5"/>
    <w:rsid w:val="00385FEC"/>
    <w:pPr>
      <w:numPr>
        <w:numId w:val="7"/>
      </w:numPr>
    </w:pPr>
  </w:style>
  <w:style w:type="paragraph" w:styleId="BlockText">
    <w:name w:val="Block Text"/>
    <w:basedOn w:val="Normal"/>
    <w:rsid w:val="00385F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5F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5FEC"/>
    <w:rPr>
      <w:sz w:val="16"/>
      <w:vertAlign w:val="superscript"/>
    </w:rPr>
  </w:style>
  <w:style w:type="character" w:customStyle="1" w:styleId="Symbols">
    <w:name w:val="Symbols"/>
    <w:basedOn w:val="DefaultParagraphFont"/>
    <w:rsid w:val="00385FEC"/>
    <w:rPr>
      <w:rFonts w:ascii="Symbol" w:hAnsi="Symbol"/>
    </w:rPr>
  </w:style>
  <w:style w:type="character" w:customStyle="1" w:styleId="MenuOptions">
    <w:name w:val="Menu Options"/>
    <w:basedOn w:val="DefaultParagraphFont"/>
    <w:rsid w:val="00385F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5FEC"/>
    <w:rPr>
      <w:b/>
    </w:rPr>
  </w:style>
  <w:style w:type="character" w:customStyle="1" w:styleId="Underlined">
    <w:name w:val="Underlined"/>
    <w:basedOn w:val="DefaultParagraphFont"/>
    <w:rsid w:val="00385FEC"/>
    <w:rPr>
      <w:u w:val="single"/>
    </w:rPr>
  </w:style>
  <w:style w:type="paragraph" w:customStyle="1" w:styleId="TableBodyTextRight">
    <w:name w:val="Table Body Text Right"/>
    <w:basedOn w:val="TableBodyText"/>
    <w:rsid w:val="00385F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5FEC"/>
    <w:rPr>
      <w:sz w:val="18"/>
    </w:rPr>
  </w:style>
  <w:style w:type="paragraph" w:customStyle="1" w:styleId="BodySmallRight">
    <w:name w:val="Body Small Right"/>
    <w:basedOn w:val="BodyTextRight"/>
    <w:rsid w:val="00385FEC"/>
    <w:rPr>
      <w:sz w:val="18"/>
      <w:szCs w:val="18"/>
    </w:rPr>
  </w:style>
  <w:style w:type="paragraph" w:customStyle="1" w:styleId="MarginEdition">
    <w:name w:val="Margin Edition"/>
    <w:basedOn w:val="MarginNote"/>
    <w:rsid w:val="00385F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5FEC"/>
    <w:rPr>
      <w:sz w:val="2"/>
      <w:szCs w:val="2"/>
    </w:rPr>
  </w:style>
  <w:style w:type="character" w:customStyle="1" w:styleId="Small">
    <w:name w:val="Small"/>
    <w:basedOn w:val="DefaultParagraphFont"/>
    <w:rsid w:val="00385FEC"/>
    <w:rPr>
      <w:sz w:val="16"/>
    </w:rPr>
  </w:style>
  <w:style w:type="paragraph" w:customStyle="1" w:styleId="WideTable">
    <w:name w:val="Wide Table"/>
    <w:basedOn w:val="Normal"/>
    <w:rsid w:val="00385F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5FEC"/>
  </w:style>
  <w:style w:type="paragraph" w:styleId="Quote">
    <w:name w:val="Quote"/>
    <w:basedOn w:val="Heading1"/>
    <w:link w:val="QuoteChar"/>
    <w:qFormat/>
    <w:rsid w:val="00385F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5F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5FEC"/>
    <w:pPr>
      <w:pageBreakBefore/>
    </w:pPr>
  </w:style>
  <w:style w:type="paragraph" w:customStyle="1" w:styleId="Border">
    <w:name w:val="Border"/>
    <w:basedOn w:val="Normal"/>
    <w:qFormat/>
    <w:rsid w:val="00385F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5F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5F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5F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5F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5F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5F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5F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5F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5FEC"/>
    <w:rPr>
      <w:u w:val="single"/>
    </w:rPr>
  </w:style>
  <w:style w:type="character" w:customStyle="1" w:styleId="BoldandItalics">
    <w:name w:val="Bold and Italics"/>
    <w:qFormat/>
    <w:rsid w:val="00385FEC"/>
    <w:rPr>
      <w:b/>
      <w:i/>
      <w:u w:val="none"/>
    </w:rPr>
  </w:style>
  <w:style w:type="paragraph" w:styleId="BalloonText">
    <w:name w:val="Balloon Text"/>
    <w:basedOn w:val="Normal"/>
    <w:link w:val="BalloonTextChar"/>
    <w:rsid w:val="00385F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5F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5F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5F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5F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5F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5FEC"/>
    <w:pPr>
      <w:spacing w:before="0" w:after="0"/>
    </w:pPr>
  </w:style>
  <w:style w:type="paragraph" w:customStyle="1" w:styleId="BodyTextBold">
    <w:name w:val="Body Text Bold"/>
    <w:basedOn w:val="BodyText"/>
    <w:qFormat/>
    <w:rsid w:val="00385FEC"/>
    <w:rPr>
      <w:b/>
    </w:rPr>
  </w:style>
  <w:style w:type="character" w:styleId="Hyperlink">
    <w:name w:val="Hyperlink"/>
    <w:basedOn w:val="DefaultParagraphFont"/>
    <w:uiPriority w:val="99"/>
    <w:unhideWhenUsed/>
    <w:rsid w:val="00C414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664</Words>
  <Characters>4109</Characters>
  <Application>Microsoft Office Word</Application>
  <DocSecurity>0</DocSecurity>
  <Lines>89</Lines>
  <Paragraphs>64</Paragraphs>
  <ScaleCrop>false</ScaleCrop>
  <Company>Author-it Software Corporation Ltd.</Company>
  <LinksUpToDate>false</LinksUpToDate>
  <CharactersWithSpaces>4709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CPPSEC3122 Plan provision of close protection services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2023-03-02T05:13:00Z</dcterms:created>
  <dcterms:modified xsi:type="dcterms:W3CDTF">2023-03-02T05:13:00Z</dcterms:modified>
</cp:coreProperties>
</file>