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70BA" w:rsidP="00F270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CPPSEC3107 Monitor security and coordinate response from control rooms</w:t>
      </w:r>
      <w:r>
        <w:fldChar w:fldCharType="end"/>
      </w:r>
    </w:p>
    <w:p w:rsidR="00F270BA" w:rsidP="00F270BA">
      <w:pPr>
        <w:pStyle w:val="Version"/>
        <w:sectPr w:rsidSect="000838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38D8" w:rsidP="000838D8">
      <w:pPr>
        <w:pStyle w:val="SuperHeading"/>
      </w:pPr>
      <w:r w:rsidRPr="000838D8">
        <w:t>Assessment Requirements for CPPSEC3107 Monitor security and coordinate response from control rooms</w:t>
      </w:r>
    </w:p>
    <w:p w:rsidR="00000000" w:rsidRPr="000838D8" w:rsidP="000838D8">
      <w:pPr>
        <w:pStyle w:val="Heading1"/>
      </w:pPr>
      <w:bookmarkStart w:id="1" w:name="O_1009057"/>
      <w:bookmarkEnd w:id="1"/>
      <w:r w:rsidRPr="000838D8">
        <w:t>Modification History</w:t>
      </w:r>
    </w:p>
    <w:p w:rsidR="00000000" w:rsidRPr="000838D8" w:rsidP="00F270BA">
      <w:r w:rsidRPr="000838D8">
        <w:t>Release 1.</w:t>
      </w:r>
    </w:p>
    <w:p w:rsidR="00000000" w:rsidRPr="000838D8" w:rsidP="00F270BA">
      <w:r w:rsidRPr="000838D8">
        <w:t>Supersedes and is equivalent to CPPSEC3020A Monitor security from control room.</w:t>
      </w:r>
    </w:p>
    <w:p w:rsidR="00000000" w:rsidRPr="000838D8" w:rsidP="00F270BA">
      <w:r w:rsidRPr="000838D8">
        <w:t>Updated to meet the Standards for Training Packages.</w:t>
      </w:r>
    </w:p>
    <w:p w:rsidR="00000000" w:rsidRPr="000838D8" w:rsidP="00F270BA">
      <w:r w:rsidRPr="000838D8">
        <w:t>This version first released with CPP Property Services Training Package Version 7.0.</w:t>
      </w:r>
    </w:p>
    <w:p w:rsidR="00000000" w:rsidRPr="000838D8" w:rsidP="000838D8">
      <w:pPr>
        <w:pStyle w:val="Heading1"/>
      </w:pPr>
      <w:bookmarkStart w:id="2" w:name="O_1009060"/>
      <w:bookmarkEnd w:id="2"/>
      <w:r w:rsidRPr="000838D8">
        <w:t>Performance Evidence</w:t>
      </w:r>
    </w:p>
    <w:p w:rsidR="00000000" w:rsidRPr="000838D8" w:rsidP="00F270BA">
      <w:pPr>
        <w:pStyle w:val="BodyText"/>
      </w:pPr>
      <w:r w:rsidRPr="000838D8">
        <w:t>To demonstrate competency in this unit, a person must monitor security and coo</w:t>
      </w:r>
      <w:r w:rsidRPr="000838D8">
        <w:t>rdinate response from control rooms to four alarm events covering different risk scenarios in each event.</w:t>
      </w:r>
    </w:p>
    <w:p w:rsidR="00000000" w:rsidRPr="000838D8" w:rsidP="00F270BA">
      <w:pPr>
        <w:pStyle w:val="BodyText"/>
      </w:pPr>
      <w:r w:rsidRPr="000838D8">
        <w:t>In doing this, the person must meet the performance criteria for this unit.</w:t>
      </w:r>
    </w:p>
    <w:p w:rsidR="00000000" w:rsidRPr="000838D8" w:rsidP="000838D8">
      <w:pPr>
        <w:pStyle w:val="Heading1"/>
      </w:pPr>
      <w:bookmarkStart w:id="3" w:name="O_1009059"/>
      <w:bookmarkEnd w:id="3"/>
      <w:r w:rsidRPr="000838D8">
        <w:t>Knowledge Evidence</w:t>
      </w:r>
    </w:p>
    <w:p w:rsidR="00000000" w:rsidRPr="000838D8" w:rsidP="00F270BA">
      <w:pPr>
        <w:pStyle w:val="BodyText"/>
      </w:pPr>
      <w:r w:rsidRPr="000838D8">
        <w:t>To be competent in this unit, a pers</w:t>
      </w:r>
      <w:r w:rsidRPr="000838D8">
        <w:t>on must demonstrate knowledge of:</w:t>
      </w:r>
    </w:p>
    <w:p w:rsidR="00000000" w:rsidRPr="000838D8" w:rsidP="000838D8">
      <w:pPr>
        <w:pStyle w:val="ListBullet"/>
      </w:pPr>
      <w:r w:rsidRPr="000838D8">
        <w:t>standard operating procedures and workplace policies that ensure compliance with legislative and regulatory requirements when monitoring security and coordinating a response from a control room:</w:t>
      </w:r>
    </w:p>
    <w:p w:rsidR="00000000" w:rsidRPr="000838D8" w:rsidP="000838D8">
      <w:pPr>
        <w:pStyle w:val="ListBullet2"/>
      </w:pPr>
      <w:r w:rsidRPr="000838D8">
        <w:t>casinos and gaming</w:t>
      </w:r>
    </w:p>
    <w:p w:rsidR="00000000" w:rsidRPr="000838D8" w:rsidP="000838D8">
      <w:pPr>
        <w:pStyle w:val="ListBullet2"/>
      </w:pPr>
      <w:r w:rsidRPr="000838D8">
        <w:t>counter terrorism</w:t>
      </w:r>
    </w:p>
    <w:p w:rsidR="00000000" w:rsidRPr="000838D8" w:rsidP="000838D8">
      <w:pPr>
        <w:pStyle w:val="ListBullet2"/>
      </w:pPr>
      <w:r w:rsidRPr="000838D8">
        <w:t>duty of care</w:t>
      </w:r>
    </w:p>
    <w:p w:rsidR="00000000" w:rsidRPr="000838D8" w:rsidP="000838D8">
      <w:pPr>
        <w:pStyle w:val="ListBullet2"/>
      </w:pPr>
      <w:r w:rsidRPr="000838D8">
        <w:t>information privacy and confidentiality</w:t>
      </w:r>
    </w:p>
    <w:p w:rsidR="00000000" w:rsidRPr="000838D8" w:rsidP="000838D8">
      <w:pPr>
        <w:pStyle w:val="ListBullet2"/>
      </w:pPr>
      <w:r w:rsidRPr="000838D8">
        <w:t>licensing requirements and limits of own authority</w:t>
      </w:r>
    </w:p>
    <w:p w:rsidR="00000000" w:rsidRPr="000838D8" w:rsidP="000838D8">
      <w:pPr>
        <w:pStyle w:val="ListBullet2"/>
      </w:pPr>
      <w:r w:rsidRPr="000838D8">
        <w:t>surveillance</w:t>
      </w:r>
    </w:p>
    <w:p w:rsidR="00000000" w:rsidRPr="000838D8" w:rsidP="000838D8">
      <w:pPr>
        <w:pStyle w:val="ListBullet2"/>
      </w:pPr>
      <w:r w:rsidRPr="000838D8">
        <w:t>workplace health and safety (WHS)</w:t>
      </w:r>
    </w:p>
    <w:p w:rsidR="00000000" w:rsidRPr="000838D8" w:rsidP="000838D8">
      <w:pPr>
        <w:pStyle w:val="ListBullet"/>
      </w:pPr>
      <w:r w:rsidRPr="000838D8">
        <w:t>approved communication terminology, call signs and radio channels used in the security</w:t>
      </w:r>
      <w:r w:rsidRPr="000838D8">
        <w:t xml:space="preserve"> industry</w:t>
      </w:r>
    </w:p>
    <w:p w:rsidR="00000000" w:rsidRPr="000838D8" w:rsidP="000838D8">
      <w:pPr>
        <w:pStyle w:val="ListBullet"/>
      </w:pPr>
      <w:r w:rsidRPr="000838D8">
        <w:t>chain of command relevant to control room operation</w:t>
      </w:r>
    </w:p>
    <w:p w:rsidR="00000000" w:rsidRPr="000838D8" w:rsidP="000838D8">
      <w:pPr>
        <w:pStyle w:val="ListBullet"/>
      </w:pPr>
      <w:r w:rsidRPr="000838D8">
        <w:t>communication formats relating to security systems (high speed, contact ID etc.)</w:t>
      </w:r>
    </w:p>
    <w:p w:rsidR="00000000" w:rsidRPr="000838D8" w:rsidP="000838D8">
      <w:pPr>
        <w:pStyle w:val="ListBullet"/>
      </w:pPr>
      <w:r w:rsidRPr="000838D8">
        <w:t>crowd behaviour, dynamics and movement patterns that can threaten security</w:t>
      </w:r>
    </w:p>
    <w:p w:rsidR="00000000" w:rsidRPr="000838D8" w:rsidP="000838D8">
      <w:pPr>
        <w:pStyle w:val="ListBullet"/>
      </w:pPr>
      <w:r w:rsidRPr="000838D8">
        <w:t>current national terrorism threat leve</w:t>
      </w:r>
      <w:r w:rsidRPr="000838D8">
        <w:t>l and context</w:t>
      </w:r>
    </w:p>
    <w:p w:rsidR="00000000" w:rsidRPr="000838D8" w:rsidP="000838D8">
      <w:pPr>
        <w:pStyle w:val="ListBullet"/>
      </w:pPr>
      <w:r w:rsidRPr="000838D8">
        <w:t>difference between local and monitored alarms</w:t>
      </w:r>
    </w:p>
    <w:p w:rsidR="00000000" w:rsidRPr="000838D8" w:rsidP="000838D8">
      <w:pPr>
        <w:pStyle w:val="ListBullet"/>
      </w:pPr>
      <w:r w:rsidRPr="000838D8">
        <w:t>factors that may indicate escalation of conflict or risk and situations requiring specialist assistance</w:t>
      </w:r>
    </w:p>
    <w:p w:rsidR="00000000" w:rsidRPr="000838D8" w:rsidP="000838D8">
      <w:pPr>
        <w:pStyle w:val="ListBullet"/>
      </w:pPr>
      <w:r w:rsidRPr="000838D8">
        <w:t>operational principles of a range of security systems, equipment and software used in contro</w:t>
      </w:r>
      <w:r w:rsidRPr="000838D8">
        <w:t>l rooms</w:t>
      </w:r>
    </w:p>
    <w:p w:rsidR="00000000" w:rsidRPr="000838D8" w:rsidP="000838D8">
      <w:pPr>
        <w:pStyle w:val="ListBullet"/>
      </w:pPr>
      <w:r w:rsidRPr="000838D8">
        <w:t>procedures for change of shift</w:t>
      </w:r>
    </w:p>
    <w:p w:rsidR="00000000" w:rsidRPr="000838D8" w:rsidP="000838D8">
      <w:pPr>
        <w:pStyle w:val="ListBullet"/>
      </w:pPr>
      <w:r w:rsidRPr="000838D8">
        <w:t>procedures for communicating and collaborating with emergency services</w:t>
      </w:r>
    </w:p>
    <w:p w:rsidR="00000000" w:rsidRPr="000838D8" w:rsidP="000838D8">
      <w:pPr>
        <w:pStyle w:val="ListBullet"/>
      </w:pPr>
      <w:r w:rsidRPr="000838D8">
        <w:t>procedures for deploying field staff to respond to security risks and alarms</w:t>
      </w:r>
    </w:p>
    <w:p w:rsidR="00000000" w:rsidRPr="000838D8" w:rsidP="000838D8">
      <w:pPr>
        <w:pStyle w:val="ListBullet"/>
      </w:pPr>
      <w:r w:rsidRPr="000838D8">
        <w:t>procedures for preparing, storing and retrieving surveillance footage</w:t>
      </w:r>
    </w:p>
    <w:p w:rsidR="00000000" w:rsidRPr="000838D8" w:rsidP="000838D8">
      <w:pPr>
        <w:pStyle w:val="ListBullet"/>
      </w:pPr>
      <w:r w:rsidRPr="000838D8">
        <w:t>process of dynamic risk assessment and how it is applied</w:t>
      </w:r>
    </w:p>
    <w:p w:rsidR="00000000" w:rsidRPr="000838D8" w:rsidP="000838D8">
      <w:pPr>
        <w:pStyle w:val="ListBullet"/>
      </w:pPr>
      <w:r w:rsidRPr="000838D8">
        <w:t>purpose of Australia</w:t>
      </w:r>
      <w:r>
        <w:t>’</w:t>
      </w:r>
      <w:r w:rsidRPr="000838D8">
        <w:t xml:space="preserve">s </w:t>
      </w:r>
      <w:r w:rsidRPr="000838D8">
        <w:rPr>
          <w:rStyle w:val="Emphasis"/>
        </w:rPr>
        <w:t>Strategy for Protecting Crowded Places from Terrorism</w:t>
      </w:r>
      <w:r w:rsidRPr="000838D8">
        <w:t xml:space="preserve"> and understanding of:</w:t>
      </w:r>
    </w:p>
    <w:p w:rsidR="00000000" w:rsidRPr="000838D8" w:rsidP="000838D8">
      <w:pPr>
        <w:pStyle w:val="ListBullet2"/>
      </w:pPr>
      <w:r w:rsidRPr="000838D8">
        <w:t>definition of crowded places</w:t>
      </w:r>
    </w:p>
    <w:p w:rsidR="00000000" w:rsidRPr="000838D8" w:rsidP="000838D8">
      <w:pPr>
        <w:pStyle w:val="ListBullet2"/>
      </w:pPr>
      <w:r w:rsidRPr="000838D8">
        <w:t>key security issues for crowded places</w:t>
      </w:r>
    </w:p>
    <w:p w:rsidR="00000000" w:rsidRPr="000838D8" w:rsidP="000838D8">
      <w:pPr>
        <w:pStyle w:val="ListBullet2"/>
      </w:pPr>
      <w:r w:rsidRPr="000838D8">
        <w:t>objectives, characteristics an</w:t>
      </w:r>
      <w:r w:rsidRPr="000838D8">
        <w:t>d identification of active armed offenders</w:t>
      </w:r>
    </w:p>
    <w:p w:rsidR="00000000" w:rsidRPr="000838D8" w:rsidP="000838D8">
      <w:pPr>
        <w:pStyle w:val="ListBullet2"/>
      </w:pPr>
      <w:r w:rsidRPr="000838D8">
        <w:t>definition of hostile vehicles and methods of attack</w:t>
      </w:r>
    </w:p>
    <w:p w:rsidR="00000000" w:rsidRPr="000838D8" w:rsidP="000838D8">
      <w:pPr>
        <w:pStyle w:val="ListBullet2"/>
      </w:pPr>
      <w:r w:rsidRPr="000838D8">
        <w:t>signs of chemical weapons attack and recommended response</w:t>
      </w:r>
    </w:p>
    <w:p w:rsidR="00000000" w:rsidRPr="000838D8" w:rsidP="000838D8">
      <w:pPr>
        <w:pStyle w:val="ListBullet"/>
      </w:pPr>
      <w:r w:rsidRPr="000838D8">
        <w:t>general features of improvised explosive devices and recommended incident response</w:t>
      </w:r>
    </w:p>
    <w:p w:rsidR="00000000" w:rsidRPr="000838D8" w:rsidP="000838D8">
      <w:pPr>
        <w:pStyle w:val="ListBullet"/>
      </w:pPr>
      <w:r w:rsidRPr="000838D8">
        <w:t xml:space="preserve">range of security </w:t>
      </w:r>
      <w:r w:rsidRPr="000838D8">
        <w:t>risk or incident situations and appropriate response procedures implemented from a control room</w:t>
      </w:r>
    </w:p>
    <w:p w:rsidR="00000000" w:rsidRPr="000838D8" w:rsidP="000838D8">
      <w:pPr>
        <w:pStyle w:val="ListBullet"/>
      </w:pPr>
      <w:r w:rsidRPr="000838D8">
        <w:t>roles and responsibilities of field staff</w:t>
      </w:r>
    </w:p>
    <w:p w:rsidR="00000000" w:rsidRPr="000838D8" w:rsidP="000838D8">
      <w:pPr>
        <w:pStyle w:val="ListBullet"/>
      </w:pPr>
      <w:r w:rsidRPr="000838D8">
        <w:t>signs of possible harassment or assault</w:t>
      </w:r>
    </w:p>
    <w:p w:rsidR="00000000" w:rsidRPr="000838D8" w:rsidP="000838D8">
      <w:pPr>
        <w:pStyle w:val="ListBullet"/>
      </w:pPr>
      <w:r w:rsidRPr="000838D8">
        <w:t>surveillance recording systems (digital and analogue) and interfaces</w:t>
      </w:r>
    </w:p>
    <w:p w:rsidR="00000000" w:rsidRPr="000838D8" w:rsidP="000838D8">
      <w:pPr>
        <w:pStyle w:val="ListBullet"/>
      </w:pPr>
      <w:r w:rsidRPr="000838D8">
        <w:t>the phonetic alphabet and how it is used</w:t>
      </w:r>
    </w:p>
    <w:p w:rsidR="00000000" w:rsidRPr="000838D8" w:rsidP="000838D8">
      <w:pPr>
        <w:pStyle w:val="ListBullet"/>
      </w:pPr>
      <w:r w:rsidRPr="000838D8">
        <w:t>types of computer operating systems used in a control room</w:t>
      </w:r>
    </w:p>
    <w:p w:rsidR="00000000" w:rsidRPr="000838D8" w:rsidP="000838D8">
      <w:pPr>
        <w:pStyle w:val="ListBullet"/>
      </w:pPr>
      <w:r w:rsidRPr="000838D8">
        <w:t>types of behavioural anomalies and suspect behaviours that can indicate criminal activity, hostile reconnaissance or the potential for terrorist activity</w:t>
      </w:r>
    </w:p>
    <w:p w:rsidR="00000000" w:rsidRPr="000838D8" w:rsidP="000838D8">
      <w:pPr>
        <w:pStyle w:val="ListBullet"/>
      </w:pPr>
      <w:r w:rsidRPr="000838D8">
        <w:t>ty</w:t>
      </w:r>
      <w:r w:rsidRPr="000838D8">
        <w:t>pes of detectors monitored from a control room including passive infrared sensor (PIR), and dual tech</w:t>
      </w:r>
    </w:p>
    <w:p w:rsidR="00000000" w:rsidRPr="000838D8" w:rsidP="000838D8">
      <w:pPr>
        <w:pStyle w:val="ListBullet"/>
      </w:pPr>
      <w:r w:rsidRPr="000838D8">
        <w:t>ways that social and cultural differences may be expressed.</w:t>
      </w:r>
    </w:p>
    <w:p w:rsidR="00000000" w:rsidRPr="000838D8" w:rsidP="000838D8">
      <w:pPr>
        <w:pStyle w:val="AllowPageBreak"/>
      </w:pPr>
    </w:p>
    <w:p w:rsidR="00000000" w:rsidRPr="000838D8" w:rsidP="000838D8">
      <w:pPr>
        <w:pStyle w:val="Heading1"/>
      </w:pPr>
      <w:bookmarkStart w:id="4" w:name="O_1009058"/>
      <w:bookmarkEnd w:id="4"/>
      <w:r w:rsidRPr="000838D8">
        <w:t>Assessment Conditions</w:t>
      </w:r>
    </w:p>
    <w:p w:rsidR="00000000" w:rsidRPr="000838D8" w:rsidP="00F270BA">
      <w:pPr>
        <w:pStyle w:val="BodyText"/>
      </w:pPr>
      <w:r w:rsidRPr="000838D8">
        <w:t>Assessors must satisfy the requirements for assessors</w:t>
      </w:r>
      <w:r w:rsidRPr="000838D8">
        <w:t xml:space="preserve"> contained in the Standards for Registered Training Organisations (RTOs).  All individuals engaged by a licensed RTO for security licensing purposes must hold both a security trainer’s licence (where such a licence exists within the relevant jurisdiction) </w:t>
      </w:r>
      <w:r w:rsidRPr="000838D8">
        <w:t>and a security operative licence that authorises the security activities about which the individual is training/assessing.  Regulators may impose other assessor conditions to meet jurisdictional assessment requirements.</w:t>
      </w:r>
    </w:p>
    <w:p w:rsidR="00000000" w:rsidRPr="000838D8" w:rsidP="00F270BA">
      <w:pPr>
        <w:pStyle w:val="BodyText"/>
      </w:pPr>
      <w:r w:rsidRPr="000838D8">
        <w:t>Assessment of performance must be un</w:t>
      </w:r>
      <w:r w:rsidRPr="000838D8">
        <w:t>dertaken in a simulated workplace environment. Tasks are to be performed to the level of proficiency and within the time limits that would be expected in a workplace.</w:t>
      </w:r>
    </w:p>
    <w:p w:rsidR="00000000" w:rsidRPr="000838D8" w:rsidP="00F270BA">
      <w:pPr>
        <w:pStyle w:val="BodyText"/>
      </w:pPr>
      <w:r w:rsidRPr="000838D8">
        <w:t xml:space="preserve">The assessment of performance evidence must be done by direct observation of the learner </w:t>
      </w:r>
      <w:r w:rsidRPr="000838D8">
        <w:t>by an assessor, either by an assessor observing the learner physically or by an assessor observing the learner via audio and visual media.</w:t>
      </w:r>
    </w:p>
    <w:p w:rsidR="00000000" w:rsidRPr="000838D8" w:rsidP="00F270BA">
      <w:pPr>
        <w:pStyle w:val="BodyText"/>
      </w:pPr>
      <w:r w:rsidRPr="000838D8">
        <w:t>Assessment of performance evidence is only valid where the learner has been assessed performing the role of a securit</w:t>
      </w:r>
      <w:r w:rsidRPr="000838D8">
        <w:t>y officer. Assessors are responsible for ensuring that the person demonstrating competency has access to:</w:t>
      </w:r>
    </w:p>
    <w:p w:rsidR="00000000" w:rsidRPr="000838D8" w:rsidP="000838D8">
      <w:pPr>
        <w:pStyle w:val="ListBullet"/>
      </w:pPr>
      <w:r w:rsidRPr="000838D8">
        <w:t>specifications of assessment tasks to monitor security and coordinate response from control rooms</w:t>
      </w:r>
    </w:p>
    <w:p w:rsidR="00000000" w:rsidRPr="000838D8" w:rsidP="000838D8">
      <w:pPr>
        <w:pStyle w:val="ListBullet"/>
      </w:pPr>
      <w:r w:rsidRPr="000838D8">
        <w:t>appropriate documents, materials, equipment and per</w:t>
      </w:r>
      <w:r w:rsidRPr="000838D8">
        <w:t>sonal protective equipment (PPE) currently used in industry</w:t>
      </w:r>
    </w:p>
    <w:p w:rsidR="00000000" w:rsidRPr="000838D8" w:rsidP="000838D8">
      <w:pPr>
        <w:pStyle w:val="ListBullet"/>
      </w:pPr>
      <w:r w:rsidRPr="000838D8">
        <w:t>standard operating procedures and workplace policies related to the security work role and which specify requirements for complying with industry legislation and regulations</w:t>
      </w:r>
    </w:p>
    <w:p w:rsidR="00000000" w:rsidRPr="000838D8" w:rsidP="000838D8">
      <w:pPr>
        <w:pStyle w:val="ListBullet"/>
      </w:pPr>
      <w:r w:rsidRPr="000838D8">
        <w:t>a security control roo</w:t>
      </w:r>
      <w:r w:rsidRPr="000838D8">
        <w:t>m with operational equipment and systems.</w:t>
      </w:r>
    </w:p>
    <w:p w:rsidR="00000000" w:rsidRPr="000838D8" w:rsidP="000838D8">
      <w:pPr>
        <w:pStyle w:val="AllowPageBreak"/>
      </w:pPr>
    </w:p>
    <w:p w:rsidR="00000000" w:rsidRPr="000838D8" w:rsidP="000838D8">
      <w:pPr>
        <w:pStyle w:val="Heading1"/>
      </w:pPr>
      <w:bookmarkStart w:id="5" w:name="O_1009056"/>
      <w:bookmarkEnd w:id="5"/>
      <w:r w:rsidRPr="000838D8">
        <w:t>Links</w:t>
      </w:r>
    </w:p>
    <w:p w:rsidR="00000000" w:rsidRPr="000838D8" w:rsidP="00F270BA">
      <w:pPr>
        <w:pStyle w:val="BodyText"/>
      </w:pPr>
      <w:r w:rsidRPr="000838D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57DE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838D8" w:rsidP="000838D8"/>
    <w:sectPr w:rsidSect="000838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8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8D8" w:rsidRPr="00F270BA" w:rsidP="00F270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8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0BA" w:rsidP="000838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70BA" w:rsidP="000838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270BA" w:rsidP="000838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8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0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38D8" w:rsidRPr="00F270BA" w:rsidP="00F270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8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0BA" w:rsidRPr="002D2AF8" w:rsidP="000838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CPPSEC3107 Monitor security and coordinate response from control rooms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F270BA" w:rsidP="000838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B4A0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4A90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54D8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8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38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38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38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38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38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38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38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38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38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38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38D8"/>
  </w:style>
  <w:style w:type="character" w:customStyle="1" w:styleId="Heading1Char">
    <w:name w:val="Heading 1 Char"/>
    <w:basedOn w:val="DefaultParagraphFont"/>
    <w:link w:val="Heading1"/>
    <w:rsid w:val="000838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38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38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38D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38D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838D8"/>
    <w:rPr>
      <w:i/>
    </w:rPr>
  </w:style>
  <w:style w:type="paragraph" w:customStyle="1" w:styleId="SuperHeading">
    <w:name w:val="SuperHeading"/>
    <w:basedOn w:val="Normal"/>
    <w:rsid w:val="000838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38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38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38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38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38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38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38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38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38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38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38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38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38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38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38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38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38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38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38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38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38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38D8"/>
    <w:rPr>
      <w:b/>
      <w:spacing w:val="0"/>
    </w:rPr>
  </w:style>
  <w:style w:type="paragraph" w:customStyle="1" w:styleId="SuperTitle">
    <w:name w:val="SuperTitle"/>
    <w:basedOn w:val="Title"/>
    <w:rsid w:val="000838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38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38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38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38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38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38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38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38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38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38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38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38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38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38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38D8"/>
  </w:style>
  <w:style w:type="paragraph" w:styleId="TableofFigures">
    <w:name w:val="table of figures"/>
    <w:basedOn w:val="Normal"/>
    <w:next w:val="Normal"/>
    <w:semiHidden/>
    <w:rsid w:val="000838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38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38D8"/>
    <w:rPr>
      <w:rFonts w:ascii="Wingdings" w:hAnsi="Wingdings"/>
    </w:rPr>
  </w:style>
  <w:style w:type="paragraph" w:customStyle="1" w:styleId="TableHeading">
    <w:name w:val="Table Heading"/>
    <w:basedOn w:val="HeadingBase"/>
    <w:rsid w:val="000838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38D8"/>
    <w:rPr>
      <w:color w:val="0033CC"/>
      <w:u w:val="none"/>
    </w:rPr>
  </w:style>
  <w:style w:type="paragraph" w:customStyle="1" w:styleId="BodyTextRight">
    <w:name w:val="Body Text Right"/>
    <w:basedOn w:val="BodyText"/>
    <w:rsid w:val="000838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38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38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38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38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38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38D8"/>
    <w:rPr>
      <w:sz w:val="32"/>
    </w:rPr>
  </w:style>
  <w:style w:type="paragraph" w:customStyle="1" w:styleId="HeadingProcedure">
    <w:name w:val="Heading Procedure"/>
    <w:basedOn w:val="HeadingBase"/>
    <w:next w:val="Normal"/>
    <w:rsid w:val="000838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38D8"/>
    <w:pPr>
      <w:spacing w:before="60" w:after="60"/>
    </w:pPr>
  </w:style>
  <w:style w:type="paragraph" w:styleId="ListContinue">
    <w:name w:val="List Continue"/>
    <w:basedOn w:val="List"/>
    <w:rsid w:val="000838D8"/>
    <w:pPr>
      <w:ind w:firstLine="0"/>
    </w:pPr>
  </w:style>
  <w:style w:type="paragraph" w:customStyle="1" w:styleId="ListNote">
    <w:name w:val="List Note"/>
    <w:basedOn w:val="List"/>
    <w:rsid w:val="000838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38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38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38D8"/>
    <w:rPr>
      <w:rFonts w:ascii="Courier New" w:hAnsi="Courier New"/>
    </w:rPr>
  </w:style>
  <w:style w:type="paragraph" w:customStyle="1" w:styleId="NoteBullet">
    <w:name w:val="Note Bullet"/>
    <w:basedOn w:val="Note"/>
    <w:rsid w:val="000838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38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38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38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38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38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38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38D8"/>
    <w:rPr>
      <w:b/>
      <w:smallCaps/>
    </w:rPr>
  </w:style>
  <w:style w:type="paragraph" w:customStyle="1" w:styleId="TableListNumber">
    <w:name w:val="Table List Number"/>
    <w:basedOn w:val="ListNumber"/>
    <w:rsid w:val="000838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38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38D8"/>
    <w:pPr>
      <w:numPr>
        <w:numId w:val="9"/>
      </w:numPr>
    </w:pPr>
  </w:style>
  <w:style w:type="paragraph" w:customStyle="1" w:styleId="ListAlpha2">
    <w:name w:val="List Alpha 2"/>
    <w:basedOn w:val="List2"/>
    <w:rsid w:val="000838D8"/>
    <w:pPr>
      <w:numPr>
        <w:numId w:val="8"/>
      </w:numPr>
    </w:pPr>
  </w:style>
  <w:style w:type="paragraph" w:styleId="List2">
    <w:name w:val="List 2"/>
    <w:basedOn w:val="BodyText"/>
    <w:rsid w:val="000838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38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38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38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38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38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38D8"/>
    <w:pPr>
      <w:numPr>
        <w:numId w:val="4"/>
      </w:numPr>
    </w:pPr>
  </w:style>
  <w:style w:type="paragraph" w:styleId="ListContinue2">
    <w:name w:val="List Continue 2"/>
    <w:basedOn w:val="List2"/>
    <w:rsid w:val="000838D8"/>
    <w:pPr>
      <w:ind w:firstLine="0"/>
    </w:pPr>
  </w:style>
  <w:style w:type="paragraph" w:styleId="ListContinue3">
    <w:name w:val="List Continue 3"/>
    <w:basedOn w:val="List3"/>
    <w:rsid w:val="000838D8"/>
    <w:pPr>
      <w:ind w:left="1021" w:firstLine="0"/>
    </w:pPr>
  </w:style>
  <w:style w:type="paragraph" w:styleId="ListContinue4">
    <w:name w:val="List Continue 4"/>
    <w:basedOn w:val="List4"/>
    <w:rsid w:val="000838D8"/>
    <w:pPr>
      <w:ind w:firstLine="0"/>
    </w:pPr>
  </w:style>
  <w:style w:type="paragraph" w:styleId="ListContinue5">
    <w:name w:val="List Continue 5"/>
    <w:basedOn w:val="List5"/>
    <w:rsid w:val="000838D8"/>
    <w:pPr>
      <w:ind w:firstLine="0"/>
    </w:pPr>
  </w:style>
  <w:style w:type="paragraph" w:styleId="ListNumber3">
    <w:name w:val="List Number 3"/>
    <w:basedOn w:val="List3"/>
    <w:rsid w:val="000838D8"/>
    <w:pPr>
      <w:numPr>
        <w:numId w:val="5"/>
      </w:numPr>
    </w:pPr>
  </w:style>
  <w:style w:type="paragraph" w:styleId="ListNumber4">
    <w:name w:val="List Number 4"/>
    <w:basedOn w:val="List4"/>
    <w:rsid w:val="000838D8"/>
    <w:pPr>
      <w:numPr>
        <w:numId w:val="6"/>
      </w:numPr>
    </w:pPr>
  </w:style>
  <w:style w:type="paragraph" w:styleId="ListNumber5">
    <w:name w:val="List Number 5"/>
    <w:basedOn w:val="List5"/>
    <w:rsid w:val="000838D8"/>
    <w:pPr>
      <w:numPr>
        <w:numId w:val="7"/>
      </w:numPr>
    </w:pPr>
  </w:style>
  <w:style w:type="paragraph" w:styleId="BlockText">
    <w:name w:val="Block Text"/>
    <w:basedOn w:val="Normal"/>
    <w:rsid w:val="000838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38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38D8"/>
    <w:rPr>
      <w:sz w:val="16"/>
      <w:vertAlign w:val="superscript"/>
    </w:rPr>
  </w:style>
  <w:style w:type="character" w:customStyle="1" w:styleId="Symbols">
    <w:name w:val="Symbols"/>
    <w:basedOn w:val="DefaultParagraphFont"/>
    <w:rsid w:val="000838D8"/>
    <w:rPr>
      <w:rFonts w:ascii="Symbol" w:hAnsi="Symbol"/>
    </w:rPr>
  </w:style>
  <w:style w:type="character" w:customStyle="1" w:styleId="MenuOptions">
    <w:name w:val="Menu Options"/>
    <w:basedOn w:val="DefaultParagraphFont"/>
    <w:rsid w:val="000838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38D8"/>
    <w:rPr>
      <w:b/>
    </w:rPr>
  </w:style>
  <w:style w:type="character" w:customStyle="1" w:styleId="Underlined">
    <w:name w:val="Underlined"/>
    <w:basedOn w:val="DefaultParagraphFont"/>
    <w:rsid w:val="000838D8"/>
    <w:rPr>
      <w:u w:val="single"/>
    </w:rPr>
  </w:style>
  <w:style w:type="paragraph" w:customStyle="1" w:styleId="TableBodyTextRight">
    <w:name w:val="Table Body Text Right"/>
    <w:basedOn w:val="TableBodyText"/>
    <w:rsid w:val="000838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38D8"/>
    <w:rPr>
      <w:sz w:val="18"/>
    </w:rPr>
  </w:style>
  <w:style w:type="paragraph" w:customStyle="1" w:styleId="BodySmallRight">
    <w:name w:val="Body Small Right"/>
    <w:basedOn w:val="BodyTextRight"/>
    <w:rsid w:val="000838D8"/>
    <w:rPr>
      <w:sz w:val="18"/>
      <w:szCs w:val="18"/>
    </w:rPr>
  </w:style>
  <w:style w:type="paragraph" w:customStyle="1" w:styleId="MarginEdition">
    <w:name w:val="Margin Edition"/>
    <w:basedOn w:val="MarginNote"/>
    <w:rsid w:val="000838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38D8"/>
    <w:rPr>
      <w:sz w:val="2"/>
      <w:szCs w:val="2"/>
    </w:rPr>
  </w:style>
  <w:style w:type="character" w:customStyle="1" w:styleId="Small">
    <w:name w:val="Small"/>
    <w:basedOn w:val="DefaultParagraphFont"/>
    <w:rsid w:val="000838D8"/>
    <w:rPr>
      <w:sz w:val="16"/>
    </w:rPr>
  </w:style>
  <w:style w:type="paragraph" w:customStyle="1" w:styleId="WideTable">
    <w:name w:val="Wide Table"/>
    <w:basedOn w:val="Normal"/>
    <w:rsid w:val="000838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38D8"/>
  </w:style>
  <w:style w:type="paragraph" w:styleId="Quote">
    <w:name w:val="Quote"/>
    <w:basedOn w:val="Heading1"/>
    <w:link w:val="QuoteChar"/>
    <w:qFormat/>
    <w:rsid w:val="000838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38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38D8"/>
    <w:pPr>
      <w:pageBreakBefore/>
    </w:pPr>
  </w:style>
  <w:style w:type="paragraph" w:customStyle="1" w:styleId="Border">
    <w:name w:val="Border"/>
    <w:basedOn w:val="Normal"/>
    <w:qFormat/>
    <w:rsid w:val="000838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38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8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8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38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38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38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38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38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38D8"/>
    <w:rPr>
      <w:u w:val="single"/>
    </w:rPr>
  </w:style>
  <w:style w:type="character" w:customStyle="1" w:styleId="BoldandItalics">
    <w:name w:val="Bold and Italics"/>
    <w:qFormat/>
    <w:rsid w:val="000838D8"/>
    <w:rPr>
      <w:b/>
      <w:i/>
      <w:u w:val="none"/>
    </w:rPr>
  </w:style>
  <w:style w:type="paragraph" w:styleId="BalloonText">
    <w:name w:val="Balloon Text"/>
    <w:basedOn w:val="Normal"/>
    <w:link w:val="BalloonTextChar"/>
    <w:rsid w:val="000838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38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38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38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38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38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38D8"/>
    <w:pPr>
      <w:spacing w:before="0" w:after="0"/>
    </w:pPr>
  </w:style>
  <w:style w:type="paragraph" w:customStyle="1" w:styleId="BodyTextBold">
    <w:name w:val="Body Text Bold"/>
    <w:basedOn w:val="BodyText"/>
    <w:qFormat/>
    <w:rsid w:val="000838D8"/>
    <w:rPr>
      <w:b/>
    </w:rPr>
  </w:style>
  <w:style w:type="character" w:styleId="Hyperlink">
    <w:name w:val="Hyperlink"/>
    <w:basedOn w:val="DefaultParagraphFont"/>
    <w:uiPriority w:val="99"/>
    <w:unhideWhenUsed/>
    <w:rsid w:val="00F270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717</Words>
  <Characters>4521</Characters>
  <Application>Microsoft Office Word</Application>
  <DocSecurity>0</DocSecurity>
  <Lines>98</Lines>
  <Paragraphs>71</Paragraphs>
  <ScaleCrop>false</ScaleCrop>
  <Company>Author-it Software Corporation Ltd.</Company>
  <LinksUpToDate>false</LinksUpToDate>
  <CharactersWithSpaces>5167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CPPSEC3107 Monitor security and coordinate response from control rooms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2022-12-19T06:38:00Z</dcterms:created>
  <dcterms:modified xsi:type="dcterms:W3CDTF">2022-12-19T06:38:00Z</dcterms:modified>
</cp:coreProperties>
</file>