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7EE" w:rsidP="008277EE">
      <w:pPr>
        <w:pStyle w:val="Title"/>
      </w:pPr>
      <w:r>
        <w:fldChar w:fldCharType="begin"/>
      </w:r>
      <w:r>
        <w:instrText xml:space="preserve"> TITLE   \* MERGEFORMAT </w:instrText>
      </w:r>
      <w:r>
        <w:fldChar w:fldCharType="separate"/>
      </w:r>
      <w:r>
        <w:t>CPPSEC3103 Determine and implement response to security risk situation</w:t>
      </w:r>
      <w:r>
        <w:fldChar w:fldCharType="end"/>
      </w:r>
    </w:p>
    <w:p w:rsidR="008277EE" w:rsidP="008277EE">
      <w:pPr>
        <w:pStyle w:val="Version"/>
        <w:sectPr w:rsidSect="00C41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0A2" w:rsidP="00C410A2">
      <w:pPr>
        <w:pStyle w:val="SuperHeading"/>
      </w:pPr>
      <w:r w:rsidRPr="00C410A2">
        <w:t>CPPSEC3103 Determine and implement response to security risk situation</w:t>
      </w:r>
    </w:p>
    <w:p w:rsidR="00000000" w:rsidRPr="00C410A2" w:rsidP="00C410A2">
      <w:pPr>
        <w:pStyle w:val="Heading1"/>
      </w:pPr>
      <w:bookmarkStart w:id="1" w:name="O_1008993"/>
      <w:bookmarkEnd w:id="1"/>
      <w:r w:rsidRPr="00C410A2">
        <w:t>Modification History</w:t>
      </w:r>
    </w:p>
    <w:p w:rsidR="00000000" w:rsidRPr="00C410A2" w:rsidP="008277EE">
      <w:r w:rsidRPr="00C410A2">
        <w:t>Release 1.</w:t>
      </w:r>
    </w:p>
    <w:p w:rsidR="00000000" w:rsidRPr="00C410A2" w:rsidP="008277EE">
      <w:r w:rsidRPr="00C410A2">
        <w:t>Supersedes and is equivalent to CPPSEC3003A Determine response to security risk situation.</w:t>
      </w:r>
    </w:p>
    <w:p w:rsidR="00000000" w:rsidRPr="00C410A2" w:rsidP="008277EE">
      <w:r w:rsidRPr="00C410A2">
        <w:t>Updated to meet the Standards for Training Packages.</w:t>
      </w:r>
    </w:p>
    <w:p w:rsidR="00000000" w:rsidRPr="00C410A2" w:rsidP="008277EE">
      <w:r w:rsidRPr="00C410A2">
        <w:t>This version first released with CPP Property Services Training Package Version 7.0.</w:t>
      </w:r>
    </w:p>
    <w:p w:rsidR="00000000" w:rsidRPr="00C410A2" w:rsidP="00C410A2">
      <w:pPr>
        <w:pStyle w:val="Heading1"/>
      </w:pPr>
      <w:bookmarkStart w:id="2" w:name="O_1008999"/>
      <w:bookmarkEnd w:id="2"/>
      <w:r w:rsidRPr="00C410A2">
        <w:t>Application</w:t>
      </w:r>
    </w:p>
    <w:p w:rsidR="00000000" w:rsidRPr="00C410A2" w:rsidP="008277EE">
      <w:pPr>
        <w:pStyle w:val="BodyText"/>
      </w:pPr>
      <w:r w:rsidRPr="00C410A2">
        <w:t>This unit specifies the skills and knowledge required to determine and implement respon</w:t>
      </w:r>
      <w:r w:rsidRPr="00C410A2">
        <w:t>ses to security risk situations.</w:t>
      </w:r>
    </w:p>
    <w:p w:rsidR="00000000" w:rsidRPr="00C410A2" w:rsidP="008277EE">
      <w:pPr>
        <w:pStyle w:val="BodyText"/>
      </w:pPr>
      <w:r w:rsidRPr="00C410A2">
        <w:t xml:space="preserve">It includes: </w:t>
      </w:r>
    </w:p>
    <w:p w:rsidR="00000000" w:rsidRPr="00C410A2" w:rsidP="00C410A2">
      <w:pPr>
        <w:pStyle w:val="ListBullet"/>
      </w:pPr>
      <w:r w:rsidRPr="00C410A2">
        <w:t>reviewing and complying with workplace procedures, policies and legal rights and responsibilities to implement security risk responses within specified legal and strategic limits and the scope of own competen</w:t>
      </w:r>
      <w:r w:rsidRPr="00C410A2">
        <w:t xml:space="preserve">ce and authority </w:t>
      </w:r>
    </w:p>
    <w:p w:rsidR="00000000" w:rsidRPr="00C410A2" w:rsidP="00C410A2">
      <w:pPr>
        <w:pStyle w:val="ListBullet"/>
      </w:pPr>
      <w:r w:rsidRPr="00C410A2">
        <w:t>identifying and verifying security risk situations and exchanging information with others to clarify risk factors, assess risk and formulate response options appropriate to the degree of risk</w:t>
      </w:r>
    </w:p>
    <w:p w:rsidR="00000000" w:rsidRPr="00C410A2" w:rsidP="00C410A2">
      <w:pPr>
        <w:pStyle w:val="ListBullet"/>
      </w:pPr>
      <w:r w:rsidRPr="00C410A2">
        <w:t>evaluating, selecting and implementing a prefe</w:t>
      </w:r>
      <w:r w:rsidRPr="00C410A2">
        <w:t>rred security response that maximise the safety and security of people, property and premises</w:t>
      </w:r>
    </w:p>
    <w:p w:rsidR="00000000" w:rsidRPr="00C410A2" w:rsidP="00C410A2">
      <w:pPr>
        <w:pStyle w:val="ListBullet"/>
      </w:pPr>
      <w:r w:rsidRPr="00C410A2">
        <w:t>reporting, securing and preserving the incident scene.</w:t>
      </w:r>
    </w:p>
    <w:p w:rsidR="00000000" w:rsidRPr="00C410A2" w:rsidP="008277EE">
      <w:pPr>
        <w:pStyle w:val="BodyText"/>
      </w:pPr>
      <w:r w:rsidRPr="00C410A2">
        <w:t>It applies to people working independently or under limited supervision as members of a security team.</w:t>
      </w:r>
    </w:p>
    <w:p w:rsidR="00000000" w:rsidRPr="00C410A2" w:rsidP="008277EE">
      <w:pPr>
        <w:pStyle w:val="BodyText"/>
      </w:pPr>
      <w:r w:rsidRPr="00C410A2">
        <w:t>This</w:t>
      </w:r>
      <w:r w:rsidRPr="00C410A2">
        <w:t xml:space="preserve"> unit may form part of the licensing requirements for people engaged in security operations in those states and territories where these are regulated activities.</w:t>
      </w:r>
    </w:p>
    <w:p w:rsidR="00000000" w:rsidRPr="00C410A2" w:rsidP="00C410A2">
      <w:pPr>
        <w:pStyle w:val="Heading1"/>
      </w:pPr>
      <w:bookmarkStart w:id="3" w:name="O_1008998"/>
      <w:bookmarkEnd w:id="3"/>
      <w:r w:rsidRPr="00C410A2">
        <w:t>Pre-requisite Unit</w:t>
      </w:r>
    </w:p>
    <w:p w:rsidR="00000000" w:rsidRPr="00C410A2" w:rsidP="008277EE">
      <w:pPr>
        <w:pStyle w:val="BodyText"/>
      </w:pPr>
      <w:r w:rsidRPr="00C410A2">
        <w:t>Nil</w:t>
      </w:r>
    </w:p>
    <w:p w:rsidR="00000000" w:rsidRPr="00C410A2" w:rsidP="00C410A2">
      <w:pPr>
        <w:pStyle w:val="Heading1"/>
      </w:pPr>
      <w:bookmarkStart w:id="4" w:name="O_1008997"/>
      <w:bookmarkEnd w:id="4"/>
      <w:r w:rsidRPr="00C410A2">
        <w:t>Unit Sector</w:t>
      </w:r>
    </w:p>
    <w:p w:rsidR="00000000" w:rsidRPr="00C410A2" w:rsidP="008277EE">
      <w:pPr>
        <w:pStyle w:val="BodyText"/>
      </w:pPr>
      <w:r w:rsidRPr="00C410A2">
        <w:t>Security operations</w:t>
      </w:r>
    </w:p>
    <w:p w:rsidR="00000000" w:rsidRPr="00C410A2" w:rsidP="00C410A2">
      <w:pPr>
        <w:pStyle w:val="Heading1"/>
      </w:pPr>
      <w:bookmarkStart w:id="5" w:name="O_1008996"/>
      <w:bookmarkEnd w:id="5"/>
      <w:r w:rsidRPr="00C410A2">
        <w:t>Elements and Performance Criteria</w:t>
      </w:r>
    </w:p>
    <w:tbl>
      <w:tblPr>
        <w:tblW w:w="0" w:type="auto"/>
        <w:tblLayout w:type="fixed"/>
        <w:tblCellMar>
          <w:left w:w="62" w:type="dxa"/>
          <w:right w:w="62" w:type="dxa"/>
        </w:tblCellMar>
        <w:tblLook w:val="0000"/>
      </w:tblPr>
      <w:tblGrid>
        <w:gridCol w:w="2380"/>
        <w:gridCol w:w="6615"/>
      </w:tblGrid>
      <w:tr w:rsidTr="00C410A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0A2">
            <w:pPr>
              <w:pStyle w:val="BodyText"/>
              <w:rPr>
                <w:lang w:val="en-NZ"/>
              </w:rPr>
            </w:pPr>
            <w:r w:rsidRPr="00C410A2">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0A2">
            <w:pPr>
              <w:pStyle w:val="BodyText"/>
              <w:rPr>
                <w:lang w:val="en-NZ"/>
              </w:rPr>
            </w:pPr>
            <w:r w:rsidRPr="00C410A2">
              <w:t>Performance criteria describe what needs to be done to demonstrate achievement of the element.</w:t>
            </w:r>
          </w:p>
        </w:tc>
      </w:tr>
      <w:tr w:rsidTr="00C410A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10A2">
            <w:pPr>
              <w:pStyle w:val="BodyText"/>
              <w:rPr>
                <w:lang w:val="en-NZ"/>
              </w:rPr>
            </w:pPr>
            <w:r w:rsidRPr="00C410A2">
              <w:t>1.</w:t>
            </w:r>
            <w:r w:rsidRPr="00C410A2">
              <w:tab/>
              <w:t>Confirm, verify and communicate security risk situations.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410A2" w:rsidP="00C410A2">
            <w:pPr>
              <w:pStyle w:val="BodyText"/>
            </w:pPr>
            <w:r w:rsidRPr="00C410A2">
              <w:t>1.1</w:t>
            </w:r>
            <w:r w:rsidRPr="00C410A2">
              <w:tab/>
            </w:r>
            <w:r w:rsidRPr="00C410A2">
              <w:t>Review workplace procedures and policies including workplace health and safety (WHS) to ensure compliance with legal rights and responsibilities and own role and authority for responding to security risk situations.</w:t>
            </w:r>
          </w:p>
          <w:p w:rsidR="00000000" w:rsidRPr="00C410A2" w:rsidP="00C410A2">
            <w:pPr>
              <w:pStyle w:val="BodyText"/>
            </w:pPr>
            <w:r w:rsidRPr="00C410A2">
              <w:t>1.2</w:t>
            </w:r>
            <w:r w:rsidRPr="00C410A2">
              <w:tab/>
              <w:t>Receive and verify information on se</w:t>
            </w:r>
            <w:r w:rsidRPr="00C410A2">
              <w:t>curity risk situation and confirm risk authenticity, in consultation with relevant persons.</w:t>
            </w:r>
          </w:p>
          <w:p w:rsidR="00000000" w:rsidRPr="00C410A2" w:rsidP="00C410A2">
            <w:pPr>
              <w:pStyle w:val="BodyText"/>
            </w:pPr>
            <w:r w:rsidRPr="00C410A2">
              <w:t>1.3</w:t>
            </w:r>
            <w:r w:rsidRPr="00C410A2">
              <w:tab/>
              <w:t>Monitor the work environment to promptly identify changing circumstances and factors that may impact security risk.</w:t>
            </w:r>
          </w:p>
          <w:p w:rsidR="00000000" w:rsidP="00C410A2">
            <w:pPr>
              <w:pStyle w:val="BodyText"/>
              <w:rPr>
                <w:lang w:val="en-NZ"/>
              </w:rPr>
            </w:pPr>
            <w:r w:rsidRPr="00C410A2">
              <w:t>1.4</w:t>
            </w:r>
            <w:r w:rsidRPr="00C410A2">
              <w:tab/>
              <w:t>Maintain accurate and up-to-date informa</w:t>
            </w:r>
            <w:r w:rsidRPr="00C410A2">
              <w:t>tion exchange to clarify risk situation with relevant persons.</w:t>
            </w:r>
          </w:p>
        </w:tc>
      </w:tr>
      <w:tr w:rsidTr="00C410A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10A2">
            <w:pPr>
              <w:pStyle w:val="BodyText"/>
              <w:rPr>
                <w:lang w:val="en-NZ"/>
              </w:rPr>
            </w:pPr>
            <w:r w:rsidRPr="00C410A2">
              <w:t>2.</w:t>
            </w:r>
            <w:r w:rsidRPr="00C410A2">
              <w:tab/>
              <w:t>Assess security risk situations and formulate response options.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410A2" w:rsidP="00C410A2">
            <w:pPr>
              <w:pStyle w:val="BodyText"/>
            </w:pPr>
            <w:r w:rsidRPr="00C410A2">
              <w:t>2.1</w:t>
            </w:r>
            <w:r w:rsidRPr="00C410A2">
              <w:tab/>
              <w:t>Assess security risk situation to establish nature and degree of risk to people, property and premises.</w:t>
            </w:r>
          </w:p>
          <w:p w:rsidR="00000000" w:rsidP="00C410A2">
            <w:pPr>
              <w:pStyle w:val="BodyText"/>
              <w:rPr>
                <w:lang w:val="en-NZ"/>
              </w:rPr>
            </w:pPr>
            <w:r w:rsidRPr="00C410A2">
              <w:t>2.2</w:t>
            </w:r>
            <w:r w:rsidRPr="00C410A2">
              <w:tab/>
            </w:r>
            <w:r w:rsidRPr="00C410A2">
              <w:t>Formulate security risk response options that are appropriate to the nature and degree of risk and comply with workplace policies and procedures.</w:t>
            </w:r>
          </w:p>
        </w:tc>
      </w:tr>
      <w:tr w:rsidTr="00C410A2">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0A2">
            <w:pPr>
              <w:pStyle w:val="BodyText"/>
              <w:rPr>
                <w:lang w:val="en-NZ"/>
              </w:rPr>
            </w:pPr>
            <w:r w:rsidRPr="00C410A2">
              <w:t>3.</w:t>
            </w:r>
            <w:r w:rsidRPr="00C410A2">
              <w:tab/>
              <w:t>Evaluate and implement security response.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0A2" w:rsidP="00C410A2">
            <w:pPr>
              <w:pStyle w:val="BodyText"/>
            </w:pPr>
            <w:r w:rsidRPr="00C410A2">
              <w:t>3.1</w:t>
            </w:r>
            <w:r w:rsidRPr="00C410A2">
              <w:tab/>
              <w:t>Evaluate security response options and select preferred cont</w:t>
            </w:r>
            <w:r w:rsidRPr="00C410A2">
              <w:t>rol measure to address known and potential risk factors.</w:t>
            </w:r>
          </w:p>
          <w:p w:rsidR="00000000" w:rsidRPr="00C410A2" w:rsidP="00C410A2">
            <w:pPr>
              <w:pStyle w:val="BodyText"/>
            </w:pPr>
            <w:r w:rsidRPr="00C410A2">
              <w:t>3.2</w:t>
            </w:r>
            <w:r w:rsidRPr="00C410A2">
              <w:tab/>
              <w:t>Ensure that security response is within scope of own competence and authority and maximises the safety and security of people, property and premises.</w:t>
            </w:r>
          </w:p>
          <w:p w:rsidR="00000000" w:rsidRPr="00C410A2" w:rsidP="00C410A2">
            <w:pPr>
              <w:pStyle w:val="BodyText"/>
            </w:pPr>
            <w:r w:rsidRPr="00C410A2">
              <w:t>3.3</w:t>
            </w:r>
            <w:r w:rsidRPr="00C410A2">
              <w:tab/>
              <w:t>Select and use equipment and resources to</w:t>
            </w:r>
            <w:r w:rsidRPr="00C410A2">
              <w:t xml:space="preserve"> implement security response.</w:t>
            </w:r>
          </w:p>
          <w:p w:rsidR="00000000" w:rsidRPr="00C410A2" w:rsidP="00C410A2">
            <w:pPr>
              <w:pStyle w:val="BodyText"/>
            </w:pPr>
            <w:r w:rsidRPr="00C410A2">
              <w:t>3.4</w:t>
            </w:r>
            <w:r w:rsidRPr="00C410A2">
              <w:tab/>
              <w:t>Review and adjust security response to adapt to changing risk circumstances in consultation with relevant persons.</w:t>
            </w:r>
          </w:p>
          <w:p w:rsidR="00000000" w:rsidRPr="00C410A2" w:rsidP="00C410A2">
            <w:pPr>
              <w:pStyle w:val="BodyText"/>
            </w:pPr>
            <w:r w:rsidRPr="00C410A2">
              <w:t>3.5</w:t>
            </w:r>
            <w:r w:rsidRPr="00C410A2">
              <w:tab/>
              <w:t>Report security situation and response details using workplace documentation.</w:t>
            </w:r>
          </w:p>
          <w:p w:rsidR="00000000" w:rsidRPr="00C410A2" w:rsidP="00C410A2">
            <w:pPr>
              <w:pStyle w:val="BodyText"/>
            </w:pPr>
            <w:r w:rsidRPr="00C410A2">
              <w:t>3.6</w:t>
            </w:r>
            <w:r w:rsidRPr="00C410A2">
              <w:tab/>
              <w:t>Secure and preserve i</w:t>
            </w:r>
            <w:r w:rsidRPr="00C410A2">
              <w:t>ncident scene and maintain security following response procedures.</w:t>
            </w:r>
          </w:p>
        </w:tc>
      </w:tr>
    </w:tbl>
    <w:p w:rsidR="00000000" w:rsidRPr="00C410A2" w:rsidP="00C410A2">
      <w:pPr>
        <w:pStyle w:val="BodyText"/>
      </w:pPr>
    </w:p>
    <w:p w:rsidR="00000000" w:rsidRPr="00C410A2" w:rsidP="00C410A2">
      <w:pPr>
        <w:pStyle w:val="AllowPageBreak"/>
      </w:pPr>
    </w:p>
    <w:p w:rsidR="00000000" w:rsidRPr="00C410A2" w:rsidP="00C410A2">
      <w:pPr>
        <w:pStyle w:val="Heading1"/>
      </w:pPr>
      <w:bookmarkStart w:id="6" w:name="O_1008995"/>
      <w:bookmarkEnd w:id="6"/>
      <w:r w:rsidRPr="00C410A2">
        <w:t>Foundation Skills</w:t>
      </w:r>
    </w:p>
    <w:p w:rsidR="00000000" w:rsidRPr="00C410A2" w:rsidP="008277EE">
      <w:pPr>
        <w:pStyle w:val="BodyText"/>
      </w:pPr>
      <w:r w:rsidRPr="00C410A2">
        <w:t>This section describes the language, literacy, numeracy and employment skills essential to performance in this unit but not explicit in the performanc</w:t>
      </w:r>
      <w:r w:rsidRPr="00C410A2">
        <w:t>e criteria:</w:t>
      </w:r>
    </w:p>
    <w:p w:rsidR="00000000" w:rsidRPr="00C410A2" w:rsidP="00C410A2">
      <w:pPr>
        <w:pStyle w:val="ListBullet"/>
      </w:pPr>
      <w:r w:rsidRPr="00C410A2">
        <w:t>language skills to use security industry approved communication terminology, codes and signals</w:t>
      </w:r>
    </w:p>
    <w:p w:rsidR="00000000" w:rsidRPr="00C410A2" w:rsidP="00C410A2">
      <w:pPr>
        <w:pStyle w:val="ListBullet"/>
      </w:pPr>
      <w:r w:rsidRPr="00C410A2">
        <w:t>writing skills to record and describe security situations and responses</w:t>
      </w:r>
    </w:p>
    <w:p w:rsidR="00000000" w:rsidRPr="00C410A2" w:rsidP="00C410A2">
      <w:pPr>
        <w:pStyle w:val="ListBullet"/>
      </w:pPr>
      <w:r w:rsidRPr="00C410A2">
        <w:t xml:space="preserve">reading skills to interpret: </w:t>
      </w:r>
    </w:p>
    <w:p w:rsidR="00000000" w:rsidRPr="00C410A2" w:rsidP="00C410A2">
      <w:pPr>
        <w:pStyle w:val="ListBullet2"/>
      </w:pPr>
      <w:r w:rsidRPr="00C410A2">
        <w:t>workplace procedures and policies that clarify legal rights and responsibilities</w:t>
      </w:r>
    </w:p>
    <w:p w:rsidR="00000000" w:rsidRPr="00C410A2" w:rsidP="00C410A2">
      <w:pPr>
        <w:pStyle w:val="ListBullet2"/>
      </w:pPr>
      <w:r w:rsidRPr="00C410A2">
        <w:t>signs written in English</w:t>
      </w:r>
    </w:p>
    <w:p w:rsidR="00000000" w:rsidRPr="00C410A2" w:rsidP="00C410A2">
      <w:pPr>
        <w:pStyle w:val="ListBullet"/>
      </w:pPr>
      <w:r w:rsidRPr="00C410A2">
        <w:t>speaking and listening skills to:</w:t>
      </w:r>
    </w:p>
    <w:p w:rsidR="00000000" w:rsidRPr="00C410A2" w:rsidP="00C410A2">
      <w:pPr>
        <w:pStyle w:val="ListBullet2"/>
      </w:pPr>
      <w:r w:rsidRPr="00C410A2">
        <w:t>use questions to clarify and verify spoken security risk information</w:t>
      </w:r>
    </w:p>
    <w:p w:rsidR="00000000" w:rsidRPr="00C410A2" w:rsidP="00C410A2">
      <w:pPr>
        <w:pStyle w:val="ListBullet2"/>
      </w:pPr>
      <w:r w:rsidRPr="00C410A2">
        <w:t>give clear, sequenced instructions and report</w:t>
      </w:r>
      <w:r w:rsidRPr="00C410A2">
        <w:t xml:space="preserve">s </w:t>
      </w:r>
    </w:p>
    <w:p w:rsidR="00000000" w:rsidRPr="00C410A2" w:rsidP="00C410A2">
      <w:pPr>
        <w:pStyle w:val="ListBullet"/>
      </w:pPr>
      <w:r w:rsidRPr="00C410A2">
        <w:t>numeracy skills to calculate time when recording incident details</w:t>
      </w:r>
    </w:p>
    <w:p w:rsidR="00000000" w:rsidRPr="00C410A2" w:rsidP="00C410A2">
      <w:pPr>
        <w:pStyle w:val="ListBullet"/>
      </w:pPr>
      <w:r w:rsidRPr="00C410A2">
        <w:t>problem solving skills to:</w:t>
      </w:r>
    </w:p>
    <w:p w:rsidR="00000000" w:rsidRPr="00C410A2" w:rsidP="00C410A2">
      <w:pPr>
        <w:pStyle w:val="ListBullet2"/>
      </w:pPr>
      <w:r w:rsidRPr="00C410A2">
        <w:t>formulate response options to match security risk situation</w:t>
      </w:r>
    </w:p>
    <w:p w:rsidR="00000000" w:rsidRPr="00C410A2" w:rsidP="00C410A2">
      <w:pPr>
        <w:pStyle w:val="ListBullet2"/>
      </w:pPr>
      <w:r w:rsidRPr="00C410A2">
        <w:t>evaluate and adjust security response measures to meet changing risk circumstances</w:t>
      </w:r>
    </w:p>
    <w:p w:rsidR="00000000" w:rsidRPr="00C410A2" w:rsidP="00C410A2">
      <w:pPr>
        <w:pStyle w:val="ListBullet2"/>
      </w:pPr>
      <w:r w:rsidRPr="00C410A2">
        <w:t>recognise secur</w:t>
      </w:r>
      <w:r w:rsidRPr="00C410A2">
        <w:t>ity risk situations requiring specialist assistance</w:t>
      </w:r>
    </w:p>
    <w:p w:rsidR="00000000" w:rsidRPr="00C410A2" w:rsidP="00C410A2">
      <w:pPr>
        <w:pStyle w:val="ListBullet"/>
      </w:pPr>
      <w:r w:rsidRPr="00C410A2">
        <w:t>teamwork skills to adjust personal communication styles in response to the opinions, values and needs of others.</w:t>
      </w:r>
    </w:p>
    <w:p w:rsidR="00000000" w:rsidRPr="00C410A2" w:rsidP="00C410A2">
      <w:pPr>
        <w:pStyle w:val="AllowPageBreak"/>
      </w:pPr>
    </w:p>
    <w:p w:rsidR="00000000" w:rsidRPr="00C410A2" w:rsidP="00C410A2">
      <w:pPr>
        <w:pStyle w:val="Heading1"/>
      </w:pPr>
      <w:bookmarkStart w:id="7" w:name="O_1008994"/>
      <w:bookmarkEnd w:id="7"/>
      <w:r w:rsidRPr="00C410A2">
        <w:t>Unit Mapping Information</w:t>
      </w:r>
    </w:p>
    <w:p w:rsidR="00000000" w:rsidRPr="00C410A2" w:rsidP="008277EE">
      <w:pPr>
        <w:pStyle w:val="BodyText"/>
      </w:pPr>
      <w:r w:rsidRPr="00C410A2">
        <w:t>Supersedes and is equivalent to CPPSEC3003A Determine response to security risk situation.</w:t>
      </w:r>
    </w:p>
    <w:p w:rsidR="00000000" w:rsidRPr="00C410A2" w:rsidP="00C410A2">
      <w:pPr>
        <w:pStyle w:val="Heading1"/>
      </w:pPr>
      <w:bookmarkStart w:id="8" w:name="O_1008987"/>
      <w:bookmarkEnd w:id="8"/>
      <w:r w:rsidRPr="00C410A2">
        <w:t>Links</w:t>
      </w:r>
    </w:p>
    <w:p w:rsidR="00000000" w:rsidRPr="00C410A2" w:rsidP="008277EE">
      <w:pPr>
        <w:pStyle w:val="BodyText"/>
      </w:pPr>
      <w:r w:rsidRPr="00C410A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B2B">
        <w:rPr>
          <w:rStyle w:val="Hyperlink"/>
        </w:rPr>
        <w:t>https://vetnet.gov.au/Pages/TrainingDocs.aspx?q=6f3f9672-30e8-4835-b348-205dfcf13d9b</w:t>
      </w:r>
      <w:r>
        <w:fldChar w:fldCharType="end"/>
      </w:r>
    </w:p>
    <w:p w:rsidR="00000000" w:rsidRPr="00C410A2" w:rsidP="008277EE">
      <w:pPr>
        <w:pStyle w:val="BodyText"/>
        <w:sectPr w:rsidSect="00C410A2">
          <w:headerReference w:type="default" r:id="rId10"/>
          <w:footerReference w:type="default" r:id="rId11"/>
          <w:pgSz w:w="11908" w:h="16833"/>
          <w:pgMar w:top="1702" w:right="1418" w:bottom="1702" w:left="1418" w:header="992" w:footer="992" w:gutter="0"/>
          <w:cols w:space="720"/>
          <w:noEndnote/>
          <w:docGrid w:linePitch="299"/>
        </w:sectPr>
      </w:pPr>
    </w:p>
    <w:p w:rsidR="00000000" w:rsidRPr="00C410A2" w:rsidP="00C410A2">
      <w:pPr>
        <w:pStyle w:val="SuperHeading"/>
      </w:pPr>
      <w:r w:rsidRPr="00C410A2">
        <w:t>Assessment Requirements for CPPSEC3103 Determine and implement response to security risk situation</w:t>
      </w:r>
    </w:p>
    <w:p w:rsidR="00000000" w:rsidRPr="00C410A2" w:rsidP="00C410A2">
      <w:pPr>
        <w:pStyle w:val="Heading1"/>
      </w:pPr>
      <w:bookmarkStart w:id="9" w:name="O_1008989"/>
      <w:bookmarkEnd w:id="9"/>
      <w:r w:rsidRPr="00C410A2">
        <w:t>Modification History</w:t>
      </w:r>
    </w:p>
    <w:p w:rsidR="00000000" w:rsidRPr="00C410A2" w:rsidP="008277EE">
      <w:r w:rsidRPr="00C410A2">
        <w:t>Release 1.</w:t>
      </w:r>
    </w:p>
    <w:p w:rsidR="00000000" w:rsidRPr="00C410A2" w:rsidP="008277EE">
      <w:r w:rsidRPr="00C410A2">
        <w:t>Supersedes and is equivalent to CPPSEC3003A Determine response to security risk situation.</w:t>
      </w:r>
    </w:p>
    <w:p w:rsidR="00000000" w:rsidRPr="00C410A2" w:rsidP="008277EE">
      <w:r w:rsidRPr="00C410A2">
        <w:t>Updated to meet the Standards for Training Packages.</w:t>
      </w:r>
    </w:p>
    <w:p w:rsidR="00000000" w:rsidRPr="00C410A2" w:rsidP="008277EE">
      <w:r w:rsidRPr="00C410A2">
        <w:t>This version first released with CPP Property Services Training Package Version 7.0.</w:t>
      </w:r>
    </w:p>
    <w:p w:rsidR="00000000" w:rsidRPr="00C410A2" w:rsidP="00C410A2">
      <w:pPr>
        <w:pStyle w:val="Heading1"/>
      </w:pPr>
      <w:bookmarkStart w:id="10" w:name="O_1008992"/>
      <w:bookmarkEnd w:id="10"/>
      <w:r w:rsidRPr="00C410A2">
        <w:t>Performa</w:t>
      </w:r>
      <w:r w:rsidRPr="00C410A2">
        <w:t>nce Evidence</w:t>
      </w:r>
    </w:p>
    <w:p w:rsidR="00000000" w:rsidRPr="00C410A2" w:rsidP="008277EE">
      <w:pPr>
        <w:pStyle w:val="BodyText"/>
      </w:pPr>
      <w:r w:rsidRPr="00C410A2">
        <w:t>To demonstrate competency in this unit, a person must determine and implement responses to three different security risk situations.</w:t>
      </w:r>
    </w:p>
    <w:p w:rsidR="00000000" w:rsidRPr="00C410A2" w:rsidP="008277EE">
      <w:pPr>
        <w:pStyle w:val="BodyText"/>
      </w:pPr>
      <w:r w:rsidRPr="00C410A2">
        <w:t>In doing this, the person must meet the performance criteria for this unit.</w:t>
      </w:r>
    </w:p>
    <w:p w:rsidR="00000000" w:rsidRPr="00C410A2" w:rsidP="00C410A2">
      <w:pPr>
        <w:pStyle w:val="Heading1"/>
      </w:pPr>
      <w:bookmarkStart w:id="11" w:name="O_1008991"/>
      <w:bookmarkEnd w:id="11"/>
      <w:r w:rsidRPr="00C410A2">
        <w:t>Knowledge Evide</w:t>
      </w:r>
      <w:r w:rsidRPr="00C410A2">
        <w:t>nce</w:t>
      </w:r>
    </w:p>
    <w:p w:rsidR="00000000" w:rsidRPr="00C410A2" w:rsidP="008277EE">
      <w:pPr>
        <w:pStyle w:val="BodyText"/>
      </w:pPr>
      <w:r w:rsidRPr="00C410A2">
        <w:t>To be competent in this unit, a person must demonstrate knowledge of:</w:t>
      </w:r>
    </w:p>
    <w:p w:rsidR="00000000" w:rsidRPr="00C410A2" w:rsidP="00C410A2">
      <w:pPr>
        <w:pStyle w:val="ListBullet"/>
      </w:pPr>
      <w:r w:rsidRPr="00C410A2">
        <w:t>standard operating procedures and workplace policies that ensure compliance with legislative and regulatory requirements when determining and implementing responses to security risk</w:t>
      </w:r>
      <w:r w:rsidRPr="00C410A2">
        <w:t xml:space="preserve"> situations:</w:t>
      </w:r>
    </w:p>
    <w:p w:rsidR="00000000" w:rsidRPr="00C410A2" w:rsidP="00C410A2">
      <w:pPr>
        <w:pStyle w:val="ListBullet2"/>
      </w:pPr>
      <w:r w:rsidRPr="00C410A2">
        <w:t>anti-discrimination and diversity</w:t>
      </w:r>
    </w:p>
    <w:p w:rsidR="00000000" w:rsidRPr="00C410A2" w:rsidP="00C410A2">
      <w:pPr>
        <w:pStyle w:val="ListBullet2"/>
      </w:pPr>
      <w:r w:rsidRPr="00C410A2">
        <w:t>apprehension, arrest and restraint of persons</w:t>
      </w:r>
    </w:p>
    <w:p w:rsidR="00000000" w:rsidRPr="00C410A2" w:rsidP="00C410A2">
      <w:pPr>
        <w:pStyle w:val="ListBullet2"/>
      </w:pPr>
      <w:r w:rsidRPr="00C410A2">
        <w:t>counter terrorism</w:t>
      </w:r>
    </w:p>
    <w:p w:rsidR="00000000" w:rsidRPr="00C410A2" w:rsidP="00C410A2">
      <w:pPr>
        <w:pStyle w:val="ListBullet2"/>
      </w:pPr>
      <w:r w:rsidRPr="00C410A2">
        <w:t>crowd control and control of persons under the influence of intoxicating substances</w:t>
      </w:r>
    </w:p>
    <w:p w:rsidR="00000000" w:rsidRPr="00C410A2" w:rsidP="00C410A2">
      <w:pPr>
        <w:pStyle w:val="ListBullet2"/>
      </w:pPr>
      <w:r w:rsidRPr="00C410A2">
        <w:t>duty of care</w:t>
      </w:r>
    </w:p>
    <w:p w:rsidR="00000000" w:rsidRPr="00C410A2" w:rsidP="00C410A2">
      <w:pPr>
        <w:pStyle w:val="ListBullet2"/>
      </w:pPr>
      <w:r w:rsidRPr="00C410A2">
        <w:t>licensing requirements and</w:t>
      </w:r>
      <w:r w:rsidRPr="00C410A2">
        <w:t xml:space="preserve"> limits of own authority</w:t>
      </w:r>
    </w:p>
    <w:p w:rsidR="00000000" w:rsidRPr="00C410A2" w:rsidP="00C410A2">
      <w:pPr>
        <w:pStyle w:val="ListBullet2"/>
      </w:pPr>
      <w:r w:rsidRPr="00C410A2">
        <w:t>trespass and the removal of persons</w:t>
      </w:r>
    </w:p>
    <w:p w:rsidR="00000000" w:rsidRPr="00C410A2" w:rsidP="00C410A2">
      <w:pPr>
        <w:pStyle w:val="ListBullet2"/>
      </w:pPr>
      <w:r w:rsidRPr="00C410A2">
        <w:t>use of force</w:t>
      </w:r>
    </w:p>
    <w:p w:rsidR="00000000" w:rsidRPr="00C410A2" w:rsidP="00C410A2">
      <w:pPr>
        <w:pStyle w:val="ListBullet"/>
      </w:pPr>
      <w:r w:rsidRPr="00C410A2">
        <w:t>workplace health and safety (WHS)</w:t>
      </w:r>
    </w:p>
    <w:p w:rsidR="00000000" w:rsidRPr="00C410A2" w:rsidP="00C410A2">
      <w:pPr>
        <w:pStyle w:val="ListBullet"/>
      </w:pPr>
      <w:r w:rsidRPr="00C410A2">
        <w:t>approved communication terminology, call signs and radio channels used in the security industry</w:t>
      </w:r>
    </w:p>
    <w:p w:rsidR="00000000" w:rsidRPr="00C410A2" w:rsidP="00C410A2">
      <w:pPr>
        <w:pStyle w:val="ListBullet"/>
      </w:pPr>
      <w:r w:rsidRPr="00C410A2">
        <w:t>crowd behaviour, dynamics and movement patterns tha</w:t>
      </w:r>
      <w:r w:rsidRPr="00C410A2">
        <w:t>t can threaten security</w:t>
      </w:r>
    </w:p>
    <w:p w:rsidR="00000000" w:rsidRPr="00C410A2" w:rsidP="00C410A2">
      <w:pPr>
        <w:pStyle w:val="ListBullet"/>
      </w:pPr>
      <w:r w:rsidRPr="00C410A2">
        <w:t>current national terrorism threat level and context</w:t>
      </w:r>
    </w:p>
    <w:p w:rsidR="00000000" w:rsidRPr="00C410A2" w:rsidP="00C410A2">
      <w:pPr>
        <w:pStyle w:val="ListBullet"/>
      </w:pPr>
      <w:r w:rsidRPr="00C410A2">
        <w:t>empty hand techniques</w:t>
      </w:r>
    </w:p>
    <w:p w:rsidR="00000000" w:rsidRPr="00C410A2" w:rsidP="00C410A2">
      <w:pPr>
        <w:pStyle w:val="ListBullet"/>
      </w:pPr>
      <w:r w:rsidRPr="00C410A2">
        <w:t>factors that may indicate escalation of conflict or risk and situations requiring specialist assistance</w:t>
      </w:r>
    </w:p>
    <w:p w:rsidR="00000000" w:rsidRPr="00C410A2" w:rsidP="00C410A2">
      <w:pPr>
        <w:pStyle w:val="ListBullet"/>
      </w:pPr>
      <w:r w:rsidRPr="00C410A2">
        <w:t>methods and reasons for securing and preserving an incident or crime scene</w:t>
      </w:r>
    </w:p>
    <w:p w:rsidR="00000000" w:rsidRPr="00C410A2" w:rsidP="00C410A2">
      <w:pPr>
        <w:pStyle w:val="ListBullet"/>
      </w:pPr>
      <w:r w:rsidRPr="00C410A2">
        <w:t>methods for preserving, maintaining, storing and transporting evidence and exhibits that may be used in court</w:t>
      </w:r>
    </w:p>
    <w:p w:rsidR="00000000" w:rsidRPr="00C410A2" w:rsidP="00C410A2">
      <w:pPr>
        <w:pStyle w:val="ListBullet"/>
      </w:pPr>
      <w:r w:rsidRPr="00C410A2">
        <w:t>negotiation techniques and how they can be used to defuse and resolve c</w:t>
      </w:r>
      <w:r w:rsidRPr="00C410A2">
        <w:t>onflict</w:t>
      </w:r>
    </w:p>
    <w:p w:rsidR="00000000" w:rsidRPr="00C410A2" w:rsidP="00C410A2">
      <w:pPr>
        <w:pStyle w:val="ListBullet"/>
      </w:pPr>
      <w:r w:rsidRPr="00C410A2">
        <w:t>procedures for communicating and collaborating with emergency services</w:t>
      </w:r>
    </w:p>
    <w:p w:rsidR="00000000" w:rsidRPr="00C410A2" w:rsidP="00C410A2">
      <w:pPr>
        <w:pStyle w:val="ListBullet"/>
      </w:pPr>
      <w:r w:rsidRPr="00C410A2">
        <w:t>process of dynamic risk assessment and how it is applied</w:t>
      </w:r>
    </w:p>
    <w:p w:rsidR="00000000" w:rsidRPr="00C410A2" w:rsidP="00C410A2">
      <w:pPr>
        <w:pStyle w:val="ListBullet"/>
      </w:pPr>
      <w:r w:rsidRPr="00C410A2">
        <w:t>purpose of Australia</w:t>
      </w:r>
      <w:r>
        <w:t>’</w:t>
      </w:r>
      <w:r w:rsidRPr="00C410A2">
        <w:t xml:space="preserve">s </w:t>
      </w:r>
      <w:r w:rsidRPr="00C410A2">
        <w:rPr>
          <w:rStyle w:val="Emphasis"/>
        </w:rPr>
        <w:t>Strategy for Protecting Crowded Places from Terrorism</w:t>
      </w:r>
      <w:r w:rsidRPr="00C410A2">
        <w:t xml:space="preserve"> and understanding of:</w:t>
      </w:r>
    </w:p>
    <w:p w:rsidR="00000000" w:rsidRPr="00C410A2" w:rsidP="00C410A2">
      <w:pPr>
        <w:pStyle w:val="ListBullet2"/>
      </w:pPr>
      <w:r w:rsidRPr="00C410A2">
        <w:t>definition of crowde</w:t>
      </w:r>
      <w:r w:rsidRPr="00C410A2">
        <w:t>d places</w:t>
      </w:r>
    </w:p>
    <w:p w:rsidR="00000000" w:rsidRPr="00C410A2" w:rsidP="00C410A2">
      <w:pPr>
        <w:pStyle w:val="ListBullet2"/>
      </w:pPr>
      <w:r w:rsidRPr="00C410A2">
        <w:t>key security issues for crowded places</w:t>
      </w:r>
    </w:p>
    <w:p w:rsidR="00000000" w:rsidRPr="00C410A2" w:rsidP="00C410A2">
      <w:pPr>
        <w:pStyle w:val="ListBullet2"/>
      </w:pPr>
      <w:r w:rsidRPr="00C410A2">
        <w:t>objectives, characteristics and identification of active armed offenders</w:t>
      </w:r>
    </w:p>
    <w:p w:rsidR="00000000" w:rsidRPr="00C410A2" w:rsidP="00C410A2">
      <w:pPr>
        <w:pStyle w:val="ListBullet2"/>
      </w:pPr>
      <w:r w:rsidRPr="00C410A2">
        <w:t>definition of hostile vehicles and methods of attack</w:t>
      </w:r>
    </w:p>
    <w:p w:rsidR="00000000" w:rsidRPr="00C410A2" w:rsidP="00C410A2">
      <w:pPr>
        <w:pStyle w:val="ListBullet2"/>
      </w:pPr>
      <w:r w:rsidRPr="00C410A2">
        <w:t>signs of chemical weapons attack and recommended response</w:t>
      </w:r>
    </w:p>
    <w:p w:rsidR="00000000" w:rsidRPr="00C410A2" w:rsidP="00C410A2">
      <w:pPr>
        <w:pStyle w:val="ListBullet2"/>
      </w:pPr>
      <w:r w:rsidRPr="00C410A2">
        <w:t>general features of impr</w:t>
      </w:r>
      <w:r w:rsidRPr="00C410A2">
        <w:t>ovised explosive devices and recommended incident response</w:t>
      </w:r>
    </w:p>
    <w:p w:rsidR="00000000" w:rsidRPr="00C410A2" w:rsidP="00C410A2">
      <w:pPr>
        <w:pStyle w:val="ListBullet"/>
      </w:pPr>
      <w:r w:rsidRPr="00C410A2">
        <w:t>signs of possible harassment or assault</w:t>
      </w:r>
    </w:p>
    <w:p w:rsidR="00000000" w:rsidRPr="00C410A2" w:rsidP="00C410A2">
      <w:pPr>
        <w:pStyle w:val="ListBullet"/>
      </w:pPr>
      <w:r w:rsidRPr="00C410A2">
        <w:t>site emergency and evacuation plans and procedures</w:t>
      </w:r>
    </w:p>
    <w:p w:rsidR="00000000" w:rsidRPr="00C410A2" w:rsidP="00C410A2">
      <w:pPr>
        <w:pStyle w:val="ListBullet"/>
      </w:pPr>
      <w:r w:rsidRPr="00C410A2">
        <w:t>the phonetic alphabet and how it is used</w:t>
      </w:r>
    </w:p>
    <w:p w:rsidR="00000000" w:rsidRPr="00C410A2" w:rsidP="00C410A2">
      <w:pPr>
        <w:pStyle w:val="ListBullet"/>
      </w:pPr>
      <w:r w:rsidRPr="00C410A2">
        <w:t>types of behavioural anomalies and suspect</w:t>
      </w:r>
      <w:r w:rsidRPr="00C410A2">
        <w:t xml:space="preserve"> behaviours that can indicate criminal activity, hostile reconnaissance or the potential for terrorist activity</w:t>
      </w:r>
    </w:p>
    <w:p w:rsidR="00000000" w:rsidRPr="00C410A2" w:rsidP="00C410A2">
      <w:pPr>
        <w:pStyle w:val="ListBullet"/>
      </w:pPr>
      <w:r w:rsidRPr="00C410A2">
        <w:t>types of behaviours and non-verbal language that can escalate conflict or incite aggressive or hostile responses from others</w:t>
      </w:r>
    </w:p>
    <w:p w:rsidR="00000000" w:rsidRPr="00C410A2" w:rsidP="00C410A2">
      <w:pPr>
        <w:pStyle w:val="ListBullet"/>
      </w:pPr>
      <w:r w:rsidRPr="00C410A2">
        <w:t>types of security r</w:t>
      </w:r>
      <w:r w:rsidRPr="00C410A2">
        <w:t>isk situations and response options for each including:</w:t>
      </w:r>
    </w:p>
    <w:p w:rsidR="00000000" w:rsidRPr="00C410A2" w:rsidP="00C410A2">
      <w:pPr>
        <w:pStyle w:val="ListBullet2"/>
      </w:pPr>
      <w:r w:rsidRPr="00C410A2">
        <w:t>persons acting suspiciously</w:t>
      </w:r>
    </w:p>
    <w:p w:rsidR="00000000" w:rsidRPr="00C410A2" w:rsidP="00C410A2">
      <w:pPr>
        <w:pStyle w:val="ListBullet2"/>
      </w:pPr>
      <w:r w:rsidRPr="00C410A2">
        <w:t>persons carrying weapons</w:t>
      </w:r>
    </w:p>
    <w:p w:rsidR="00000000" w:rsidRPr="00C410A2" w:rsidP="00C410A2">
      <w:pPr>
        <w:pStyle w:val="ListBullet2"/>
      </w:pPr>
      <w:r w:rsidRPr="00C410A2">
        <w:t>persons suffering from emotional or physical distress</w:t>
      </w:r>
    </w:p>
    <w:p w:rsidR="00000000" w:rsidRPr="00C410A2" w:rsidP="00C410A2">
      <w:pPr>
        <w:pStyle w:val="ListBullet2"/>
      </w:pPr>
      <w:r w:rsidRPr="00C410A2">
        <w:t>persons under the influence of intoxicating substances</w:t>
      </w:r>
    </w:p>
    <w:p w:rsidR="00000000" w:rsidRPr="00C410A2" w:rsidP="00C410A2">
      <w:pPr>
        <w:pStyle w:val="ListBullet2"/>
      </w:pPr>
      <w:r w:rsidRPr="00C410A2">
        <w:t>persons, vehicles or equipment in uns</w:t>
      </w:r>
      <w:r w:rsidRPr="00C410A2">
        <w:t>uitable locations</w:t>
      </w:r>
    </w:p>
    <w:p w:rsidR="00000000" w:rsidRPr="00C410A2" w:rsidP="00C410A2">
      <w:pPr>
        <w:pStyle w:val="ListBullet2"/>
      </w:pPr>
      <w:r w:rsidRPr="00C410A2">
        <w:t>presence of biological hazards or chemical spills</w:t>
      </w:r>
    </w:p>
    <w:p w:rsidR="00000000" w:rsidRPr="00C410A2" w:rsidP="00C410A2">
      <w:pPr>
        <w:pStyle w:val="ListBullet2"/>
      </w:pPr>
      <w:r w:rsidRPr="00C410A2">
        <w:t>potential terrorist activity including the suspected presence of explosives, suspicious packages, bags or substances</w:t>
      </w:r>
    </w:p>
    <w:p w:rsidR="00000000" w:rsidRPr="00C410A2" w:rsidP="00C410A2">
      <w:pPr>
        <w:pStyle w:val="ListBullet"/>
      </w:pPr>
      <w:r w:rsidRPr="00C410A2">
        <w:t>ways that social and cultural differences may be expressed.</w:t>
      </w:r>
    </w:p>
    <w:p w:rsidR="00000000" w:rsidRPr="00C410A2" w:rsidP="00C410A2">
      <w:pPr>
        <w:pStyle w:val="AllowPageBreak"/>
      </w:pPr>
    </w:p>
    <w:p w:rsidR="00000000" w:rsidRPr="00C410A2" w:rsidP="00C410A2">
      <w:pPr>
        <w:pStyle w:val="Heading1"/>
      </w:pPr>
      <w:bookmarkStart w:id="12" w:name="O_1008990"/>
      <w:bookmarkEnd w:id="12"/>
      <w:r w:rsidRPr="00C410A2">
        <w:t>Assessment Conditions</w:t>
      </w:r>
    </w:p>
    <w:p w:rsidR="00000000" w:rsidRPr="00C410A2" w:rsidP="008277EE">
      <w:pPr>
        <w:pStyle w:val="BodyText"/>
      </w:pPr>
      <w:r w:rsidRPr="00C410A2">
        <w:t>Assessors must satisfy the requirements for assessors contained in the Standards for Registered Training Organisations (RTOs).  All individuals engaged by a licensed RTO for security licensing purposes must hold both a securi</w:t>
      </w:r>
      <w:r w:rsidRPr="00C410A2">
        <w:t xml:space="preserve">ty trainer’s licence (where such a licence exists within the relevant jurisdiction) and a security operative licence that authorises the security activities about which the individual is training/assessing.  Regulators may impose other assessor conditions </w:t>
      </w:r>
      <w:r w:rsidRPr="00C410A2">
        <w:t>to meet jurisdictional assessment requirements.</w:t>
      </w:r>
    </w:p>
    <w:p w:rsidR="00000000" w:rsidRPr="00C410A2" w:rsidP="008277EE">
      <w:pPr>
        <w:pStyle w:val="BodyText"/>
      </w:pPr>
      <w:r w:rsidRPr="00C410A2">
        <w:t>Assessment of performance must be undertaken in a simulated workplace environment. Tasks are to be performed to the level of proficiency and within the time limits that would be expected in a workplace.</w:t>
      </w:r>
    </w:p>
    <w:p w:rsidR="00000000" w:rsidRPr="00C410A2" w:rsidP="008277EE">
      <w:pPr>
        <w:pStyle w:val="BodyText"/>
      </w:pPr>
      <w:r w:rsidRPr="00C410A2">
        <w:t>The a</w:t>
      </w:r>
      <w:r w:rsidRPr="00C410A2">
        <w:t>ssessment of performance evidence must be done by direct observation of the learner by an assessor, either by an assessor observing the learner physically or by an assessor observing the learner via audio and visual media.</w:t>
      </w:r>
    </w:p>
    <w:p w:rsidR="00000000" w:rsidRPr="00C410A2" w:rsidP="008277EE">
      <w:pPr>
        <w:pStyle w:val="BodyText"/>
      </w:pPr>
      <w:r w:rsidRPr="00C410A2">
        <w:t>Assessment of performance evidenc</w:t>
      </w:r>
      <w:r w:rsidRPr="00C410A2">
        <w:t xml:space="preserve">e is only valid where the learner has been assessed performing the role of a security officer. </w:t>
      </w:r>
    </w:p>
    <w:p w:rsidR="00000000" w:rsidRPr="00C410A2" w:rsidP="008277EE">
      <w:pPr>
        <w:pStyle w:val="BodyText"/>
      </w:pPr>
      <w:r w:rsidRPr="00C410A2">
        <w:t>Assessors are responsible for ensuring that the person demonstrating competency has access to:</w:t>
      </w:r>
    </w:p>
    <w:p w:rsidR="00000000" w:rsidRPr="00C410A2" w:rsidP="00C410A2">
      <w:pPr>
        <w:pStyle w:val="ListBullet"/>
      </w:pPr>
      <w:r w:rsidRPr="00C410A2">
        <w:t>specifications of assessment tasks to determine and implement re</w:t>
      </w:r>
      <w:r w:rsidRPr="00C410A2">
        <w:t>sponses to security risk situations</w:t>
      </w:r>
    </w:p>
    <w:p w:rsidR="00000000" w:rsidRPr="00C410A2" w:rsidP="00C410A2">
      <w:pPr>
        <w:pStyle w:val="ListBullet"/>
      </w:pPr>
      <w:r w:rsidRPr="00C410A2">
        <w:t>appropriate documents, materials, equipment and personal protective equipment (PPE) currently used in industry</w:t>
      </w:r>
    </w:p>
    <w:p w:rsidR="00000000" w:rsidRPr="00C410A2" w:rsidP="00C410A2">
      <w:pPr>
        <w:pStyle w:val="ListBullet"/>
      </w:pPr>
      <w:r w:rsidRPr="00C410A2">
        <w:t>standard operating procedures and workplace policies related to the security work role and which specify requ</w:t>
      </w:r>
      <w:r w:rsidRPr="00C410A2">
        <w:t>irements for complying with industry legislation and regulations.</w:t>
      </w:r>
    </w:p>
    <w:p w:rsidR="00000000" w:rsidRPr="00C410A2" w:rsidP="00C410A2">
      <w:pPr>
        <w:pStyle w:val="AllowPageBreak"/>
      </w:pPr>
    </w:p>
    <w:p w:rsidR="00000000" w:rsidRPr="00C410A2" w:rsidP="00C410A2">
      <w:pPr>
        <w:pStyle w:val="Heading1"/>
      </w:pPr>
      <w:bookmarkStart w:id="13" w:name="O_1008988"/>
      <w:bookmarkEnd w:id="13"/>
      <w:r w:rsidRPr="00C410A2">
        <w:t>Links</w:t>
      </w:r>
    </w:p>
    <w:p w:rsidR="00000000" w:rsidRPr="00C410A2" w:rsidP="008277EE">
      <w:pPr>
        <w:pStyle w:val="BodyText"/>
      </w:pPr>
      <w:r w:rsidRPr="00C410A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B2B">
        <w:rPr>
          <w:rStyle w:val="Hyperlink"/>
        </w:rPr>
        <w:t>https://vetnet.gov.au/Pages/TrainingDocs.aspx?q=6f3f9672-30e8-4835-b348-205dfcf13d9b</w:t>
      </w:r>
      <w:r>
        <w:fldChar w:fldCharType="end"/>
      </w:r>
    </w:p>
    <w:p w:rsidR="00000000" w:rsidRPr="00C410A2" w:rsidP="00C410A2"/>
    <w:sectPr w:rsidSect="00C41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rsidRPr="008277EE" w:rsidP="008277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EE" w:rsidP="00C41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77EE" w:rsidP="00C41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277EE" w:rsidP="00C41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rsidP="00C410A2">
    <w:pPr>
      <w:pStyle w:val="Footer"/>
      <w:framePr w:wrap="around"/>
    </w:pPr>
    <w:r>
      <w:fldChar w:fldCharType="begin"/>
    </w:r>
    <w:r>
      <w:instrText xml:space="preserve"> DOCPROPERTY  Subject  \* MERGEFORMAT </w:instrText>
    </w:r>
    <w:r>
      <w:fldChar w:fldCharType="separate"/>
    </w:r>
    <w:r w:rsidR="008277EE">
      <w:t>Approved</w:t>
    </w:r>
    <w:r w:rsidR="008277EE">
      <w:fldChar w:fldCharType="end"/>
    </w:r>
    <w:r>
      <w:tab/>
      <w:t xml:space="preserve">Page </w:t>
    </w:r>
    <w:r>
      <w:fldChar w:fldCharType="begin"/>
    </w:r>
    <w:r>
      <w:instrText xml:space="preserve"> PAGE  \* Arabic  \* MERGEFORMAT </w:instrText>
    </w:r>
    <w:r>
      <w:fldChar w:fldCharType="separate"/>
    </w:r>
    <w:r w:rsidR="008277E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77EE">
      <w:rPr>
        <w:noProof/>
      </w:rPr>
      <w:t>4</w:t>
    </w:r>
    <w:r>
      <w:rPr>
        <w:noProof/>
      </w:rPr>
      <w:fldChar w:fldCharType="end"/>
    </w:r>
  </w:p>
  <w:p w:rsidR="00C410A2" w:rsidP="00C410A2">
    <w:pPr>
      <w:pStyle w:val="Footer"/>
      <w:framePr w:wrap="around"/>
    </w:pPr>
    <w:r>
      <w:t xml:space="preserve">© Commonwealth of Australia, </w:t>
    </w:r>
    <w:r>
      <w:fldChar w:fldCharType="begin"/>
    </w:r>
    <w:r>
      <w:instrText xml:space="preserve"> DATE  \@ "yyyy"  \* MERGEFORMAT </w:instrText>
    </w:r>
    <w:r>
      <w:fldChar w:fldCharType="separate"/>
    </w:r>
    <w:r w:rsidR="008277EE">
      <w:rPr>
        <w:noProof/>
      </w:rPr>
      <w:t>2025</w:t>
    </w:r>
    <w:r>
      <w:fldChar w:fldCharType="end"/>
    </w:r>
    <w:r>
      <w:tab/>
    </w:r>
    <w:r>
      <w:fldChar w:fldCharType="begin"/>
    </w:r>
    <w:r>
      <w:instrText xml:space="preserve"> DOCPROPERTY  Author  \* MERGEFORMAT </w:instrText>
    </w:r>
    <w:r>
      <w:fldChar w:fldCharType="separate"/>
    </w:r>
    <w:r w:rsidR="008277EE">
      <w:t>BuildSkills Australia</w:t>
    </w:r>
    <w:r w:rsidR="008277EE">
      <w:fldChar w:fldCharType="end"/>
    </w:r>
  </w:p>
  <w:p w:rsidR="00C410A2" w:rsidP="00C41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0A2" w:rsidRPr="008277EE" w:rsidP="008277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EE" w:rsidRPr="002D2AF8" w:rsidP="00C410A2">
    <w:pPr>
      <w:pStyle w:val="Header"/>
      <w:framePr w:wrap="around"/>
    </w:pPr>
    <w:r>
      <w:fldChar w:fldCharType="begin"/>
    </w:r>
    <w:r>
      <w:instrText xml:space="preserve"> TITLE   \* MERGEFORMAT </w:instrText>
    </w:r>
    <w:r>
      <w:fldChar w:fldCharType="separate"/>
    </w:r>
    <w:r>
      <w:t>CPPSEC3103 Determine and implement response to security risk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77EE" w:rsidP="00C41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0A2" w:rsidRPr="002D2AF8" w:rsidP="00C410A2">
    <w:pPr>
      <w:pStyle w:val="Header"/>
      <w:framePr w:wrap="around"/>
    </w:pPr>
    <w:r>
      <w:fldChar w:fldCharType="begin"/>
    </w:r>
    <w:r>
      <w:instrText xml:space="preserve"> TITLE   \* MERGEFORMAT </w:instrText>
    </w:r>
    <w:r>
      <w:fldChar w:fldCharType="separate"/>
    </w:r>
    <w:r w:rsidR="008277EE">
      <w:t>CPPSEC3103 Determine and implement response to security risk situation</w:t>
    </w:r>
    <w:r w:rsidR="008277EE">
      <w:fldChar w:fldCharType="end"/>
    </w:r>
    <w:r>
      <w:tab/>
      <w:t xml:space="preserve">Date this document was generated: </w:t>
    </w:r>
    <w:r>
      <w:fldChar w:fldCharType="begin"/>
    </w:r>
    <w:r>
      <w:instrText xml:space="preserve"> CREATEDATE  \@ "d MMMM yyyy"  \* MERGEFORMAT </w:instrText>
    </w:r>
    <w:r>
      <w:fldChar w:fldCharType="separate"/>
    </w:r>
    <w:r w:rsidR="008277EE">
      <w:rPr>
        <w:noProof/>
      </w:rPr>
      <w:t>2 March 2025</w:t>
    </w:r>
    <w:r>
      <w:fldChar w:fldCharType="end"/>
    </w:r>
  </w:p>
  <w:p w:rsidR="00C410A2" w:rsidP="00C41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A3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D0B8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EED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0A2"/>
    <w:pPr>
      <w:spacing w:before="360" w:after="60"/>
      <w:outlineLvl w:val="0"/>
    </w:pPr>
    <w:rPr>
      <w:sz w:val="32"/>
    </w:rPr>
  </w:style>
  <w:style w:type="paragraph" w:styleId="Heading2">
    <w:name w:val="heading 2"/>
    <w:basedOn w:val="HeadingBase"/>
    <w:next w:val="BodyText"/>
    <w:link w:val="Heading2Char"/>
    <w:qFormat/>
    <w:rsid w:val="00C410A2"/>
    <w:pPr>
      <w:keepLines/>
      <w:spacing w:before="240" w:after="120"/>
      <w:outlineLvl w:val="1"/>
    </w:pPr>
    <w:rPr>
      <w:sz w:val="28"/>
      <w:szCs w:val="40"/>
    </w:rPr>
  </w:style>
  <w:style w:type="paragraph" w:styleId="Heading3">
    <w:name w:val="heading 3"/>
    <w:basedOn w:val="HeadingBase"/>
    <w:next w:val="BodyText"/>
    <w:link w:val="Heading3Char"/>
    <w:qFormat/>
    <w:rsid w:val="00C410A2"/>
    <w:pPr>
      <w:spacing w:before="180" w:after="120"/>
      <w:outlineLvl w:val="2"/>
    </w:pPr>
    <w:rPr>
      <w:spacing w:val="-10"/>
      <w:kern w:val="32"/>
    </w:rPr>
  </w:style>
  <w:style w:type="paragraph" w:styleId="Heading4">
    <w:name w:val="heading 4"/>
    <w:basedOn w:val="HeadingBase"/>
    <w:next w:val="BodyText"/>
    <w:link w:val="Heading4Char"/>
    <w:qFormat/>
    <w:rsid w:val="00C410A2"/>
    <w:pPr>
      <w:spacing w:before="160" w:after="120"/>
      <w:outlineLvl w:val="3"/>
    </w:pPr>
    <w:rPr>
      <w:sz w:val="22"/>
    </w:rPr>
  </w:style>
  <w:style w:type="paragraph" w:styleId="Heading5">
    <w:name w:val="heading 5"/>
    <w:basedOn w:val="HeadingBase"/>
    <w:next w:val="Normal"/>
    <w:link w:val="Heading5Char"/>
    <w:qFormat/>
    <w:rsid w:val="00C410A2"/>
    <w:pPr>
      <w:spacing w:before="80"/>
      <w:outlineLvl w:val="4"/>
    </w:pPr>
    <w:rPr>
      <w:color w:val="918585"/>
      <w:sz w:val="20"/>
    </w:rPr>
  </w:style>
  <w:style w:type="paragraph" w:styleId="Heading6">
    <w:name w:val="heading 6"/>
    <w:basedOn w:val="HeadingBase"/>
    <w:next w:val="Normal"/>
    <w:link w:val="Heading6Char"/>
    <w:qFormat/>
    <w:rsid w:val="00C410A2"/>
    <w:pPr>
      <w:spacing w:before="60"/>
      <w:outlineLvl w:val="5"/>
    </w:pPr>
    <w:rPr>
      <w:color w:val="918585"/>
      <w:sz w:val="20"/>
    </w:rPr>
  </w:style>
  <w:style w:type="paragraph" w:styleId="Heading7">
    <w:name w:val="heading 7"/>
    <w:basedOn w:val="Normal"/>
    <w:next w:val="Normal"/>
    <w:link w:val="Heading7Char"/>
    <w:qFormat/>
    <w:rsid w:val="00C410A2"/>
    <w:pPr>
      <w:ind w:left="720"/>
      <w:outlineLvl w:val="6"/>
    </w:pPr>
    <w:rPr>
      <w:i/>
    </w:rPr>
  </w:style>
  <w:style w:type="paragraph" w:styleId="Heading8">
    <w:name w:val="heading 8"/>
    <w:basedOn w:val="Normal"/>
    <w:next w:val="Normal"/>
    <w:link w:val="Heading8Char"/>
    <w:qFormat/>
    <w:rsid w:val="00C410A2"/>
    <w:pPr>
      <w:ind w:left="720"/>
      <w:outlineLvl w:val="7"/>
    </w:pPr>
    <w:rPr>
      <w:i/>
    </w:rPr>
  </w:style>
  <w:style w:type="paragraph" w:styleId="Heading9">
    <w:name w:val="heading 9"/>
    <w:basedOn w:val="Normal"/>
    <w:next w:val="Normal"/>
    <w:link w:val="Heading9Char"/>
    <w:qFormat/>
    <w:rsid w:val="00C410A2"/>
    <w:pPr>
      <w:ind w:left="720"/>
      <w:outlineLvl w:val="8"/>
    </w:pPr>
    <w:rPr>
      <w:i/>
    </w:rPr>
  </w:style>
  <w:style w:type="character" w:default="1" w:styleId="DefaultParagraphFont">
    <w:name w:val="Default Paragraph Font"/>
    <w:uiPriority w:val="1"/>
    <w:unhideWhenUsed/>
    <w:rsid w:val="00C41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0A2"/>
  </w:style>
  <w:style w:type="character" w:customStyle="1" w:styleId="Heading1Char">
    <w:name w:val="Heading 1 Char"/>
    <w:basedOn w:val="DefaultParagraphFont"/>
    <w:link w:val="Heading1"/>
    <w:rsid w:val="00C410A2"/>
    <w:rPr>
      <w:rFonts w:ascii="Times New Roman" w:eastAsia="Times New Roman" w:hAnsi="Times New Roman" w:cs="Times New Roman"/>
      <w:b/>
      <w:sz w:val="32"/>
      <w:szCs w:val="20"/>
      <w:lang w:eastAsia="en-US"/>
    </w:rPr>
  </w:style>
  <w:style w:type="paragraph" w:styleId="BodyText">
    <w:name w:val="Body Text"/>
    <w:basedOn w:val="Normal"/>
    <w:link w:val="BodyTextChar"/>
    <w:rsid w:val="00C41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0A2"/>
    <w:rPr>
      <w:rFonts w:ascii="Times New Roman" w:eastAsia="Times New Roman" w:hAnsi="Times New Roman" w:cs="Times New Roman"/>
      <w:sz w:val="24"/>
      <w:lang w:eastAsia="en-US"/>
    </w:rPr>
  </w:style>
  <w:style w:type="paragraph" w:styleId="ListBullet">
    <w:name w:val="List Bullet"/>
    <w:basedOn w:val="List"/>
    <w:rsid w:val="00C410A2"/>
    <w:pPr>
      <w:numPr>
        <w:numId w:val="12"/>
      </w:numPr>
      <w:tabs>
        <w:tab w:val="clear" w:pos="340"/>
      </w:tabs>
      <w:spacing w:before="40" w:after="40"/>
    </w:pPr>
  </w:style>
  <w:style w:type="paragraph" w:styleId="ListBullet2">
    <w:name w:val="List Bullet 2"/>
    <w:basedOn w:val="List2"/>
    <w:rsid w:val="00C410A2"/>
    <w:pPr>
      <w:numPr>
        <w:numId w:val="13"/>
      </w:numPr>
      <w:tabs>
        <w:tab w:val="clear" w:pos="680"/>
      </w:tabs>
    </w:pPr>
  </w:style>
  <w:style w:type="character" w:styleId="Emphasis">
    <w:name w:val="Emphasis"/>
    <w:basedOn w:val="DefaultParagraphFont"/>
    <w:qFormat/>
    <w:rsid w:val="00C410A2"/>
    <w:rPr>
      <w:i/>
    </w:rPr>
  </w:style>
  <w:style w:type="paragraph" w:customStyle="1" w:styleId="SuperHeading">
    <w:name w:val="SuperHeading"/>
    <w:basedOn w:val="Normal"/>
    <w:rsid w:val="00C410A2"/>
    <w:pPr>
      <w:spacing w:before="240" w:after="120"/>
      <w:outlineLvl w:val="0"/>
    </w:pPr>
    <w:rPr>
      <w:rFonts w:ascii="Times New Roman" w:hAnsi="Times New Roman"/>
      <w:b/>
      <w:sz w:val="32"/>
    </w:rPr>
  </w:style>
  <w:style w:type="paragraph" w:customStyle="1" w:styleId="AllowPageBreak">
    <w:name w:val="AllowPageBreak"/>
    <w:rsid w:val="00C41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0A2"/>
    <w:rPr>
      <w:rFonts w:ascii="Courier New" w:eastAsia="Times New Roman" w:hAnsi="Courier New" w:cs="Times New Roman"/>
      <w:i/>
      <w:szCs w:val="20"/>
      <w:lang w:eastAsia="en-US"/>
    </w:rPr>
  </w:style>
  <w:style w:type="paragraph" w:customStyle="1" w:styleId="HeadingBase">
    <w:name w:val="Heading Base"/>
    <w:rsid w:val="00C41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0A2"/>
    <w:pPr>
      <w:tabs>
        <w:tab w:val="right" w:leader="dot" w:pos="9072"/>
      </w:tabs>
      <w:ind w:left="567"/>
    </w:pPr>
    <w:rPr>
      <w:szCs w:val="22"/>
    </w:rPr>
  </w:style>
  <w:style w:type="paragraph" w:customStyle="1" w:styleId="TOCBase">
    <w:name w:val="TOC Base"/>
    <w:rsid w:val="00C41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0A2"/>
    <w:pPr>
      <w:tabs>
        <w:tab w:val="right" w:leader="dot" w:pos="9072"/>
      </w:tabs>
      <w:spacing w:before="40" w:after="40"/>
      <w:ind w:left="284"/>
    </w:pPr>
    <w:rPr>
      <w:rFonts w:ascii="Times New Roman" w:hAnsi="Times New Roman"/>
    </w:rPr>
  </w:style>
  <w:style w:type="paragraph" w:styleId="TOC1">
    <w:name w:val="toc 1"/>
    <w:basedOn w:val="TOCBase"/>
    <w:next w:val="Normal"/>
    <w:rsid w:val="00C41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0A2"/>
    <w:rPr>
      <w:rFonts w:ascii="Times New Roman" w:eastAsia="Times New Roman" w:hAnsi="Times New Roman" w:cs="Times New Roman"/>
      <w:sz w:val="16"/>
      <w:lang w:eastAsia="en-US"/>
    </w:rPr>
  </w:style>
  <w:style w:type="paragraph" w:styleId="Title">
    <w:name w:val="Title"/>
    <w:basedOn w:val="HeadingBase"/>
    <w:link w:val="TitleChar"/>
    <w:qFormat/>
    <w:rsid w:val="00C410A2"/>
    <w:pPr>
      <w:spacing w:before="5040"/>
      <w:jc w:val="center"/>
    </w:pPr>
    <w:rPr>
      <w:sz w:val="48"/>
      <w:szCs w:val="72"/>
      <w:lang w:val="en-US"/>
    </w:rPr>
  </w:style>
  <w:style w:type="character" w:customStyle="1" w:styleId="TitleChar">
    <w:name w:val="Title Char"/>
    <w:basedOn w:val="DefaultParagraphFont"/>
    <w:link w:val="Title"/>
    <w:rsid w:val="00C41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0A2"/>
    <w:pPr>
      <w:tabs>
        <w:tab w:val="left" w:pos="3600"/>
        <w:tab w:val="left" w:pos="3958"/>
      </w:tabs>
    </w:pPr>
  </w:style>
  <w:style w:type="paragraph" w:styleId="List">
    <w:name w:val="List"/>
    <w:basedOn w:val="BodyText"/>
    <w:next w:val="BodyText"/>
    <w:rsid w:val="00C410A2"/>
    <w:pPr>
      <w:tabs>
        <w:tab w:val="left" w:pos="340"/>
      </w:tabs>
      <w:spacing w:before="60" w:after="60"/>
      <w:ind w:left="340" w:hanging="340"/>
    </w:pPr>
  </w:style>
  <w:style w:type="paragraph" w:customStyle="1" w:styleId="Note">
    <w:name w:val="Note"/>
    <w:basedOn w:val="BodyText"/>
    <w:rsid w:val="00C410A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10A2"/>
    <w:rPr>
      <w:b/>
      <w:spacing w:val="0"/>
    </w:rPr>
  </w:style>
  <w:style w:type="paragraph" w:customStyle="1" w:styleId="SuperTitle">
    <w:name w:val="SuperTitle"/>
    <w:basedOn w:val="Title"/>
    <w:rsid w:val="00C410A2"/>
    <w:pPr>
      <w:framePr w:wrap="auto" w:hAnchor="text" w:y="6049"/>
    </w:pPr>
    <w:rPr>
      <w:color w:val="000000"/>
      <w:sz w:val="40"/>
    </w:rPr>
  </w:style>
  <w:style w:type="paragraph" w:customStyle="1" w:styleId="TOCTitle">
    <w:name w:val="TOCTitle"/>
    <w:basedOn w:val="Heading1"/>
    <w:rsid w:val="00C410A2"/>
    <w:pPr>
      <w:spacing w:after="240"/>
      <w:jc w:val="center"/>
      <w:outlineLvl w:val="9"/>
    </w:pPr>
    <w:rPr>
      <w:caps/>
    </w:rPr>
  </w:style>
  <w:style w:type="paragraph" w:customStyle="1" w:styleId="Version">
    <w:name w:val="Version"/>
    <w:rsid w:val="00C41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0A2"/>
    <w:pPr>
      <w:keepNext w:val="0"/>
      <w:tabs>
        <w:tab w:val="right" w:pos="4176"/>
      </w:tabs>
      <w:ind w:left="198" w:hanging="198"/>
    </w:pPr>
    <w:rPr>
      <w:rFonts w:ascii="Garamond" w:hAnsi="Garamond"/>
    </w:rPr>
  </w:style>
  <w:style w:type="paragraph" w:styleId="IndexHeading">
    <w:name w:val="index heading"/>
    <w:basedOn w:val="Normal"/>
    <w:next w:val="Index1"/>
    <w:semiHidden/>
    <w:rsid w:val="00C410A2"/>
    <w:pPr>
      <w:spacing w:before="120" w:after="120"/>
    </w:pPr>
    <w:rPr>
      <w:rFonts w:ascii="Arial" w:hAnsi="Arial"/>
      <w:b/>
      <w:color w:val="918585"/>
      <w:sz w:val="24"/>
    </w:rPr>
  </w:style>
  <w:style w:type="paragraph" w:styleId="Header">
    <w:name w:val="header"/>
    <w:basedOn w:val="Normal"/>
    <w:link w:val="HeaderChar"/>
    <w:rsid w:val="00C41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0A2"/>
    <w:rPr>
      <w:rFonts w:ascii="Times New Roman" w:eastAsia="Times New Roman" w:hAnsi="Times New Roman" w:cs="Times New Roman"/>
      <w:sz w:val="16"/>
      <w:szCs w:val="20"/>
      <w:lang w:val="en-GB" w:eastAsia="en-US"/>
    </w:rPr>
  </w:style>
  <w:style w:type="paragraph" w:customStyle="1" w:styleId="Chapter">
    <w:name w:val="Chapter"/>
    <w:basedOn w:val="Normal"/>
    <w:rsid w:val="00C410A2"/>
    <w:pPr>
      <w:spacing w:before="240"/>
    </w:pPr>
    <w:rPr>
      <w:rFonts w:ascii="Times New Roman" w:hAnsi="Times New Roman"/>
      <w:smallCaps/>
      <w:spacing w:val="80"/>
      <w:sz w:val="28"/>
    </w:rPr>
  </w:style>
  <w:style w:type="paragraph" w:customStyle="1" w:styleId="InChapter">
    <w:name w:val="InChapter"/>
    <w:basedOn w:val="Heading3"/>
    <w:rsid w:val="00C410A2"/>
    <w:pPr>
      <w:spacing w:after="240"/>
      <w:outlineLvl w:val="9"/>
    </w:pPr>
    <w:rPr>
      <w:noProof/>
    </w:rPr>
  </w:style>
  <w:style w:type="paragraph" w:styleId="Index2">
    <w:name w:val="index 2"/>
    <w:basedOn w:val="Normal"/>
    <w:next w:val="Normal"/>
    <w:semiHidden/>
    <w:rsid w:val="00C410A2"/>
    <w:pPr>
      <w:tabs>
        <w:tab w:val="right" w:pos="4176"/>
      </w:tabs>
      <w:ind w:left="568" w:hanging="284"/>
    </w:pPr>
    <w:rPr>
      <w:rFonts w:ascii="Garamond" w:hAnsi="Garamond"/>
    </w:rPr>
  </w:style>
  <w:style w:type="paragraph" w:customStyle="1" w:styleId="Byline">
    <w:name w:val="Byline"/>
    <w:rsid w:val="00C41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0A2"/>
    <w:pPr>
      <w:tabs>
        <w:tab w:val="clear" w:pos="3600"/>
        <w:tab w:val="clear" w:pos="3958"/>
      </w:tabs>
      <w:jc w:val="right"/>
    </w:pPr>
  </w:style>
  <w:style w:type="paragraph" w:styleId="Caption">
    <w:name w:val="caption"/>
    <w:basedOn w:val="BodyText"/>
    <w:next w:val="Normal"/>
    <w:qFormat/>
    <w:rsid w:val="00C410A2"/>
    <w:pPr>
      <w:framePr w:w="2268" w:hSpace="181" w:vSpace="181" w:wrap="around" w:vAnchor="text" w:hAnchor="page" w:x="1135" w:y="285" w:anchorLock="1"/>
    </w:pPr>
    <w:rPr>
      <w:i/>
    </w:rPr>
  </w:style>
  <w:style w:type="paragraph" w:customStyle="1" w:styleId="MiniTOCTitle">
    <w:name w:val="MiniTOCTitle"/>
    <w:basedOn w:val="Heading4"/>
    <w:rsid w:val="00C410A2"/>
    <w:pPr>
      <w:spacing w:before="240"/>
      <w:outlineLvl w:val="9"/>
    </w:pPr>
    <w:rPr>
      <w:noProof/>
      <w:sz w:val="24"/>
    </w:rPr>
  </w:style>
  <w:style w:type="paragraph" w:customStyle="1" w:styleId="MiniTOCItem">
    <w:name w:val="MiniTOCItem"/>
    <w:basedOn w:val="ListBullet"/>
    <w:rsid w:val="00C410A2"/>
    <w:pPr>
      <w:numPr>
        <w:numId w:val="0"/>
      </w:numPr>
      <w:tabs>
        <w:tab w:val="right" w:leader="dot" w:pos="6521"/>
      </w:tabs>
      <w:spacing w:before="0" w:after="0"/>
    </w:pPr>
  </w:style>
  <w:style w:type="paragraph" w:customStyle="1" w:styleId="TOFTitle">
    <w:name w:val="TOFTitle"/>
    <w:basedOn w:val="TOCTitle"/>
    <w:rsid w:val="00C410A2"/>
  </w:style>
  <w:style w:type="paragraph" w:styleId="TableofFigures">
    <w:name w:val="table of figures"/>
    <w:basedOn w:val="Normal"/>
    <w:next w:val="Normal"/>
    <w:semiHidden/>
    <w:rsid w:val="00C410A2"/>
    <w:pPr>
      <w:tabs>
        <w:tab w:val="right" w:leader="dot" w:pos="9072"/>
      </w:tabs>
      <w:ind w:left="970" w:hanging="403"/>
    </w:pPr>
    <w:rPr>
      <w:rFonts w:ascii="Times New Roman" w:hAnsi="Times New Roman"/>
      <w:b/>
    </w:rPr>
  </w:style>
  <w:style w:type="paragraph" w:styleId="ListNumber">
    <w:name w:val="List Number"/>
    <w:basedOn w:val="List"/>
    <w:rsid w:val="00C410A2"/>
    <w:pPr>
      <w:numPr>
        <w:numId w:val="15"/>
      </w:numPr>
      <w:tabs>
        <w:tab w:val="clear" w:pos="340"/>
      </w:tabs>
    </w:pPr>
  </w:style>
  <w:style w:type="character" w:customStyle="1" w:styleId="WingdingSymbols">
    <w:name w:val="Wingding Symbols"/>
    <w:rsid w:val="00C410A2"/>
    <w:rPr>
      <w:rFonts w:ascii="Wingdings" w:hAnsi="Wingdings"/>
    </w:rPr>
  </w:style>
  <w:style w:type="paragraph" w:customStyle="1" w:styleId="TableHeading">
    <w:name w:val="Table Heading"/>
    <w:basedOn w:val="HeadingBase"/>
    <w:rsid w:val="00C410A2"/>
    <w:pPr>
      <w:keepLines/>
      <w:pBdr>
        <w:bottom w:val="single" w:sz="6" w:space="1" w:color="918585"/>
      </w:pBdr>
      <w:spacing w:before="240"/>
    </w:pPr>
  </w:style>
  <w:style w:type="character" w:customStyle="1" w:styleId="HotSpot">
    <w:name w:val="HotSpot"/>
    <w:rsid w:val="00C410A2"/>
    <w:rPr>
      <w:color w:val="0033CC"/>
      <w:u w:val="none"/>
    </w:rPr>
  </w:style>
  <w:style w:type="paragraph" w:customStyle="1" w:styleId="BodyTextRight">
    <w:name w:val="Body Text Right"/>
    <w:basedOn w:val="BodyText"/>
    <w:rsid w:val="00C410A2"/>
    <w:pPr>
      <w:spacing w:before="0" w:after="0"/>
      <w:jc w:val="right"/>
    </w:pPr>
  </w:style>
  <w:style w:type="paragraph" w:styleId="Index3">
    <w:name w:val="index 3"/>
    <w:basedOn w:val="ListNumber2"/>
    <w:next w:val="Normal"/>
    <w:semiHidden/>
    <w:rsid w:val="00C410A2"/>
    <w:pPr>
      <w:numPr>
        <w:numId w:val="0"/>
      </w:numPr>
      <w:tabs>
        <w:tab w:val="right" w:leader="dot" w:pos="4176"/>
      </w:tabs>
    </w:pPr>
  </w:style>
  <w:style w:type="paragraph" w:styleId="ListNumber2">
    <w:name w:val="List Number 2"/>
    <w:basedOn w:val="List2"/>
    <w:rsid w:val="00C410A2"/>
    <w:pPr>
      <w:numPr>
        <w:numId w:val="10"/>
      </w:numPr>
      <w:tabs>
        <w:tab w:val="clear" w:pos="1060"/>
      </w:tabs>
    </w:pPr>
  </w:style>
  <w:style w:type="paragraph" w:customStyle="1" w:styleId="MarginNote">
    <w:name w:val="Margin Note"/>
    <w:basedOn w:val="BodyText"/>
    <w:rsid w:val="00C41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0A2"/>
    <w:rPr>
      <w:sz w:val="32"/>
    </w:rPr>
  </w:style>
  <w:style w:type="paragraph" w:customStyle="1" w:styleId="HeadingProcedure">
    <w:name w:val="Heading Procedure"/>
    <w:basedOn w:val="HeadingBase"/>
    <w:next w:val="Normal"/>
    <w:rsid w:val="00C410A2"/>
    <w:pPr>
      <w:tabs>
        <w:tab w:val="left" w:pos="0"/>
      </w:tabs>
      <w:spacing w:before="120" w:after="60"/>
    </w:pPr>
    <w:rPr>
      <w:i/>
      <w:color w:val="918585"/>
      <w:sz w:val="22"/>
    </w:rPr>
  </w:style>
  <w:style w:type="paragraph" w:customStyle="1" w:styleId="TableBodyText">
    <w:name w:val="Table Body Text"/>
    <w:basedOn w:val="BodyText"/>
    <w:rsid w:val="00C410A2"/>
    <w:pPr>
      <w:spacing w:before="60" w:after="60"/>
    </w:pPr>
  </w:style>
  <w:style w:type="paragraph" w:styleId="ListContinue">
    <w:name w:val="List Continue"/>
    <w:basedOn w:val="List"/>
    <w:rsid w:val="00C410A2"/>
    <w:pPr>
      <w:ind w:firstLine="0"/>
    </w:pPr>
  </w:style>
  <w:style w:type="paragraph" w:customStyle="1" w:styleId="ListNote">
    <w:name w:val="List Note"/>
    <w:basedOn w:val="List"/>
    <w:rsid w:val="00C410A2"/>
    <w:pPr>
      <w:pBdr>
        <w:top w:val="single" w:sz="6" w:space="2" w:color="918585"/>
        <w:bottom w:val="single" w:sz="6" w:space="2" w:color="918585"/>
      </w:pBdr>
      <w:tabs>
        <w:tab w:val="left" w:pos="1021"/>
      </w:tabs>
      <w:ind w:firstLine="0"/>
    </w:pPr>
  </w:style>
  <w:style w:type="paragraph" w:customStyle="1" w:styleId="Warning">
    <w:name w:val="Warning"/>
    <w:basedOn w:val="BodyText"/>
    <w:rsid w:val="00C410A2"/>
    <w:pPr>
      <w:shd w:val="clear" w:color="auto" w:fill="D9D9D9"/>
      <w:tabs>
        <w:tab w:val="left" w:pos="992"/>
      </w:tabs>
      <w:ind w:left="119" w:right="119"/>
    </w:pPr>
    <w:rPr>
      <w:sz w:val="20"/>
    </w:rPr>
  </w:style>
  <w:style w:type="paragraph" w:customStyle="1" w:styleId="MarginIcons">
    <w:name w:val="Margin Icons"/>
    <w:basedOn w:val="BodyText"/>
    <w:rsid w:val="00C41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0A2"/>
    <w:rPr>
      <w:rFonts w:ascii="Courier New" w:hAnsi="Courier New"/>
    </w:rPr>
  </w:style>
  <w:style w:type="paragraph" w:customStyle="1" w:styleId="NoteBullet">
    <w:name w:val="Note Bullet"/>
    <w:basedOn w:val="Note"/>
    <w:rsid w:val="00C410A2"/>
    <w:pPr>
      <w:tabs>
        <w:tab w:val="clear" w:pos="680"/>
      </w:tabs>
      <w:spacing w:before="60" w:after="60"/>
    </w:pPr>
  </w:style>
  <w:style w:type="paragraph" w:customStyle="1" w:styleId="SubHeading2">
    <w:name w:val="SubHeading2"/>
    <w:basedOn w:val="HeadingBase"/>
    <w:rsid w:val="00C410A2"/>
    <w:pPr>
      <w:spacing w:before="240" w:after="60"/>
    </w:pPr>
    <w:rPr>
      <w:sz w:val="20"/>
    </w:rPr>
  </w:style>
  <w:style w:type="paragraph" w:customStyle="1" w:styleId="SubHeading1">
    <w:name w:val="SubHeading1"/>
    <w:basedOn w:val="HeadingBase"/>
    <w:rsid w:val="00C410A2"/>
    <w:pPr>
      <w:spacing w:before="240" w:after="60"/>
    </w:pPr>
    <w:rPr>
      <w:color w:val="918585"/>
      <w:sz w:val="22"/>
    </w:rPr>
  </w:style>
  <w:style w:type="paragraph" w:customStyle="1" w:styleId="SideHeading">
    <w:name w:val="Side Heading"/>
    <w:basedOn w:val="HeadingBase"/>
    <w:rsid w:val="00C41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0A2"/>
    <w:pPr>
      <w:tabs>
        <w:tab w:val="num" w:pos="360"/>
      </w:tabs>
    </w:pPr>
  </w:style>
  <w:style w:type="paragraph" w:styleId="PlainText">
    <w:name w:val="Plain Text"/>
    <w:basedOn w:val="Normal"/>
    <w:link w:val="PlainTextChar"/>
    <w:rsid w:val="00C410A2"/>
    <w:rPr>
      <w:sz w:val="20"/>
    </w:rPr>
  </w:style>
  <w:style w:type="character" w:customStyle="1" w:styleId="PlainTextChar">
    <w:name w:val="Plain Text Char"/>
    <w:basedOn w:val="DefaultParagraphFont"/>
    <w:link w:val="PlainText"/>
    <w:rsid w:val="00C410A2"/>
    <w:rPr>
      <w:rFonts w:ascii="Courier New" w:eastAsia="Times New Roman" w:hAnsi="Courier New" w:cs="Times New Roman"/>
      <w:sz w:val="20"/>
      <w:szCs w:val="20"/>
      <w:lang w:eastAsia="en-US"/>
    </w:rPr>
  </w:style>
  <w:style w:type="character" w:customStyle="1" w:styleId="MenuOption">
    <w:name w:val="Menu Option"/>
    <w:basedOn w:val="DefaultParagraphFont"/>
    <w:rsid w:val="00C410A2"/>
    <w:rPr>
      <w:b/>
      <w:smallCaps/>
    </w:rPr>
  </w:style>
  <w:style w:type="paragraph" w:customStyle="1" w:styleId="TableListNumber">
    <w:name w:val="Table List Number"/>
    <w:basedOn w:val="ListNumber"/>
    <w:rsid w:val="00C410A2"/>
    <w:pPr>
      <w:numPr>
        <w:numId w:val="0"/>
      </w:numPr>
    </w:pPr>
  </w:style>
  <w:style w:type="paragraph" w:styleId="TOC4">
    <w:name w:val="toc 4"/>
    <w:basedOn w:val="TOCBase"/>
    <w:next w:val="Normal"/>
    <w:semiHidden/>
    <w:rsid w:val="00C410A2"/>
    <w:pPr>
      <w:tabs>
        <w:tab w:val="right" w:leader="dot" w:pos="9071"/>
      </w:tabs>
      <w:ind w:left="1701"/>
    </w:pPr>
  </w:style>
  <w:style w:type="paragraph" w:customStyle="1" w:styleId="ListAlpha">
    <w:name w:val="List Alpha"/>
    <w:basedOn w:val="List"/>
    <w:rsid w:val="00C410A2"/>
    <w:pPr>
      <w:numPr>
        <w:numId w:val="9"/>
      </w:numPr>
    </w:pPr>
  </w:style>
  <w:style w:type="paragraph" w:customStyle="1" w:styleId="ListAlpha2">
    <w:name w:val="List Alpha 2"/>
    <w:basedOn w:val="List2"/>
    <w:rsid w:val="00C410A2"/>
    <w:pPr>
      <w:numPr>
        <w:numId w:val="8"/>
      </w:numPr>
    </w:pPr>
  </w:style>
  <w:style w:type="paragraph" w:styleId="List2">
    <w:name w:val="List 2"/>
    <w:basedOn w:val="BodyText"/>
    <w:rsid w:val="00C410A2"/>
    <w:pPr>
      <w:tabs>
        <w:tab w:val="left" w:pos="680"/>
      </w:tabs>
      <w:spacing w:before="60" w:after="60"/>
      <w:ind w:left="680" w:hanging="340"/>
    </w:pPr>
  </w:style>
  <w:style w:type="paragraph" w:styleId="List3">
    <w:name w:val="List 3"/>
    <w:basedOn w:val="BodyText"/>
    <w:rsid w:val="00C410A2"/>
    <w:pPr>
      <w:tabs>
        <w:tab w:val="left" w:pos="1021"/>
      </w:tabs>
      <w:spacing w:before="60" w:after="60"/>
      <w:ind w:left="1020" w:hanging="340"/>
    </w:pPr>
  </w:style>
  <w:style w:type="paragraph" w:styleId="List4">
    <w:name w:val="List 4"/>
    <w:basedOn w:val="BodyText"/>
    <w:rsid w:val="00C410A2"/>
    <w:pPr>
      <w:tabs>
        <w:tab w:val="left" w:pos="1361"/>
      </w:tabs>
      <w:spacing w:before="60" w:after="60"/>
      <w:ind w:left="1361" w:hanging="340"/>
    </w:pPr>
  </w:style>
  <w:style w:type="paragraph" w:styleId="List5">
    <w:name w:val="List 5"/>
    <w:basedOn w:val="BodyText"/>
    <w:rsid w:val="00C410A2"/>
    <w:pPr>
      <w:tabs>
        <w:tab w:val="left" w:pos="1701"/>
      </w:tabs>
      <w:spacing w:before="60" w:after="60"/>
      <w:ind w:left="1701" w:hanging="340"/>
    </w:pPr>
  </w:style>
  <w:style w:type="paragraph" w:styleId="ListBullet3">
    <w:name w:val="List Bullet 3"/>
    <w:basedOn w:val="List3"/>
    <w:rsid w:val="00C410A2"/>
    <w:pPr>
      <w:numPr>
        <w:numId w:val="14"/>
      </w:numPr>
      <w:tabs>
        <w:tab w:val="clear" w:pos="1021"/>
      </w:tabs>
      <w:ind w:left="1037" w:hanging="357"/>
    </w:pPr>
  </w:style>
  <w:style w:type="paragraph" w:styleId="ListBullet4">
    <w:name w:val="List Bullet 4"/>
    <w:basedOn w:val="List4"/>
    <w:rsid w:val="00C410A2"/>
    <w:pPr>
      <w:numPr>
        <w:numId w:val="3"/>
      </w:numPr>
      <w:tabs>
        <w:tab w:val="clear" w:pos="1361"/>
      </w:tabs>
    </w:pPr>
  </w:style>
  <w:style w:type="paragraph" w:styleId="ListBullet5">
    <w:name w:val="List Bullet 5"/>
    <w:basedOn w:val="List5"/>
    <w:rsid w:val="00C410A2"/>
    <w:pPr>
      <w:numPr>
        <w:numId w:val="4"/>
      </w:numPr>
    </w:pPr>
  </w:style>
  <w:style w:type="paragraph" w:styleId="ListContinue2">
    <w:name w:val="List Continue 2"/>
    <w:basedOn w:val="List2"/>
    <w:rsid w:val="00C410A2"/>
    <w:pPr>
      <w:ind w:firstLine="0"/>
    </w:pPr>
  </w:style>
  <w:style w:type="paragraph" w:styleId="ListContinue3">
    <w:name w:val="List Continue 3"/>
    <w:basedOn w:val="List3"/>
    <w:rsid w:val="00C410A2"/>
    <w:pPr>
      <w:ind w:left="1021" w:firstLine="0"/>
    </w:pPr>
  </w:style>
  <w:style w:type="paragraph" w:styleId="ListContinue4">
    <w:name w:val="List Continue 4"/>
    <w:basedOn w:val="List4"/>
    <w:rsid w:val="00C410A2"/>
    <w:pPr>
      <w:ind w:firstLine="0"/>
    </w:pPr>
  </w:style>
  <w:style w:type="paragraph" w:styleId="ListContinue5">
    <w:name w:val="List Continue 5"/>
    <w:basedOn w:val="List5"/>
    <w:rsid w:val="00C410A2"/>
    <w:pPr>
      <w:ind w:firstLine="0"/>
    </w:pPr>
  </w:style>
  <w:style w:type="paragraph" w:styleId="ListNumber3">
    <w:name w:val="List Number 3"/>
    <w:basedOn w:val="List3"/>
    <w:rsid w:val="00C410A2"/>
    <w:pPr>
      <w:numPr>
        <w:numId w:val="5"/>
      </w:numPr>
    </w:pPr>
  </w:style>
  <w:style w:type="paragraph" w:styleId="ListNumber4">
    <w:name w:val="List Number 4"/>
    <w:basedOn w:val="List4"/>
    <w:rsid w:val="00C410A2"/>
    <w:pPr>
      <w:numPr>
        <w:numId w:val="6"/>
      </w:numPr>
    </w:pPr>
  </w:style>
  <w:style w:type="paragraph" w:styleId="ListNumber5">
    <w:name w:val="List Number 5"/>
    <w:basedOn w:val="List5"/>
    <w:rsid w:val="00C410A2"/>
    <w:pPr>
      <w:numPr>
        <w:numId w:val="7"/>
      </w:numPr>
    </w:pPr>
  </w:style>
  <w:style w:type="paragraph" w:styleId="BlockText">
    <w:name w:val="Block Text"/>
    <w:basedOn w:val="Normal"/>
    <w:rsid w:val="00C410A2"/>
    <w:pPr>
      <w:spacing w:after="120"/>
      <w:ind w:left="1440" w:right="1440"/>
    </w:pPr>
  </w:style>
  <w:style w:type="character" w:customStyle="1" w:styleId="Subscript">
    <w:name w:val="Subscript"/>
    <w:basedOn w:val="DefaultParagraphFont"/>
    <w:rsid w:val="00C410A2"/>
    <w:rPr>
      <w:sz w:val="16"/>
      <w:vertAlign w:val="subscript"/>
    </w:rPr>
  </w:style>
  <w:style w:type="character" w:customStyle="1" w:styleId="Superscript">
    <w:name w:val="Superscript"/>
    <w:basedOn w:val="DefaultParagraphFont"/>
    <w:rsid w:val="00C410A2"/>
    <w:rPr>
      <w:sz w:val="16"/>
      <w:vertAlign w:val="superscript"/>
    </w:rPr>
  </w:style>
  <w:style w:type="character" w:customStyle="1" w:styleId="Symbols">
    <w:name w:val="Symbols"/>
    <w:basedOn w:val="DefaultParagraphFont"/>
    <w:rsid w:val="00C410A2"/>
    <w:rPr>
      <w:rFonts w:ascii="Symbol" w:hAnsi="Symbol"/>
    </w:rPr>
  </w:style>
  <w:style w:type="character" w:customStyle="1" w:styleId="MenuOptions">
    <w:name w:val="Menu Options"/>
    <w:basedOn w:val="DefaultParagraphFont"/>
    <w:rsid w:val="00C410A2"/>
    <w:rPr>
      <w:rFonts w:ascii="Arial Narrow" w:hAnsi="Arial Narrow"/>
      <w:smallCaps/>
    </w:rPr>
  </w:style>
  <w:style w:type="character" w:customStyle="1" w:styleId="Buttons">
    <w:name w:val="Buttons"/>
    <w:basedOn w:val="DefaultParagraphFont"/>
    <w:rsid w:val="00C410A2"/>
    <w:rPr>
      <w:b/>
    </w:rPr>
  </w:style>
  <w:style w:type="character" w:customStyle="1" w:styleId="Underlined">
    <w:name w:val="Underlined"/>
    <w:basedOn w:val="DefaultParagraphFont"/>
    <w:rsid w:val="00C410A2"/>
    <w:rPr>
      <w:u w:val="single"/>
    </w:rPr>
  </w:style>
  <w:style w:type="paragraph" w:customStyle="1" w:styleId="TableBodyTextRight">
    <w:name w:val="Table Body Text Right"/>
    <w:basedOn w:val="TableBodyText"/>
    <w:rsid w:val="00C410A2"/>
    <w:pPr>
      <w:widowControl w:val="0"/>
      <w:autoSpaceDE w:val="0"/>
      <w:autoSpaceDN w:val="0"/>
      <w:adjustRightInd w:val="0"/>
      <w:jc w:val="right"/>
    </w:pPr>
    <w:rPr>
      <w:rFonts w:cs="Arial"/>
      <w:szCs w:val="18"/>
    </w:rPr>
  </w:style>
  <w:style w:type="paragraph" w:customStyle="1" w:styleId="CopyrightText">
    <w:name w:val="Copyright Text"/>
    <w:basedOn w:val="BodyText"/>
    <w:rsid w:val="00C410A2"/>
    <w:rPr>
      <w:sz w:val="18"/>
    </w:rPr>
  </w:style>
  <w:style w:type="paragraph" w:customStyle="1" w:styleId="BodySmallRight">
    <w:name w:val="Body Small Right"/>
    <w:basedOn w:val="BodyTextRight"/>
    <w:rsid w:val="00C410A2"/>
    <w:rPr>
      <w:sz w:val="18"/>
      <w:szCs w:val="18"/>
    </w:rPr>
  </w:style>
  <w:style w:type="paragraph" w:customStyle="1" w:styleId="MarginEdition">
    <w:name w:val="Margin Edition"/>
    <w:basedOn w:val="MarginNote"/>
    <w:rsid w:val="00C410A2"/>
    <w:pPr>
      <w:spacing w:before="0" w:after="0"/>
    </w:pPr>
    <w:rPr>
      <w:rFonts w:ascii="Times New Roman" w:hAnsi="Times New Roman"/>
      <w:color w:val="999999"/>
    </w:rPr>
  </w:style>
  <w:style w:type="paragraph" w:customStyle="1" w:styleId="Spacer">
    <w:name w:val="Spacer"/>
    <w:basedOn w:val="Normal"/>
    <w:rsid w:val="00C410A2"/>
    <w:rPr>
      <w:sz w:val="2"/>
      <w:szCs w:val="2"/>
    </w:rPr>
  </w:style>
  <w:style w:type="character" w:customStyle="1" w:styleId="Small">
    <w:name w:val="Small"/>
    <w:basedOn w:val="DefaultParagraphFont"/>
    <w:rsid w:val="00C410A2"/>
    <w:rPr>
      <w:sz w:val="16"/>
    </w:rPr>
  </w:style>
  <w:style w:type="paragraph" w:customStyle="1" w:styleId="WideTable">
    <w:name w:val="Wide Table"/>
    <w:basedOn w:val="Normal"/>
    <w:rsid w:val="00C410A2"/>
    <w:pPr>
      <w:ind w:left="-1418"/>
    </w:pPr>
    <w:rPr>
      <w:sz w:val="2"/>
      <w:szCs w:val="2"/>
    </w:rPr>
  </w:style>
  <w:style w:type="character" w:styleId="PageNumber">
    <w:name w:val="page number"/>
    <w:basedOn w:val="DefaultParagraphFont"/>
    <w:rsid w:val="00C410A2"/>
  </w:style>
  <w:style w:type="paragraph" w:styleId="Quote">
    <w:name w:val="Quote"/>
    <w:basedOn w:val="Heading1"/>
    <w:link w:val="QuoteChar"/>
    <w:qFormat/>
    <w:rsid w:val="00C410A2"/>
    <w:rPr>
      <w:b w:val="0"/>
      <w:sz w:val="72"/>
      <w:szCs w:val="72"/>
      <w:lang w:val="en-NZ"/>
    </w:rPr>
  </w:style>
  <w:style w:type="character" w:customStyle="1" w:styleId="QuoteChar">
    <w:name w:val="Quote Char"/>
    <w:basedOn w:val="DefaultParagraphFont"/>
    <w:link w:val="Quote"/>
    <w:rsid w:val="00C41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0A2"/>
    <w:pPr>
      <w:pageBreakBefore/>
    </w:pPr>
  </w:style>
  <w:style w:type="paragraph" w:customStyle="1" w:styleId="Border">
    <w:name w:val="Border"/>
    <w:basedOn w:val="Normal"/>
    <w:qFormat/>
    <w:rsid w:val="00C41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0A2"/>
    <w:rPr>
      <w:b/>
      <w:bCs/>
      <w:i/>
      <w:iCs/>
      <w:color w:val="auto"/>
    </w:rPr>
  </w:style>
  <w:style w:type="paragraph" w:styleId="IntenseQuote">
    <w:name w:val="Intense Quote"/>
    <w:basedOn w:val="Normal"/>
    <w:next w:val="Normal"/>
    <w:link w:val="IntenseQuoteChar"/>
    <w:uiPriority w:val="30"/>
    <w:qFormat/>
    <w:rsid w:val="00C41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0A2"/>
    <w:rPr>
      <w:smallCaps/>
      <w:color w:val="auto"/>
      <w:u w:val="single"/>
    </w:rPr>
  </w:style>
  <w:style w:type="character" w:styleId="IntenseReference">
    <w:name w:val="Intense Reference"/>
    <w:basedOn w:val="DefaultParagraphFont"/>
    <w:uiPriority w:val="32"/>
    <w:qFormat/>
    <w:rsid w:val="00C410A2"/>
    <w:rPr>
      <w:b/>
      <w:bCs/>
      <w:smallCaps/>
      <w:color w:val="auto"/>
      <w:spacing w:val="5"/>
      <w:u w:val="single"/>
    </w:rPr>
  </w:style>
  <w:style w:type="paragraph" w:customStyle="1" w:styleId="2ColumnHeading">
    <w:name w:val="2Column Heading"/>
    <w:basedOn w:val="BodyText"/>
    <w:qFormat/>
    <w:rsid w:val="00C410A2"/>
    <w:pPr>
      <w:spacing w:after="60"/>
      <w:ind w:left="-2268"/>
    </w:pPr>
    <w:rPr>
      <w:b/>
    </w:rPr>
  </w:style>
  <w:style w:type="paragraph" w:customStyle="1" w:styleId="Heading1TOC">
    <w:name w:val="Heading1 TOC"/>
    <w:basedOn w:val="Normal"/>
    <w:qFormat/>
    <w:rsid w:val="00C410A2"/>
    <w:pPr>
      <w:spacing w:before="240" w:after="120"/>
    </w:pPr>
    <w:rPr>
      <w:rFonts w:ascii="Times New Roman" w:hAnsi="Times New Roman"/>
      <w:b/>
      <w:sz w:val="32"/>
    </w:rPr>
  </w:style>
  <w:style w:type="paragraph" w:customStyle="1" w:styleId="Heading2TOC">
    <w:name w:val="Heading2 TOC"/>
    <w:basedOn w:val="Normal"/>
    <w:qFormat/>
    <w:rsid w:val="00C410A2"/>
    <w:pPr>
      <w:spacing w:before="240" w:after="60"/>
    </w:pPr>
    <w:rPr>
      <w:rFonts w:ascii="Times New Roman" w:hAnsi="Times New Roman"/>
      <w:b/>
      <w:sz w:val="28"/>
    </w:rPr>
  </w:style>
  <w:style w:type="character" w:customStyle="1" w:styleId="Underline">
    <w:name w:val="Underline"/>
    <w:basedOn w:val="DefaultParagraphFont"/>
    <w:qFormat/>
    <w:rsid w:val="00C410A2"/>
    <w:rPr>
      <w:u w:val="single"/>
    </w:rPr>
  </w:style>
  <w:style w:type="character" w:customStyle="1" w:styleId="BoldandItalics">
    <w:name w:val="Bold and Italics"/>
    <w:qFormat/>
    <w:rsid w:val="00C410A2"/>
    <w:rPr>
      <w:b/>
      <w:i/>
      <w:u w:val="none"/>
    </w:rPr>
  </w:style>
  <w:style w:type="paragraph" w:styleId="BalloonText">
    <w:name w:val="Balloon Text"/>
    <w:basedOn w:val="Normal"/>
    <w:link w:val="BalloonTextChar"/>
    <w:rsid w:val="00C410A2"/>
    <w:rPr>
      <w:rFonts w:ascii="Tahoma" w:hAnsi="Tahoma" w:cs="Tahoma"/>
      <w:sz w:val="16"/>
      <w:szCs w:val="16"/>
    </w:rPr>
  </w:style>
  <w:style w:type="character" w:customStyle="1" w:styleId="BalloonTextChar">
    <w:name w:val="Balloon Text Char"/>
    <w:basedOn w:val="DefaultParagraphFont"/>
    <w:link w:val="BalloonText"/>
    <w:rsid w:val="00C41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0A2"/>
    <w:rPr>
      <w:b/>
      <w:color w:val="660033"/>
      <w:spacing w:val="0"/>
    </w:rPr>
  </w:style>
  <w:style w:type="paragraph" w:customStyle="1" w:styleId="Nameditemlist">
    <w:name w:val="Named item list"/>
    <w:basedOn w:val="BodyText"/>
    <w:qFormat/>
    <w:rsid w:val="00C410A2"/>
    <w:pPr>
      <w:tabs>
        <w:tab w:val="left" w:pos="2835"/>
      </w:tabs>
      <w:ind w:left="2835" w:hanging="2835"/>
    </w:pPr>
  </w:style>
  <w:style w:type="paragraph" w:customStyle="1" w:styleId="BodyTextnopadding">
    <w:name w:val="Body Text no padding"/>
    <w:basedOn w:val="BodyText"/>
    <w:qFormat/>
    <w:rsid w:val="00C410A2"/>
    <w:pPr>
      <w:spacing w:before="0" w:after="0"/>
    </w:pPr>
  </w:style>
  <w:style w:type="paragraph" w:customStyle="1" w:styleId="BodyTextBold">
    <w:name w:val="Body Text Bold"/>
    <w:basedOn w:val="BodyText"/>
    <w:qFormat/>
    <w:rsid w:val="00C410A2"/>
    <w:rPr>
      <w:b/>
    </w:rPr>
  </w:style>
  <w:style w:type="character" w:styleId="Hyperlink">
    <w:name w:val="Hyperlink"/>
    <w:basedOn w:val="DefaultParagraphFont"/>
    <w:uiPriority w:val="99"/>
    <w:unhideWhenUsed/>
    <w:rsid w:val="008277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1364</Words>
  <Characters>8648</Characters>
  <Application>Microsoft Office Word</Application>
  <DocSecurity>0</DocSecurity>
  <Lines>210</Lines>
  <Paragraphs>143</Paragraphs>
  <ScaleCrop>false</ScaleCrop>
  <Company>Author-it Software Corporation Ltd.</Company>
  <LinksUpToDate>false</LinksUpToDate>
  <CharactersWithSpaces>9869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CPPSEC3103 Determine and implement response to security risk situation</dc:title>
  <dc:subject>Approved</dc:subject>
  <dc:creator>BuildSkills Australia</dc:creator>
  <cp:keywords>Release: 1</cp:keywords>
  <dc:description>Review Date: 12 April 2008</dc:description>
  <cp:lastModifiedBy>HSD_TPCMSd.prod</cp:lastModifiedBy>
  <cp:revision>3</cp:revision>
  <dcterms:created xsi:type="dcterms:W3CDTF">2025-03-01T14:21:00Z</dcterms:created>
  <dcterms:modified xsi:type="dcterms:W3CDTF">2025-03-01T14:21:00Z</dcterms:modified>
</cp:coreProperties>
</file>