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AC5" w:rsidP="00163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CPPSEC3103 Determine and implement response to security risk situation</w:t>
      </w:r>
      <w:r>
        <w:fldChar w:fldCharType="end"/>
      </w:r>
    </w:p>
    <w:p w:rsidR="00163AC5" w:rsidP="00163AC5">
      <w:pPr>
        <w:pStyle w:val="Version"/>
        <w:sectPr w:rsidSect="005B7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199" w:rsidP="005B7199">
      <w:pPr>
        <w:pStyle w:val="SuperHeading"/>
      </w:pPr>
      <w:r w:rsidRPr="005B7199">
        <w:t>Assessment Requirements for CPPSEC3103 Determine and implement response to security risk situation</w:t>
      </w:r>
    </w:p>
    <w:p w:rsidR="00000000" w:rsidRPr="005B7199" w:rsidP="005B7199">
      <w:pPr>
        <w:pStyle w:val="Heading1"/>
      </w:pPr>
      <w:bookmarkStart w:id="1" w:name="O_1008989"/>
      <w:bookmarkEnd w:id="1"/>
      <w:r w:rsidRPr="005B7199">
        <w:t>Modification History</w:t>
      </w:r>
    </w:p>
    <w:p w:rsidR="00000000" w:rsidRPr="005B7199" w:rsidP="00163AC5">
      <w:r w:rsidRPr="005B7199">
        <w:t>Release 1.</w:t>
      </w:r>
    </w:p>
    <w:p w:rsidR="00000000" w:rsidRPr="005B7199" w:rsidP="00163AC5">
      <w:r w:rsidRPr="005B7199">
        <w:t>Supersedes and is equivalent to CPPSEC3003A Determine response to security risk situation.</w:t>
      </w:r>
    </w:p>
    <w:p w:rsidR="00000000" w:rsidRPr="005B7199" w:rsidP="00163AC5">
      <w:r w:rsidRPr="005B7199">
        <w:t>Updated to meet the Standards for Training Packages.</w:t>
      </w:r>
    </w:p>
    <w:p w:rsidR="00000000" w:rsidRPr="005B7199" w:rsidP="00163AC5">
      <w:r w:rsidRPr="005B7199">
        <w:t>This version first released with CPP Property Services Training Package Version 7.0.</w:t>
      </w:r>
    </w:p>
    <w:p w:rsidR="00000000" w:rsidRPr="005B7199" w:rsidP="005B7199">
      <w:pPr>
        <w:pStyle w:val="Heading1"/>
      </w:pPr>
      <w:bookmarkStart w:id="2" w:name="O_1008992"/>
      <w:bookmarkEnd w:id="2"/>
      <w:r w:rsidRPr="005B7199">
        <w:t>Performance Evidence</w:t>
      </w:r>
    </w:p>
    <w:p w:rsidR="00000000" w:rsidRPr="005B7199" w:rsidP="00163AC5">
      <w:pPr>
        <w:pStyle w:val="BodyText"/>
      </w:pPr>
      <w:r w:rsidRPr="005B7199">
        <w:t xml:space="preserve">To demonstrate competency in this unit, a person must determine and implement </w:t>
      </w:r>
      <w:r w:rsidRPr="005B7199">
        <w:t>responses to three different security risk situations.</w:t>
      </w:r>
    </w:p>
    <w:p w:rsidR="00000000" w:rsidRPr="005B7199" w:rsidP="00163AC5">
      <w:pPr>
        <w:pStyle w:val="BodyText"/>
      </w:pPr>
      <w:r w:rsidRPr="005B7199">
        <w:t>In doing this, the person must meet the performance criteria for this unit.</w:t>
      </w:r>
    </w:p>
    <w:p w:rsidR="00000000" w:rsidRPr="005B7199" w:rsidP="005B7199">
      <w:pPr>
        <w:pStyle w:val="Heading1"/>
      </w:pPr>
      <w:bookmarkStart w:id="3" w:name="O_1008991"/>
      <w:bookmarkEnd w:id="3"/>
      <w:r w:rsidRPr="005B7199">
        <w:t>Knowledge Evidence</w:t>
      </w:r>
    </w:p>
    <w:p w:rsidR="00000000" w:rsidRPr="005B7199" w:rsidP="00163AC5">
      <w:pPr>
        <w:pStyle w:val="BodyText"/>
      </w:pPr>
      <w:r w:rsidRPr="005B7199">
        <w:t>To be competent in this unit, a person must demonstrate knowledge of:</w:t>
      </w:r>
    </w:p>
    <w:p w:rsidR="00000000" w:rsidRPr="005B7199" w:rsidP="005B7199">
      <w:pPr>
        <w:pStyle w:val="ListBullet"/>
      </w:pPr>
      <w:r w:rsidRPr="005B7199">
        <w:t>standard operati</w:t>
      </w:r>
      <w:r w:rsidRPr="005B7199">
        <w:t>ng procedures and workplace policies that ensure compliance with legislative and regulatory requirements when determining and implementing responses to security risk situations:</w:t>
      </w:r>
    </w:p>
    <w:p w:rsidR="00000000" w:rsidRPr="005B7199" w:rsidP="005B7199">
      <w:pPr>
        <w:pStyle w:val="ListBullet2"/>
      </w:pPr>
      <w:r w:rsidRPr="005B7199">
        <w:t>anti-discrimination and diversity</w:t>
      </w:r>
    </w:p>
    <w:p w:rsidR="00000000" w:rsidRPr="005B7199" w:rsidP="005B7199">
      <w:pPr>
        <w:pStyle w:val="ListBullet2"/>
      </w:pPr>
      <w:r w:rsidRPr="005B7199">
        <w:t>apprehension, arrest and restraint of persons</w:t>
      </w:r>
    </w:p>
    <w:p w:rsidR="00000000" w:rsidRPr="005B7199" w:rsidP="005B7199">
      <w:pPr>
        <w:pStyle w:val="ListBullet2"/>
      </w:pPr>
      <w:r w:rsidRPr="005B7199">
        <w:t>counter terrorism</w:t>
      </w:r>
    </w:p>
    <w:p w:rsidR="00000000" w:rsidRPr="005B7199" w:rsidP="005B7199">
      <w:pPr>
        <w:pStyle w:val="ListBullet2"/>
      </w:pPr>
      <w:r w:rsidRPr="005B7199">
        <w:t>crowd control and control of persons under the influence of intoxicating substances</w:t>
      </w:r>
    </w:p>
    <w:p w:rsidR="00000000" w:rsidRPr="005B7199" w:rsidP="005B7199">
      <w:pPr>
        <w:pStyle w:val="ListBullet2"/>
      </w:pPr>
      <w:r w:rsidRPr="005B7199">
        <w:t>duty of care</w:t>
      </w:r>
    </w:p>
    <w:p w:rsidR="00000000" w:rsidRPr="005B7199" w:rsidP="005B7199">
      <w:pPr>
        <w:pStyle w:val="ListBullet2"/>
      </w:pPr>
      <w:r w:rsidRPr="005B7199">
        <w:t>licensing requirements and limits of own authority</w:t>
      </w:r>
    </w:p>
    <w:p w:rsidR="00000000" w:rsidRPr="005B7199" w:rsidP="005B7199">
      <w:pPr>
        <w:pStyle w:val="ListBullet2"/>
      </w:pPr>
      <w:r w:rsidRPr="005B7199">
        <w:t>trespass and the removal of persons</w:t>
      </w:r>
    </w:p>
    <w:p w:rsidR="00000000" w:rsidRPr="005B7199" w:rsidP="005B7199">
      <w:pPr>
        <w:pStyle w:val="ListBullet2"/>
      </w:pPr>
      <w:r w:rsidRPr="005B7199">
        <w:t>use of f</w:t>
      </w:r>
      <w:r w:rsidRPr="005B7199">
        <w:t>orce</w:t>
      </w:r>
    </w:p>
    <w:p w:rsidR="00000000" w:rsidRPr="005B7199" w:rsidP="005B7199">
      <w:pPr>
        <w:pStyle w:val="ListBullet"/>
      </w:pPr>
      <w:r w:rsidRPr="005B7199">
        <w:t>workplace health and safety (WHS)</w:t>
      </w:r>
    </w:p>
    <w:p w:rsidR="00000000" w:rsidRPr="005B7199" w:rsidP="005B7199">
      <w:pPr>
        <w:pStyle w:val="ListBullet"/>
      </w:pPr>
      <w:r w:rsidRPr="005B7199">
        <w:t>approved communication terminology, call signs and radio channels used in the security industry</w:t>
      </w:r>
    </w:p>
    <w:p w:rsidR="00000000" w:rsidRPr="005B7199" w:rsidP="005B7199">
      <w:pPr>
        <w:pStyle w:val="ListBullet"/>
      </w:pPr>
      <w:r w:rsidRPr="005B7199">
        <w:t>crowd behaviour, dynamics and movement patterns that can threaten security</w:t>
      </w:r>
    </w:p>
    <w:p w:rsidR="00000000" w:rsidRPr="005B7199" w:rsidP="005B7199">
      <w:pPr>
        <w:pStyle w:val="ListBullet"/>
      </w:pPr>
      <w:r w:rsidRPr="005B7199">
        <w:t>current national terrorism threat level and c</w:t>
      </w:r>
      <w:r w:rsidRPr="005B7199">
        <w:t>ontext</w:t>
      </w:r>
    </w:p>
    <w:p w:rsidR="00000000" w:rsidRPr="005B7199" w:rsidP="005B7199">
      <w:pPr>
        <w:pStyle w:val="ListBullet"/>
      </w:pPr>
      <w:r w:rsidRPr="005B7199">
        <w:t>empty hand techniques</w:t>
      </w:r>
    </w:p>
    <w:p w:rsidR="00000000" w:rsidRPr="005B7199" w:rsidP="005B7199">
      <w:pPr>
        <w:pStyle w:val="ListBullet"/>
      </w:pPr>
      <w:r w:rsidRPr="005B7199">
        <w:t>factors that may indicate escalation of conflict or risk and situations requiring specialist assistance</w:t>
      </w:r>
    </w:p>
    <w:p w:rsidR="00000000" w:rsidRPr="005B7199" w:rsidP="005B7199">
      <w:pPr>
        <w:pStyle w:val="ListBullet"/>
      </w:pPr>
      <w:r w:rsidRPr="005B7199">
        <w:t>methods and reasons for securing and preserving an incident or crime scene</w:t>
      </w:r>
    </w:p>
    <w:p w:rsidR="00000000" w:rsidRPr="005B7199" w:rsidP="005B7199">
      <w:pPr>
        <w:pStyle w:val="ListBullet"/>
      </w:pPr>
      <w:r w:rsidRPr="005B7199">
        <w:t>methods for preserving, maintaining, storing and</w:t>
      </w:r>
      <w:r w:rsidRPr="005B7199">
        <w:t xml:space="preserve"> transporting evidence and exhibits that may be used in court</w:t>
      </w:r>
    </w:p>
    <w:p w:rsidR="00000000" w:rsidRPr="005B7199" w:rsidP="005B7199">
      <w:pPr>
        <w:pStyle w:val="ListBullet"/>
      </w:pPr>
      <w:r w:rsidRPr="005B7199">
        <w:t>negotiation techniques and how they can be used to defuse and resolve conflict</w:t>
      </w:r>
    </w:p>
    <w:p w:rsidR="00000000" w:rsidRPr="005B7199" w:rsidP="005B7199">
      <w:pPr>
        <w:pStyle w:val="ListBullet"/>
      </w:pPr>
      <w:r w:rsidRPr="005B7199">
        <w:t>procedures for communicating and collaborating with emergency services</w:t>
      </w:r>
    </w:p>
    <w:p w:rsidR="00000000" w:rsidRPr="005B7199" w:rsidP="005B7199">
      <w:pPr>
        <w:pStyle w:val="ListBullet"/>
      </w:pPr>
      <w:r w:rsidRPr="005B7199">
        <w:t>process of dynamic risk assessment and how it is applied</w:t>
      </w:r>
    </w:p>
    <w:p w:rsidR="00000000" w:rsidRPr="005B7199" w:rsidP="005B7199">
      <w:pPr>
        <w:pStyle w:val="ListBullet"/>
      </w:pPr>
      <w:r w:rsidRPr="005B7199">
        <w:t>purpose of Australia</w:t>
      </w:r>
      <w:r>
        <w:t>’</w:t>
      </w:r>
      <w:r w:rsidRPr="005B7199">
        <w:t xml:space="preserve">s </w:t>
      </w:r>
      <w:r w:rsidRPr="005B7199">
        <w:rPr>
          <w:rStyle w:val="Emphasis"/>
        </w:rPr>
        <w:t>Strategy for Protecting Crowded Places from Terrorism</w:t>
      </w:r>
      <w:r w:rsidRPr="005B7199">
        <w:t xml:space="preserve"> and understanding of:</w:t>
      </w:r>
    </w:p>
    <w:p w:rsidR="00000000" w:rsidRPr="005B7199" w:rsidP="005B7199">
      <w:pPr>
        <w:pStyle w:val="ListBullet2"/>
      </w:pPr>
      <w:r w:rsidRPr="005B7199">
        <w:t>definition of crowded places</w:t>
      </w:r>
    </w:p>
    <w:p w:rsidR="00000000" w:rsidRPr="005B7199" w:rsidP="005B7199">
      <w:pPr>
        <w:pStyle w:val="ListBullet2"/>
      </w:pPr>
      <w:r w:rsidRPr="005B7199">
        <w:t>key security issues for crowded places</w:t>
      </w:r>
    </w:p>
    <w:p w:rsidR="00000000" w:rsidRPr="005B7199" w:rsidP="005B7199">
      <w:pPr>
        <w:pStyle w:val="ListBullet2"/>
      </w:pPr>
      <w:r w:rsidRPr="005B7199">
        <w:t>objectives, characteristics and</w:t>
      </w:r>
      <w:r w:rsidRPr="005B7199">
        <w:t xml:space="preserve"> identification of active armed offenders</w:t>
      </w:r>
    </w:p>
    <w:p w:rsidR="00000000" w:rsidRPr="005B7199" w:rsidP="005B7199">
      <w:pPr>
        <w:pStyle w:val="ListBullet2"/>
      </w:pPr>
      <w:r w:rsidRPr="005B7199">
        <w:t>definition of hostile vehicles and methods of attack</w:t>
      </w:r>
    </w:p>
    <w:p w:rsidR="00000000" w:rsidRPr="005B7199" w:rsidP="005B7199">
      <w:pPr>
        <w:pStyle w:val="ListBullet2"/>
      </w:pPr>
      <w:r w:rsidRPr="005B7199">
        <w:t>signs of chemical weapons attack and recommended response</w:t>
      </w:r>
    </w:p>
    <w:p w:rsidR="00000000" w:rsidRPr="005B7199" w:rsidP="005B7199">
      <w:pPr>
        <w:pStyle w:val="ListBullet2"/>
      </w:pPr>
      <w:r w:rsidRPr="005B7199">
        <w:t>general features of improvised explosive devices and recommended incident response</w:t>
      </w:r>
    </w:p>
    <w:p w:rsidR="00000000" w:rsidRPr="005B7199" w:rsidP="005B7199">
      <w:pPr>
        <w:pStyle w:val="ListBullet"/>
      </w:pPr>
      <w:r w:rsidRPr="005B7199">
        <w:t>signs of possible h</w:t>
      </w:r>
      <w:r w:rsidRPr="005B7199">
        <w:t>arassment or assault</w:t>
      </w:r>
    </w:p>
    <w:p w:rsidR="00000000" w:rsidRPr="005B7199" w:rsidP="005B7199">
      <w:pPr>
        <w:pStyle w:val="ListBullet"/>
      </w:pPr>
      <w:r w:rsidRPr="005B7199">
        <w:t>site emergency and evacuation plans and procedures</w:t>
      </w:r>
    </w:p>
    <w:p w:rsidR="00000000" w:rsidRPr="005B7199" w:rsidP="005B7199">
      <w:pPr>
        <w:pStyle w:val="ListBullet"/>
      </w:pPr>
      <w:r w:rsidRPr="005B7199">
        <w:t>the phonetic alphabet and how it is used</w:t>
      </w:r>
    </w:p>
    <w:p w:rsidR="00000000" w:rsidRPr="005B7199" w:rsidP="005B7199">
      <w:pPr>
        <w:pStyle w:val="ListBullet"/>
      </w:pPr>
      <w:r w:rsidRPr="005B7199">
        <w:t>types of behavioural anomalies and suspect behaviours that can indicate criminal activity, hostile reconnaissance or the potential for terroris</w:t>
      </w:r>
      <w:r w:rsidRPr="005B7199">
        <w:t>t activity</w:t>
      </w:r>
    </w:p>
    <w:p w:rsidR="00000000" w:rsidRPr="005B7199" w:rsidP="005B7199">
      <w:pPr>
        <w:pStyle w:val="ListBullet"/>
      </w:pPr>
      <w:r w:rsidRPr="005B7199">
        <w:t>types of behaviours and non-verbal language that can escalate conflict or incite aggressive or hostile responses from others</w:t>
      </w:r>
    </w:p>
    <w:p w:rsidR="00000000" w:rsidRPr="005B7199" w:rsidP="005B7199">
      <w:pPr>
        <w:pStyle w:val="ListBullet"/>
      </w:pPr>
      <w:r w:rsidRPr="005B7199">
        <w:t>types of security risk situations and response options for each including:</w:t>
      </w:r>
    </w:p>
    <w:p w:rsidR="00000000" w:rsidRPr="005B7199" w:rsidP="005B7199">
      <w:pPr>
        <w:pStyle w:val="ListBullet2"/>
      </w:pPr>
      <w:r w:rsidRPr="005B7199">
        <w:t>persons acting suspiciously</w:t>
      </w:r>
    </w:p>
    <w:p w:rsidR="00000000" w:rsidRPr="005B7199" w:rsidP="005B7199">
      <w:pPr>
        <w:pStyle w:val="ListBullet2"/>
      </w:pPr>
      <w:r w:rsidRPr="005B7199">
        <w:t>persons carrying weapons</w:t>
      </w:r>
    </w:p>
    <w:p w:rsidR="00000000" w:rsidRPr="005B7199" w:rsidP="005B7199">
      <w:pPr>
        <w:pStyle w:val="ListBullet2"/>
      </w:pPr>
      <w:r w:rsidRPr="005B7199">
        <w:t>persons suffering from emotional or physical distress</w:t>
      </w:r>
    </w:p>
    <w:p w:rsidR="00000000" w:rsidRPr="005B7199" w:rsidP="005B7199">
      <w:pPr>
        <w:pStyle w:val="ListBullet2"/>
      </w:pPr>
      <w:r w:rsidRPr="005B7199">
        <w:t>persons under the influence of intoxicating substances</w:t>
      </w:r>
    </w:p>
    <w:p w:rsidR="00000000" w:rsidRPr="005B7199" w:rsidP="005B7199">
      <w:pPr>
        <w:pStyle w:val="ListBullet2"/>
      </w:pPr>
      <w:r w:rsidRPr="005B7199">
        <w:t>persons, vehicles or equipment in unsuitable locations</w:t>
      </w:r>
    </w:p>
    <w:p w:rsidR="00000000" w:rsidRPr="005B7199" w:rsidP="005B7199">
      <w:pPr>
        <w:pStyle w:val="ListBullet2"/>
      </w:pPr>
      <w:r w:rsidRPr="005B7199">
        <w:t>presence of biological hazards or chemical spills</w:t>
      </w:r>
    </w:p>
    <w:p w:rsidR="00000000" w:rsidRPr="005B7199" w:rsidP="005B7199">
      <w:pPr>
        <w:pStyle w:val="ListBullet2"/>
      </w:pPr>
      <w:r w:rsidRPr="005B7199">
        <w:t>potential terrori</w:t>
      </w:r>
      <w:r w:rsidRPr="005B7199">
        <w:t>st activity including the suspected presence of explosives, suspicious packages, bags or substances</w:t>
      </w:r>
    </w:p>
    <w:p w:rsidR="00000000" w:rsidRPr="005B7199" w:rsidP="005B7199">
      <w:pPr>
        <w:pStyle w:val="ListBullet"/>
      </w:pPr>
      <w:r w:rsidRPr="005B7199">
        <w:t>ways that social and cultural differences may be expressed.</w:t>
      </w:r>
    </w:p>
    <w:p w:rsidR="00000000" w:rsidRPr="005B7199" w:rsidP="005B7199">
      <w:pPr>
        <w:pStyle w:val="AllowPageBreak"/>
      </w:pPr>
    </w:p>
    <w:p w:rsidR="00000000" w:rsidRPr="005B7199" w:rsidP="005B7199">
      <w:pPr>
        <w:pStyle w:val="Heading1"/>
      </w:pPr>
      <w:bookmarkStart w:id="4" w:name="O_1008990"/>
      <w:bookmarkEnd w:id="4"/>
      <w:r w:rsidRPr="005B7199">
        <w:t>Assessment Conditions</w:t>
      </w:r>
    </w:p>
    <w:p w:rsidR="00000000" w:rsidRPr="005B7199" w:rsidP="00163AC5">
      <w:pPr>
        <w:pStyle w:val="BodyText"/>
      </w:pPr>
      <w:r w:rsidRPr="005B7199">
        <w:t xml:space="preserve">Assessors must satisfy the requirements for assessors </w:t>
      </w:r>
      <w:r w:rsidRPr="005B7199">
        <w:t>contained in the Standards for Registered Training Organisations (RTOs).  All individuals engaged by a licensed RTO for security licensing purposes must hold both a security trainer’s licence (where such a licence exists within the relevant jurisdiction) a</w:t>
      </w:r>
      <w:r w:rsidRPr="005B7199">
        <w:t>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5B7199" w:rsidP="00163AC5">
      <w:pPr>
        <w:pStyle w:val="BodyText"/>
      </w:pPr>
      <w:r w:rsidRPr="005B7199">
        <w:t>Assessment of performance must be und</w:t>
      </w:r>
      <w:r w:rsidRPr="005B7199">
        <w:t>ertaken in a simulated workplace environment. Tasks are to be performed to the level of proficiency and within the time limits that would be expected in a workplace.</w:t>
      </w:r>
    </w:p>
    <w:p w:rsidR="00000000" w:rsidRPr="005B7199" w:rsidP="00163AC5">
      <w:pPr>
        <w:pStyle w:val="BodyText"/>
      </w:pPr>
      <w:r w:rsidRPr="005B7199">
        <w:t>The assessment of performance evidence must be done by direct observation of the learner b</w:t>
      </w:r>
      <w:r w:rsidRPr="005B7199">
        <w:t>y an assessor, either by an assessor observing the learner physically or by an assessor observing the learner via audio and visual media.</w:t>
      </w:r>
    </w:p>
    <w:p w:rsidR="00000000" w:rsidRPr="005B7199" w:rsidP="00163AC5">
      <w:pPr>
        <w:pStyle w:val="BodyText"/>
      </w:pPr>
      <w:r w:rsidRPr="005B7199">
        <w:t xml:space="preserve">Assessment of performance evidence is only valid where the learner has been assessed performing the role of a security officer. </w:t>
      </w:r>
    </w:p>
    <w:p w:rsidR="00000000" w:rsidRPr="005B7199" w:rsidP="00163AC5">
      <w:pPr>
        <w:pStyle w:val="BodyText"/>
      </w:pPr>
      <w:r w:rsidRPr="005B7199">
        <w:t>Assessors are responsible for ensuring that the person demonstrating competency has access to:</w:t>
      </w:r>
    </w:p>
    <w:p w:rsidR="00000000" w:rsidRPr="005B7199" w:rsidP="005B7199">
      <w:pPr>
        <w:pStyle w:val="ListBullet"/>
      </w:pPr>
      <w:r w:rsidRPr="005B7199">
        <w:t>specifications of assessment ta</w:t>
      </w:r>
      <w:r w:rsidRPr="005B7199">
        <w:t>sks to determine and implement responses to security risk situations</w:t>
      </w:r>
    </w:p>
    <w:p w:rsidR="00000000" w:rsidRPr="005B7199" w:rsidP="005B7199">
      <w:pPr>
        <w:pStyle w:val="ListBullet"/>
      </w:pPr>
      <w:r w:rsidRPr="005B7199">
        <w:t>appropriate documents, materials, equipment and personal protective equipment (PPE) currently used in industry</w:t>
      </w:r>
    </w:p>
    <w:p w:rsidR="00000000" w:rsidRPr="005B7199" w:rsidP="005B7199">
      <w:pPr>
        <w:pStyle w:val="ListBullet"/>
      </w:pPr>
      <w:r w:rsidRPr="005B7199">
        <w:t>standard operating procedures and workplace policies related to the security</w:t>
      </w:r>
      <w:r w:rsidRPr="005B7199">
        <w:t xml:space="preserve"> work role and which specify requirements for complying with industry legislation and regulations.</w:t>
      </w:r>
    </w:p>
    <w:p w:rsidR="00000000" w:rsidRPr="005B7199" w:rsidP="005B7199">
      <w:pPr>
        <w:pStyle w:val="AllowPageBreak"/>
      </w:pPr>
    </w:p>
    <w:p w:rsidR="00000000" w:rsidRPr="005B7199" w:rsidP="005B7199">
      <w:pPr>
        <w:pStyle w:val="Heading1"/>
      </w:pPr>
      <w:bookmarkStart w:id="5" w:name="O_1008988"/>
      <w:bookmarkEnd w:id="5"/>
      <w:r w:rsidRPr="005B7199">
        <w:t>Links</w:t>
      </w:r>
    </w:p>
    <w:p w:rsidR="00000000" w:rsidRPr="005B7199" w:rsidP="00163AC5">
      <w:pPr>
        <w:pStyle w:val="BodyText"/>
      </w:pPr>
      <w:r w:rsidRPr="005B719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66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B7199" w:rsidP="005B7199"/>
    <w:sectPr w:rsidSect="005B71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99" w:rsidRPr="00163AC5" w:rsidP="00163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C5" w:rsidP="005B7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AC5" w:rsidP="005B7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3AC5" w:rsidP="005B7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199" w:rsidRPr="00163AC5" w:rsidP="00163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C5" w:rsidRPr="002D2AF8" w:rsidP="005B7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CPPSEC3103 Determine and implement response to security risk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63AC5" w:rsidP="005B7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E42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C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69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199"/>
  </w:style>
  <w:style w:type="character" w:customStyle="1" w:styleId="Heading1Char">
    <w:name w:val="Heading 1 Char"/>
    <w:basedOn w:val="DefaultParagraphFont"/>
    <w:link w:val="Heading1"/>
    <w:rsid w:val="005B7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1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1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7199"/>
    <w:rPr>
      <w:i/>
    </w:rPr>
  </w:style>
  <w:style w:type="paragraph" w:customStyle="1" w:styleId="SuperHeading">
    <w:name w:val="SuperHeading"/>
    <w:basedOn w:val="Normal"/>
    <w:rsid w:val="005B7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199"/>
    <w:rPr>
      <w:b/>
      <w:spacing w:val="0"/>
    </w:rPr>
  </w:style>
  <w:style w:type="paragraph" w:customStyle="1" w:styleId="SuperTitle">
    <w:name w:val="SuperTitle"/>
    <w:basedOn w:val="Title"/>
    <w:rsid w:val="005B7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1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199"/>
  </w:style>
  <w:style w:type="paragraph" w:styleId="TableofFigures">
    <w:name w:val="table of figures"/>
    <w:basedOn w:val="Normal"/>
    <w:next w:val="Normal"/>
    <w:semiHidden/>
    <w:rsid w:val="005B7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1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199"/>
    <w:rPr>
      <w:rFonts w:ascii="Wingdings" w:hAnsi="Wingdings"/>
    </w:rPr>
  </w:style>
  <w:style w:type="paragraph" w:customStyle="1" w:styleId="TableHeading">
    <w:name w:val="Table Heading"/>
    <w:basedOn w:val="HeadingBase"/>
    <w:rsid w:val="005B7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199"/>
    <w:rPr>
      <w:color w:val="0033CC"/>
      <w:u w:val="none"/>
    </w:rPr>
  </w:style>
  <w:style w:type="paragraph" w:customStyle="1" w:styleId="BodyTextRight">
    <w:name w:val="Body Text Right"/>
    <w:basedOn w:val="BodyText"/>
    <w:rsid w:val="005B7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199"/>
    <w:rPr>
      <w:sz w:val="32"/>
    </w:rPr>
  </w:style>
  <w:style w:type="paragraph" w:customStyle="1" w:styleId="HeadingProcedure">
    <w:name w:val="Heading Procedure"/>
    <w:basedOn w:val="HeadingBase"/>
    <w:next w:val="Normal"/>
    <w:rsid w:val="005B7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199"/>
    <w:pPr>
      <w:spacing w:before="60" w:after="60"/>
    </w:pPr>
  </w:style>
  <w:style w:type="paragraph" w:styleId="ListContinue">
    <w:name w:val="List Continue"/>
    <w:basedOn w:val="List"/>
    <w:rsid w:val="005B7199"/>
    <w:pPr>
      <w:ind w:firstLine="0"/>
    </w:pPr>
  </w:style>
  <w:style w:type="paragraph" w:customStyle="1" w:styleId="ListNote">
    <w:name w:val="List Note"/>
    <w:basedOn w:val="List"/>
    <w:rsid w:val="005B7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199"/>
    <w:rPr>
      <w:rFonts w:ascii="Courier New" w:hAnsi="Courier New"/>
    </w:rPr>
  </w:style>
  <w:style w:type="paragraph" w:customStyle="1" w:styleId="NoteBullet">
    <w:name w:val="Note Bullet"/>
    <w:basedOn w:val="Note"/>
    <w:rsid w:val="005B7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1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199"/>
    <w:rPr>
      <w:b/>
      <w:smallCaps/>
    </w:rPr>
  </w:style>
  <w:style w:type="paragraph" w:customStyle="1" w:styleId="TableListNumber">
    <w:name w:val="Table List Number"/>
    <w:basedOn w:val="ListNumber"/>
    <w:rsid w:val="005B7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199"/>
    <w:pPr>
      <w:numPr>
        <w:numId w:val="9"/>
      </w:numPr>
    </w:pPr>
  </w:style>
  <w:style w:type="paragraph" w:customStyle="1" w:styleId="ListAlpha2">
    <w:name w:val="List Alpha 2"/>
    <w:basedOn w:val="List2"/>
    <w:rsid w:val="005B7199"/>
    <w:pPr>
      <w:numPr>
        <w:numId w:val="8"/>
      </w:numPr>
    </w:pPr>
  </w:style>
  <w:style w:type="paragraph" w:styleId="List2">
    <w:name w:val="List 2"/>
    <w:basedOn w:val="BodyText"/>
    <w:rsid w:val="005B7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1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199"/>
    <w:pPr>
      <w:numPr>
        <w:numId w:val="4"/>
      </w:numPr>
    </w:pPr>
  </w:style>
  <w:style w:type="paragraph" w:styleId="ListContinue2">
    <w:name w:val="List Continue 2"/>
    <w:basedOn w:val="List2"/>
    <w:rsid w:val="005B7199"/>
    <w:pPr>
      <w:ind w:firstLine="0"/>
    </w:pPr>
  </w:style>
  <w:style w:type="paragraph" w:styleId="ListContinue3">
    <w:name w:val="List Continue 3"/>
    <w:basedOn w:val="List3"/>
    <w:rsid w:val="005B7199"/>
    <w:pPr>
      <w:ind w:left="1021" w:firstLine="0"/>
    </w:pPr>
  </w:style>
  <w:style w:type="paragraph" w:styleId="ListContinue4">
    <w:name w:val="List Continue 4"/>
    <w:basedOn w:val="List4"/>
    <w:rsid w:val="005B7199"/>
    <w:pPr>
      <w:ind w:firstLine="0"/>
    </w:pPr>
  </w:style>
  <w:style w:type="paragraph" w:styleId="ListContinue5">
    <w:name w:val="List Continue 5"/>
    <w:basedOn w:val="List5"/>
    <w:rsid w:val="005B7199"/>
    <w:pPr>
      <w:ind w:firstLine="0"/>
    </w:pPr>
  </w:style>
  <w:style w:type="paragraph" w:styleId="ListNumber3">
    <w:name w:val="List Number 3"/>
    <w:basedOn w:val="List3"/>
    <w:rsid w:val="005B7199"/>
    <w:pPr>
      <w:numPr>
        <w:numId w:val="5"/>
      </w:numPr>
    </w:pPr>
  </w:style>
  <w:style w:type="paragraph" w:styleId="ListNumber4">
    <w:name w:val="List Number 4"/>
    <w:basedOn w:val="List4"/>
    <w:rsid w:val="005B7199"/>
    <w:pPr>
      <w:numPr>
        <w:numId w:val="6"/>
      </w:numPr>
    </w:pPr>
  </w:style>
  <w:style w:type="paragraph" w:styleId="ListNumber5">
    <w:name w:val="List Number 5"/>
    <w:basedOn w:val="List5"/>
    <w:rsid w:val="005B7199"/>
    <w:pPr>
      <w:numPr>
        <w:numId w:val="7"/>
      </w:numPr>
    </w:pPr>
  </w:style>
  <w:style w:type="paragraph" w:styleId="BlockText">
    <w:name w:val="Block Text"/>
    <w:basedOn w:val="Normal"/>
    <w:rsid w:val="005B7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199"/>
    <w:rPr>
      <w:sz w:val="16"/>
      <w:vertAlign w:val="superscript"/>
    </w:rPr>
  </w:style>
  <w:style w:type="character" w:customStyle="1" w:styleId="Symbols">
    <w:name w:val="Symbols"/>
    <w:basedOn w:val="DefaultParagraphFont"/>
    <w:rsid w:val="005B7199"/>
    <w:rPr>
      <w:rFonts w:ascii="Symbol" w:hAnsi="Symbol"/>
    </w:rPr>
  </w:style>
  <w:style w:type="character" w:customStyle="1" w:styleId="MenuOptions">
    <w:name w:val="Menu Options"/>
    <w:basedOn w:val="DefaultParagraphFont"/>
    <w:rsid w:val="005B7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199"/>
    <w:rPr>
      <w:b/>
    </w:rPr>
  </w:style>
  <w:style w:type="character" w:customStyle="1" w:styleId="Underlined">
    <w:name w:val="Underlined"/>
    <w:basedOn w:val="DefaultParagraphFont"/>
    <w:rsid w:val="005B7199"/>
    <w:rPr>
      <w:u w:val="single"/>
    </w:rPr>
  </w:style>
  <w:style w:type="paragraph" w:customStyle="1" w:styleId="TableBodyTextRight">
    <w:name w:val="Table Body Text Right"/>
    <w:basedOn w:val="TableBodyText"/>
    <w:rsid w:val="005B7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199"/>
    <w:rPr>
      <w:sz w:val="18"/>
    </w:rPr>
  </w:style>
  <w:style w:type="paragraph" w:customStyle="1" w:styleId="BodySmallRight">
    <w:name w:val="Body Small Right"/>
    <w:basedOn w:val="BodyTextRight"/>
    <w:rsid w:val="005B7199"/>
    <w:rPr>
      <w:sz w:val="18"/>
      <w:szCs w:val="18"/>
    </w:rPr>
  </w:style>
  <w:style w:type="paragraph" w:customStyle="1" w:styleId="MarginEdition">
    <w:name w:val="Margin Edition"/>
    <w:basedOn w:val="MarginNote"/>
    <w:rsid w:val="005B7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199"/>
    <w:rPr>
      <w:sz w:val="2"/>
      <w:szCs w:val="2"/>
    </w:rPr>
  </w:style>
  <w:style w:type="character" w:customStyle="1" w:styleId="Small">
    <w:name w:val="Small"/>
    <w:basedOn w:val="DefaultParagraphFont"/>
    <w:rsid w:val="005B7199"/>
    <w:rPr>
      <w:sz w:val="16"/>
    </w:rPr>
  </w:style>
  <w:style w:type="paragraph" w:customStyle="1" w:styleId="WideTable">
    <w:name w:val="Wide Table"/>
    <w:basedOn w:val="Normal"/>
    <w:rsid w:val="005B7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199"/>
  </w:style>
  <w:style w:type="paragraph" w:styleId="Quote">
    <w:name w:val="Quote"/>
    <w:basedOn w:val="Heading1"/>
    <w:link w:val="QuoteChar"/>
    <w:qFormat/>
    <w:rsid w:val="005B7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199"/>
    <w:pPr>
      <w:pageBreakBefore/>
    </w:pPr>
  </w:style>
  <w:style w:type="paragraph" w:customStyle="1" w:styleId="Border">
    <w:name w:val="Border"/>
    <w:basedOn w:val="Normal"/>
    <w:qFormat/>
    <w:rsid w:val="005B7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199"/>
    <w:rPr>
      <w:u w:val="single"/>
    </w:rPr>
  </w:style>
  <w:style w:type="character" w:customStyle="1" w:styleId="BoldandItalics">
    <w:name w:val="Bold and Italics"/>
    <w:qFormat/>
    <w:rsid w:val="005B7199"/>
    <w:rPr>
      <w:b/>
      <w:i/>
      <w:u w:val="none"/>
    </w:rPr>
  </w:style>
  <w:style w:type="paragraph" w:styleId="BalloonText">
    <w:name w:val="Balloon Text"/>
    <w:basedOn w:val="Normal"/>
    <w:link w:val="BalloonTextChar"/>
    <w:rsid w:val="005B7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199"/>
    <w:pPr>
      <w:spacing w:before="0" w:after="0"/>
    </w:pPr>
  </w:style>
  <w:style w:type="paragraph" w:customStyle="1" w:styleId="BodyTextBold">
    <w:name w:val="Body Text Bold"/>
    <w:basedOn w:val="BodyText"/>
    <w:qFormat/>
    <w:rsid w:val="005B7199"/>
    <w:rPr>
      <w:b/>
    </w:rPr>
  </w:style>
  <w:style w:type="character" w:styleId="Hyperlink">
    <w:name w:val="Hyperlink"/>
    <w:basedOn w:val="DefaultParagraphFont"/>
    <w:uiPriority w:val="99"/>
    <w:unhideWhenUsed/>
    <w:rsid w:val="00163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4627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CPPSEC3103 Determine and implement response to security risk situation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